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644504" w:rsidRDefault="00644504" w:rsidP="00644504">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4741DB" wp14:editId="31B65776">
                <wp:simplePos x="0" y="0"/>
                <wp:positionH relativeFrom="column">
                  <wp:posOffset>1990725</wp:posOffset>
                </wp:positionH>
                <wp:positionV relativeFrom="paragraph">
                  <wp:posOffset>13335</wp:posOffset>
                </wp:positionV>
                <wp:extent cx="4029075" cy="151828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518285"/>
                        </a:xfrm>
                        <a:prstGeom prst="rect">
                          <a:avLst/>
                        </a:prstGeom>
                        <a:solidFill>
                          <a:srgbClr val="FFFFFF"/>
                        </a:solidFill>
                        <a:ln w="9525">
                          <a:solidFill>
                            <a:srgbClr val="000000"/>
                          </a:solidFill>
                          <a:miter lim="800000"/>
                          <a:headEnd/>
                          <a:tailEnd/>
                        </a:ln>
                      </wps:spPr>
                      <wps:txbx>
                        <w:txbxContent>
                          <w:p w:rsidR="00644504" w:rsidRPr="00EA22ED" w:rsidRDefault="00644504" w:rsidP="00644504">
                            <w:pPr>
                              <w:rPr>
                                <w:rFonts w:asciiTheme="minorHAnsi" w:hAnsiTheme="minorHAnsi"/>
                                <w:b/>
                                <w:sz w:val="28"/>
                                <w:szCs w:val="28"/>
                              </w:rPr>
                            </w:pPr>
                            <w:r w:rsidRPr="00EA22ED">
                              <w:rPr>
                                <w:rFonts w:asciiTheme="minorHAnsi" w:hAnsiTheme="minorHAnsi"/>
                                <w:b/>
                                <w:sz w:val="28"/>
                                <w:szCs w:val="28"/>
                              </w:rPr>
                              <w:t>U.S. Energy Information Administration</w:t>
                            </w:r>
                          </w:p>
                          <w:p w:rsidR="00EA22ED" w:rsidRPr="00EA22ED" w:rsidRDefault="00EA22ED" w:rsidP="00644504">
                            <w:pPr>
                              <w:rPr>
                                <w:rFonts w:asciiTheme="minorHAnsi" w:hAnsiTheme="minorHAnsi"/>
                                <w:b/>
                                <w:sz w:val="28"/>
                                <w:szCs w:val="28"/>
                              </w:rPr>
                            </w:pPr>
                          </w:p>
                          <w:p w:rsidR="00644504" w:rsidRPr="00EA22ED" w:rsidRDefault="00644504" w:rsidP="00644504">
                            <w:pPr>
                              <w:rPr>
                                <w:rFonts w:asciiTheme="minorHAnsi" w:hAnsiTheme="minorHAnsi"/>
                                <w:b/>
                                <w:sz w:val="28"/>
                                <w:szCs w:val="28"/>
                              </w:rPr>
                            </w:pPr>
                            <w:r w:rsidRPr="00EA22ED">
                              <w:rPr>
                                <w:rFonts w:asciiTheme="minorHAnsi" w:hAnsiTheme="minorHAnsi"/>
                                <w:b/>
                                <w:sz w:val="28"/>
                                <w:szCs w:val="28"/>
                              </w:rPr>
                              <w:t>Office of Energy Statistics</w:t>
                            </w:r>
                          </w:p>
                          <w:p w:rsidR="00EA22ED" w:rsidRPr="00EA22ED" w:rsidRDefault="00EA22ED" w:rsidP="00644504">
                            <w:pPr>
                              <w:rPr>
                                <w:rFonts w:asciiTheme="minorHAnsi" w:hAnsiTheme="minorHAnsi"/>
                                <w:b/>
                                <w:sz w:val="28"/>
                                <w:szCs w:val="28"/>
                              </w:rPr>
                            </w:pPr>
                          </w:p>
                          <w:p w:rsidR="00644504" w:rsidRPr="00EA22ED" w:rsidRDefault="00644504" w:rsidP="00644504">
                            <w:pPr>
                              <w:tabs>
                                <w:tab w:val="left" w:pos="360"/>
                              </w:tabs>
                              <w:ind w:left="360" w:hanging="360"/>
                              <w:rPr>
                                <w:rFonts w:asciiTheme="minorHAnsi" w:hAnsiTheme="minorHAnsi"/>
                                <w:b/>
                                <w:sz w:val="28"/>
                                <w:szCs w:val="28"/>
                              </w:rPr>
                            </w:pPr>
                            <w:r w:rsidRPr="00EA22ED">
                              <w:rPr>
                                <w:rFonts w:asciiTheme="minorHAnsi" w:hAnsiTheme="minorHAnsi"/>
                                <w:b/>
                                <w:sz w:val="28"/>
                                <w:szCs w:val="28"/>
                              </w:rPr>
                              <w:t>Office of Electricity, Renewables and Uranium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1.05pt;width:317.25pt;height:1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">
                <v:textbox>
                  <w:txbxContent>
                    <w:p w:rsidR="00644504" w:rsidRPr="00EA22ED" w:rsidRDefault="00644504" w:rsidP="00644504">
                      <w:pPr>
                        <w:rPr>
                          <w:rFonts w:asciiTheme="minorHAnsi" w:hAnsiTheme="minorHAnsi"/>
                          <w:b/>
                          <w:sz w:val="28"/>
                          <w:szCs w:val="28"/>
                        </w:rPr>
                      </w:pPr>
                      <w:r w:rsidRPr="00EA22ED">
                        <w:rPr>
                          <w:rFonts w:asciiTheme="minorHAnsi" w:hAnsiTheme="minorHAnsi"/>
                          <w:b/>
                          <w:sz w:val="28"/>
                          <w:szCs w:val="28"/>
                        </w:rPr>
                        <w:t>U.S. Energy Information Administration</w:t>
                      </w:r>
                    </w:p>
                    <w:p w:rsidR="00EA22ED" w:rsidRPr="00EA22ED" w:rsidRDefault="00EA22ED" w:rsidP="00644504">
                      <w:pPr>
                        <w:rPr>
                          <w:rFonts w:asciiTheme="minorHAnsi" w:hAnsiTheme="minorHAnsi"/>
                          <w:b/>
                          <w:sz w:val="28"/>
                          <w:szCs w:val="28"/>
                        </w:rPr>
                      </w:pPr>
                    </w:p>
                    <w:p w:rsidR="00644504" w:rsidRPr="00EA22ED" w:rsidRDefault="00644504" w:rsidP="00644504">
                      <w:pPr>
                        <w:rPr>
                          <w:rFonts w:asciiTheme="minorHAnsi" w:hAnsiTheme="minorHAnsi"/>
                          <w:b/>
                          <w:sz w:val="28"/>
                          <w:szCs w:val="28"/>
                        </w:rPr>
                      </w:pPr>
                      <w:r w:rsidRPr="00EA22ED">
                        <w:rPr>
                          <w:rFonts w:asciiTheme="minorHAnsi" w:hAnsiTheme="minorHAnsi"/>
                          <w:b/>
                          <w:sz w:val="28"/>
                          <w:szCs w:val="28"/>
                        </w:rPr>
                        <w:t>Office of Energy Statistics</w:t>
                      </w:r>
                    </w:p>
                    <w:p w:rsidR="00EA22ED" w:rsidRPr="00EA22ED" w:rsidRDefault="00EA22ED" w:rsidP="00644504">
                      <w:pPr>
                        <w:rPr>
                          <w:rFonts w:asciiTheme="minorHAnsi" w:hAnsiTheme="minorHAnsi"/>
                          <w:b/>
                          <w:sz w:val="28"/>
                          <w:szCs w:val="28"/>
                        </w:rPr>
                      </w:pPr>
                    </w:p>
                    <w:p w:rsidR="00644504" w:rsidRPr="00EA22ED" w:rsidRDefault="00644504" w:rsidP="00644504">
                      <w:pPr>
                        <w:tabs>
                          <w:tab w:val="left" w:pos="360"/>
                        </w:tabs>
                        <w:ind w:left="360" w:hanging="360"/>
                        <w:rPr>
                          <w:rFonts w:asciiTheme="minorHAnsi" w:hAnsiTheme="minorHAnsi"/>
                          <w:b/>
                          <w:sz w:val="28"/>
                          <w:szCs w:val="28"/>
                        </w:rPr>
                      </w:pPr>
                      <w:r w:rsidRPr="00EA22ED">
                        <w:rPr>
                          <w:rFonts w:asciiTheme="minorHAnsi" w:hAnsiTheme="minorHAnsi"/>
                          <w:b/>
                          <w:sz w:val="28"/>
                          <w:szCs w:val="28"/>
                        </w:rPr>
                        <w:t>Office of Electricity, Renewables and Uranium Statistics</w:t>
                      </w:r>
                    </w:p>
                  </w:txbxContent>
                </v:textbox>
              </v:shape>
            </w:pict>
          </mc:Fallback>
        </mc:AlternateContent>
      </w:r>
      <w:r>
        <w:rPr>
          <w:noProof/>
        </w:rPr>
        <w:drawing>
          <wp:inline distT="0" distB="0" distL="0" distR="0" wp14:anchorId="3B4608BC" wp14:editId="08C9D6FD">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644504" w:rsidRDefault="00644504" w:rsidP="00644504">
      <w:pPr>
        <w:ind w:left="4320"/>
      </w:pPr>
    </w:p>
    <w:p w:rsidR="00644504" w:rsidRDefault="00644504" w:rsidP="00644504">
      <w:pPr>
        <w:rPr>
          <w:rFonts w:ascii="Arial Black" w:hAnsi="Arial Black"/>
          <w:sz w:val="28"/>
        </w:rPr>
      </w:pPr>
    </w:p>
    <w:p w:rsidR="00CC59A8" w:rsidRDefault="00CC59A8" w:rsidP="003D41E8">
      <w:pPr>
        <w:spacing w:after="200" w:line="276" w:lineRule="auto"/>
        <w:rPr>
          <w:b/>
          <w:sz w:val="36"/>
          <w:szCs w:val="36"/>
        </w:rPr>
      </w:pPr>
    </w:p>
    <w:p w:rsidR="00644504" w:rsidRPr="006139D7" w:rsidRDefault="00644504" w:rsidP="003D41E8">
      <w:pPr>
        <w:spacing w:after="200" w:line="276" w:lineRule="auto"/>
        <w:rPr>
          <w:b/>
          <w:sz w:val="36"/>
          <w:szCs w:val="36"/>
        </w:rPr>
      </w:pPr>
      <w:r w:rsidRPr="006139D7">
        <w:rPr>
          <w:b/>
          <w:sz w:val="36"/>
          <w:szCs w:val="36"/>
        </w:rPr>
        <w:t>Supporting Statement for Survey Clearance</w:t>
      </w:r>
    </w:p>
    <w:p w:rsidR="00644504" w:rsidRDefault="00644504" w:rsidP="003D41E8">
      <w:pPr>
        <w:spacing w:after="200" w:line="276" w:lineRule="auto"/>
        <w:rPr>
          <w:b/>
          <w:sz w:val="28"/>
          <w:szCs w:val="28"/>
        </w:rPr>
      </w:pPr>
    </w:p>
    <w:p w:rsidR="00644504" w:rsidRDefault="00644504" w:rsidP="003D41E8">
      <w:pPr>
        <w:spacing w:after="200" w:line="276" w:lineRule="auto"/>
        <w:rPr>
          <w:b/>
          <w:sz w:val="28"/>
          <w:szCs w:val="28"/>
        </w:rPr>
      </w:pPr>
      <w:r w:rsidRPr="00644504">
        <w:rPr>
          <w:b/>
          <w:sz w:val="28"/>
          <w:szCs w:val="28"/>
        </w:rPr>
        <w:t>QUARTERLY ELECTRICITY IMPORTS AND EXPORTS REPORT</w:t>
      </w:r>
    </w:p>
    <w:p w:rsidR="00CC59A8" w:rsidRPr="00F8506F" w:rsidRDefault="00CC59A8" w:rsidP="003D41E8">
      <w:pPr>
        <w:tabs>
          <w:tab w:val="left" w:pos="8655"/>
        </w:tabs>
        <w:spacing w:after="200" w:line="276" w:lineRule="auto"/>
        <w:rPr>
          <w:b/>
          <w:sz w:val="28"/>
          <w:szCs w:val="28"/>
        </w:rPr>
      </w:pPr>
    </w:p>
    <w:p w:rsidR="00644504" w:rsidRDefault="00644504" w:rsidP="003D41E8">
      <w:pPr>
        <w:spacing w:after="200" w:line="276" w:lineRule="auto"/>
        <w:rPr>
          <w:b/>
          <w:sz w:val="28"/>
          <w:szCs w:val="28"/>
        </w:rPr>
      </w:pPr>
      <w:r w:rsidRPr="00644504">
        <w:rPr>
          <w:b/>
          <w:sz w:val="28"/>
          <w:szCs w:val="28"/>
        </w:rPr>
        <w:t>OMB NUMBER 1905-0208</w:t>
      </w:r>
    </w:p>
    <w:p w:rsidR="00644504" w:rsidRPr="006139D7" w:rsidRDefault="00644504" w:rsidP="003D41E8">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644504" w:rsidRPr="006139D7" w:rsidTr="00771F9D">
        <w:tc>
          <w:tcPr>
            <w:tcW w:w="7488" w:type="dxa"/>
            <w:vAlign w:val="center"/>
          </w:tcPr>
          <w:p w:rsidR="00644504" w:rsidRDefault="00644504" w:rsidP="00771F9D">
            <w:pPr>
              <w:spacing w:before="360" w:after="360"/>
              <w:rPr>
                <w:b/>
                <w:sz w:val="32"/>
                <w:szCs w:val="32"/>
              </w:rPr>
            </w:pPr>
            <w:r w:rsidRPr="005C233F">
              <w:rPr>
                <w:b/>
                <w:sz w:val="32"/>
                <w:szCs w:val="32"/>
              </w:rPr>
              <w:t>Background and Proposal</w:t>
            </w:r>
          </w:p>
          <w:p w:rsidR="00644504" w:rsidRPr="006139D7" w:rsidRDefault="00644504" w:rsidP="00771F9D">
            <w:pPr>
              <w:spacing w:before="360" w:after="360"/>
              <w:rPr>
                <w:b/>
                <w:sz w:val="32"/>
                <w:szCs w:val="32"/>
              </w:rPr>
            </w:pPr>
            <w:r>
              <w:rPr>
                <w:b/>
                <w:sz w:val="32"/>
                <w:szCs w:val="32"/>
              </w:rPr>
              <w:t>Part A</w:t>
            </w:r>
          </w:p>
        </w:tc>
      </w:tr>
    </w:tbl>
    <w:p w:rsidR="00644504" w:rsidRPr="006139D7" w:rsidRDefault="00644504" w:rsidP="00644504"/>
    <w:p w:rsidR="00644504" w:rsidRPr="006139D7" w:rsidRDefault="00644504" w:rsidP="00644504"/>
    <w:p w:rsidR="00644504" w:rsidRPr="006139D7" w:rsidRDefault="00644504" w:rsidP="00644504">
      <w:r w:rsidRPr="006139D7">
        <w:t>Original Date:</w:t>
      </w:r>
      <w:r>
        <w:t xml:space="preserve"> J</w:t>
      </w:r>
      <w:r w:rsidR="00EB3B97">
        <w:t>une</w:t>
      </w:r>
      <w:r>
        <w:t xml:space="preserve"> 2015</w:t>
      </w:r>
    </w:p>
    <w:p w:rsidR="00644504" w:rsidRDefault="00644504" w:rsidP="00644504">
      <w:pPr>
        <w:rPr>
          <w:b/>
        </w:rPr>
      </w:pPr>
    </w:p>
    <w:p w:rsidR="00644504" w:rsidRDefault="00644504" w:rsidP="00644504">
      <w:pPr>
        <w:rPr>
          <w:b/>
        </w:rPr>
        <w:sectPr w:rsidR="00644504" w:rsidSect="006445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cols w:space="720"/>
          <w:noEndnote/>
        </w:sectPr>
      </w:pPr>
    </w:p>
    <w:p w:rsidR="00644504" w:rsidRDefault="00644504" w:rsidP="00644504">
      <w:pPr>
        <w:rPr>
          <w:b/>
        </w:rPr>
      </w:pPr>
    </w:p>
    <w:p w:rsidR="00B8795D" w:rsidRPr="00702FB2" w:rsidRDefault="00702FB2" w:rsidP="00E95119">
      <w:pPr>
        <w:pStyle w:val="TableofFigures"/>
        <w:tabs>
          <w:tab w:val="right" w:leader="dot" w:pos="9360"/>
        </w:tabs>
        <w:rPr>
          <w:b/>
          <w:sz w:val="28"/>
          <w:szCs w:val="28"/>
        </w:rPr>
      </w:pPr>
      <w:bookmarkStart w:id="1" w:name="_Toc524334481"/>
      <w:bookmarkStart w:id="2" w:name="_Toc524334563"/>
      <w:bookmarkStart w:id="3" w:name="_Toc524334711"/>
      <w:bookmarkStart w:id="4" w:name="_Toc524334904"/>
      <w:r w:rsidRPr="00702FB2">
        <w:rPr>
          <w:b/>
          <w:sz w:val="28"/>
          <w:szCs w:val="28"/>
        </w:rPr>
        <w:t>Table of Contents</w:t>
      </w:r>
    </w:p>
    <w:p w:rsidR="00702FB2" w:rsidRDefault="00702FB2" w:rsidP="00702FB2"/>
    <w:p w:rsidR="00702FB2" w:rsidRPr="00702FB2" w:rsidRDefault="00702FB2" w:rsidP="00702FB2"/>
    <w:bookmarkEnd w:id="1"/>
    <w:bookmarkEnd w:id="2"/>
    <w:bookmarkEnd w:id="3"/>
    <w:bookmarkEnd w:id="4"/>
    <w:p w:rsidR="00A47FAE" w:rsidRPr="00702FB2" w:rsidRDefault="00A47FAE" w:rsidP="00A47FAE">
      <w:pPr>
        <w:rPr>
          <w:bCs/>
          <w:sz w:val="22"/>
          <w:szCs w:val="22"/>
        </w:rPr>
      </w:pPr>
      <w:r w:rsidRPr="00702FB2">
        <w:rPr>
          <w:bCs/>
          <w:sz w:val="22"/>
          <w:szCs w:val="22"/>
        </w:rPr>
        <w:t>INTRODUCTION</w:t>
      </w:r>
      <w:r w:rsidR="002F7068">
        <w:rPr>
          <w:bCs/>
          <w:sz w:val="22"/>
          <w:szCs w:val="22"/>
        </w:rPr>
        <w:t>…………………………………………………………………………..………</w:t>
      </w:r>
      <w:r w:rsidR="001C3C06">
        <w:rPr>
          <w:bCs/>
          <w:sz w:val="22"/>
          <w:szCs w:val="22"/>
        </w:rPr>
        <w:t xml:space="preserve">  </w:t>
      </w:r>
      <w:r w:rsidR="002F7068">
        <w:rPr>
          <w:bCs/>
          <w:sz w:val="22"/>
          <w:szCs w:val="22"/>
        </w:rPr>
        <w:t>3</w:t>
      </w:r>
    </w:p>
    <w:p w:rsidR="00702FB2" w:rsidRDefault="00A47FAE" w:rsidP="00702FB2">
      <w:pPr>
        <w:rPr>
          <w:sz w:val="22"/>
          <w:szCs w:val="22"/>
        </w:rPr>
      </w:pPr>
      <w:r w:rsidRPr="00702FB2">
        <w:rPr>
          <w:sz w:val="22"/>
          <w:szCs w:val="22"/>
        </w:rPr>
        <w:t xml:space="preserve">PROPOSED CHANGES TO THE QUARTERLY ELECTRICITY </w:t>
      </w:r>
      <w:r w:rsidR="00702FB2" w:rsidRPr="00702FB2">
        <w:rPr>
          <w:sz w:val="22"/>
          <w:szCs w:val="22"/>
        </w:rPr>
        <w:t>IMPORTS</w:t>
      </w:r>
    </w:p>
    <w:p w:rsidR="00A47FAE" w:rsidRPr="00702FB2" w:rsidRDefault="00A47FAE" w:rsidP="00702FB2">
      <w:pPr>
        <w:rPr>
          <w:sz w:val="22"/>
          <w:szCs w:val="22"/>
        </w:rPr>
      </w:pPr>
      <w:r w:rsidRPr="00702FB2">
        <w:rPr>
          <w:sz w:val="22"/>
          <w:szCs w:val="22"/>
        </w:rPr>
        <w:t>AND EXPORTS REPORT</w:t>
      </w:r>
      <w:r w:rsidR="002F7068">
        <w:rPr>
          <w:sz w:val="22"/>
          <w:szCs w:val="22"/>
        </w:rPr>
        <w:t xml:space="preserve"> …………………………………………………………………………  3</w:t>
      </w:r>
    </w:p>
    <w:p w:rsidR="00A47FAE" w:rsidRPr="00702FB2" w:rsidRDefault="00A47FAE" w:rsidP="00702FB2">
      <w:pPr>
        <w:rPr>
          <w:bCs/>
        </w:rPr>
      </w:pPr>
      <w:r w:rsidRPr="00702FB2">
        <w:rPr>
          <w:bCs/>
          <w:sz w:val="22"/>
          <w:szCs w:val="22"/>
        </w:rPr>
        <w:t>J</w:t>
      </w:r>
      <w:r w:rsidR="00EC0481">
        <w:rPr>
          <w:bCs/>
          <w:sz w:val="22"/>
          <w:szCs w:val="22"/>
        </w:rPr>
        <w:t xml:space="preserve">USTIFICATION </w:t>
      </w:r>
      <w:r w:rsidR="002F7068">
        <w:rPr>
          <w:bCs/>
          <w:sz w:val="22"/>
          <w:szCs w:val="22"/>
        </w:rPr>
        <w:t>……………</w:t>
      </w:r>
      <w:r w:rsidR="00EC0481">
        <w:rPr>
          <w:bCs/>
          <w:sz w:val="22"/>
          <w:szCs w:val="22"/>
        </w:rPr>
        <w:t>..</w:t>
      </w:r>
      <w:r w:rsidR="002F7068">
        <w:rPr>
          <w:bCs/>
          <w:sz w:val="22"/>
          <w:szCs w:val="22"/>
        </w:rPr>
        <w:t>……………………………………………………………………</w:t>
      </w:r>
      <w:r w:rsidR="00702FB2" w:rsidRPr="00702FB2">
        <w:rPr>
          <w:bCs/>
        </w:rPr>
        <w:tab/>
        <w:t xml:space="preserve">  </w:t>
      </w:r>
      <w:r w:rsidR="0030156B">
        <w:rPr>
          <w:bCs/>
        </w:rPr>
        <w:t>4</w:t>
      </w:r>
    </w:p>
    <w:p w:rsidR="00E95119" w:rsidRPr="00AC2279" w:rsidRDefault="00A47FAE" w:rsidP="00966A6D">
      <w:pPr>
        <w:pStyle w:val="ListParagraph"/>
        <w:numPr>
          <w:ilvl w:val="0"/>
          <w:numId w:val="57"/>
        </w:numPr>
        <w:rPr>
          <w:rFonts w:ascii="Times New Roman" w:hAnsi="Times New Roman"/>
          <w:bCs/>
        </w:rPr>
      </w:pPr>
      <w:r w:rsidRPr="00AC2279">
        <w:rPr>
          <w:rFonts w:ascii="Times New Roman" w:hAnsi="Times New Roman"/>
          <w:bCs/>
        </w:rPr>
        <w:t>Legal Justification</w:t>
      </w:r>
      <w:r w:rsidR="002F7068">
        <w:rPr>
          <w:rFonts w:ascii="Times New Roman" w:hAnsi="Times New Roman"/>
          <w:bCs/>
        </w:rPr>
        <w:t xml:space="preserve"> ……………………………………………………………………………...</w:t>
      </w:r>
      <w:r w:rsidR="00AC2279" w:rsidRPr="00AC2279">
        <w:rPr>
          <w:rFonts w:ascii="Times New Roman" w:hAnsi="Times New Roman"/>
          <w:bCs/>
        </w:rPr>
        <w:tab/>
      </w:r>
      <w:r w:rsidR="00702FB2" w:rsidRPr="00AC2279">
        <w:rPr>
          <w:rFonts w:ascii="Times New Roman" w:hAnsi="Times New Roman"/>
          <w:bCs/>
        </w:rPr>
        <w:t xml:space="preserve">  </w:t>
      </w:r>
      <w:r w:rsidR="0030156B">
        <w:rPr>
          <w:rFonts w:ascii="Times New Roman" w:hAnsi="Times New Roman"/>
          <w:bCs/>
        </w:rPr>
        <w:t>4</w:t>
      </w:r>
    </w:p>
    <w:p w:rsidR="00A47FAE" w:rsidRPr="00AC2279" w:rsidRDefault="00A47FAE" w:rsidP="00966A6D">
      <w:pPr>
        <w:pStyle w:val="ListParagraph"/>
        <w:numPr>
          <w:ilvl w:val="0"/>
          <w:numId w:val="57"/>
        </w:numPr>
        <w:rPr>
          <w:rFonts w:ascii="Times New Roman" w:hAnsi="Times New Roman"/>
          <w:bCs/>
        </w:rPr>
      </w:pPr>
      <w:r w:rsidRPr="00AC2279">
        <w:rPr>
          <w:rFonts w:ascii="Times New Roman" w:hAnsi="Times New Roman"/>
          <w:bCs/>
        </w:rPr>
        <w:t>Needs and Uses of Data</w:t>
      </w:r>
      <w:r w:rsidR="008202FD">
        <w:rPr>
          <w:rFonts w:ascii="Times New Roman" w:hAnsi="Times New Roman"/>
          <w:bCs/>
        </w:rPr>
        <w:t xml:space="preserve"> ………………………………………………………………………..</w:t>
      </w:r>
      <w:r w:rsidR="00702FB2" w:rsidRPr="00AC2279">
        <w:rPr>
          <w:rFonts w:ascii="Times New Roman" w:hAnsi="Times New Roman"/>
          <w:bCs/>
        </w:rPr>
        <w:t xml:space="preserve">  </w:t>
      </w:r>
      <w:r w:rsidR="0030156B">
        <w:rPr>
          <w:rFonts w:ascii="Times New Roman" w:hAnsi="Times New Roman"/>
          <w:bCs/>
        </w:rPr>
        <w:t>5</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Use of Technology</w:t>
      </w:r>
      <w:r w:rsidR="008202FD">
        <w:rPr>
          <w:rFonts w:ascii="Times New Roman" w:hAnsi="Times New Roman"/>
          <w:bCs/>
        </w:rPr>
        <w:t>……………………………………………………………………………...</w:t>
      </w:r>
      <w:r w:rsidR="00702FB2" w:rsidRPr="00AC2279">
        <w:rPr>
          <w:rFonts w:ascii="Times New Roman" w:hAnsi="Times New Roman"/>
          <w:bCs/>
        </w:rPr>
        <w:tab/>
        <w:t xml:space="preserve">  </w:t>
      </w:r>
      <w:r w:rsidR="0030156B">
        <w:rPr>
          <w:rFonts w:ascii="Times New Roman" w:hAnsi="Times New Roman"/>
          <w:bCs/>
        </w:rPr>
        <w:t>7</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Technical Considerations to Reduce Duplication</w:t>
      </w:r>
      <w:r w:rsidR="008202FD">
        <w:rPr>
          <w:rFonts w:ascii="Times New Roman" w:hAnsi="Times New Roman"/>
          <w:bCs/>
        </w:rPr>
        <w:t xml:space="preserve"> ………………………………………………</w:t>
      </w:r>
      <w:r w:rsidR="0030156B">
        <w:rPr>
          <w:rFonts w:ascii="Times New Roman" w:hAnsi="Times New Roman"/>
          <w:bCs/>
        </w:rPr>
        <w:t xml:space="preserve"> 9</w:t>
      </w:r>
    </w:p>
    <w:p w:rsidR="00AC2279" w:rsidRPr="00AC2279" w:rsidRDefault="00A47FAE" w:rsidP="00AC2279">
      <w:pPr>
        <w:pStyle w:val="ListParagraph"/>
        <w:numPr>
          <w:ilvl w:val="0"/>
          <w:numId w:val="57"/>
        </w:numPr>
        <w:rPr>
          <w:rFonts w:ascii="Times New Roman" w:hAnsi="Times New Roman"/>
          <w:bCs/>
        </w:rPr>
      </w:pPr>
      <w:r w:rsidRPr="00AC2279">
        <w:rPr>
          <w:rFonts w:ascii="Times New Roman" w:hAnsi="Times New Roman"/>
          <w:bCs/>
        </w:rPr>
        <w:t>Efforts to Identify Duplication and Analysis of Similar Existing Information</w:t>
      </w:r>
      <w:r w:rsidR="008C7A21">
        <w:rPr>
          <w:rFonts w:ascii="Times New Roman" w:hAnsi="Times New Roman"/>
          <w:bCs/>
        </w:rPr>
        <w:t xml:space="preserve">  ..</w:t>
      </w:r>
      <w:r w:rsidR="008202FD">
        <w:rPr>
          <w:rFonts w:ascii="Times New Roman" w:hAnsi="Times New Roman"/>
          <w:bCs/>
        </w:rPr>
        <w:t>……………....</w:t>
      </w:r>
      <w:r w:rsidR="0030156B">
        <w:rPr>
          <w:rFonts w:ascii="Times New Roman" w:hAnsi="Times New Roman"/>
          <w:bCs/>
        </w:rPr>
        <w:t xml:space="preserve">  9</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Burden Reduction for Small Businesses and Small Entities</w:t>
      </w:r>
      <w:r w:rsidR="008202FD">
        <w:rPr>
          <w:rFonts w:ascii="Times New Roman" w:hAnsi="Times New Roman"/>
          <w:bCs/>
        </w:rPr>
        <w:t xml:space="preserve"> ………</w:t>
      </w:r>
      <w:r w:rsidR="008C7A21">
        <w:rPr>
          <w:rFonts w:ascii="Times New Roman" w:hAnsi="Times New Roman"/>
          <w:bCs/>
        </w:rPr>
        <w:t>.</w:t>
      </w:r>
      <w:r w:rsidR="008202FD">
        <w:rPr>
          <w:rFonts w:ascii="Times New Roman" w:hAnsi="Times New Roman"/>
          <w:bCs/>
        </w:rPr>
        <w:t>………………</w:t>
      </w:r>
      <w:r w:rsidR="00001A0B">
        <w:rPr>
          <w:rFonts w:ascii="Times New Roman" w:hAnsi="Times New Roman"/>
          <w:bCs/>
        </w:rPr>
        <w:t>……</w:t>
      </w:r>
      <w:r w:rsidR="008202FD">
        <w:rPr>
          <w:rFonts w:ascii="Times New Roman" w:hAnsi="Times New Roman"/>
          <w:bCs/>
        </w:rPr>
        <w:t>…...</w:t>
      </w:r>
      <w:r w:rsidR="00001A0B">
        <w:rPr>
          <w:rFonts w:ascii="Times New Roman" w:hAnsi="Times New Roman"/>
          <w:bCs/>
        </w:rPr>
        <w:t xml:space="preserve">...  </w:t>
      </w:r>
      <w:r w:rsidR="0030156B">
        <w:rPr>
          <w:rFonts w:ascii="Times New Roman" w:hAnsi="Times New Roman"/>
          <w:bCs/>
        </w:rPr>
        <w:t>9</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Consequences of Less-Frequent Reporting</w:t>
      </w:r>
      <w:r w:rsidR="008202FD">
        <w:rPr>
          <w:rFonts w:ascii="Times New Roman" w:hAnsi="Times New Roman"/>
          <w:bCs/>
        </w:rPr>
        <w:t xml:space="preserve"> ……………………………………………………</w:t>
      </w:r>
      <w:r w:rsidR="00AC2279" w:rsidRPr="00AC2279">
        <w:rPr>
          <w:rFonts w:ascii="Times New Roman" w:hAnsi="Times New Roman"/>
          <w:bCs/>
        </w:rPr>
        <w:tab/>
      </w:r>
      <w:r w:rsidR="008202FD">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Special Circumstances</w:t>
      </w:r>
      <w:r w:rsidR="008202FD">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Summary of Consultations outside the Agency</w:t>
      </w:r>
      <w:r w:rsidR="008202FD">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Remuneration</w:t>
      </w:r>
      <w:r w:rsidR="008202FD">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Disclosure of Information</w:t>
      </w:r>
      <w:r w:rsidR="008202FD">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Justification for Questions of a Sensitive Nature</w:t>
      </w:r>
      <w:r w:rsidR="00666D21">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Estimates of Respondent Burden (Hours and Cost)</w:t>
      </w:r>
      <w:r w:rsidR="00666D21">
        <w:rPr>
          <w:rFonts w:ascii="Times New Roman" w:hAnsi="Times New Roman"/>
          <w:bCs/>
        </w:rPr>
        <w:t xml:space="preserve"> …………………………………………..</w:t>
      </w:r>
      <w:r w:rsidR="00AC2279" w:rsidRPr="00AC2279">
        <w:rPr>
          <w:rFonts w:ascii="Times New Roman" w:hAnsi="Times New Roman"/>
          <w:bCs/>
        </w:rPr>
        <w:tab/>
      </w:r>
      <w:r w:rsidR="0030156B">
        <w:rPr>
          <w:rFonts w:ascii="Times New Roman" w:hAnsi="Times New Roman"/>
          <w:bCs/>
        </w:rPr>
        <w:t>10</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Estimates of Cost Burden to Respondents</w:t>
      </w:r>
      <w:r w:rsidR="00666D21">
        <w:rPr>
          <w:rFonts w:ascii="Times New Roman" w:hAnsi="Times New Roman"/>
          <w:bCs/>
        </w:rPr>
        <w:t xml:space="preserve"> ……………………………………………………</w:t>
      </w:r>
      <w:r w:rsidR="00AC2279">
        <w:rPr>
          <w:rFonts w:ascii="Times New Roman" w:hAnsi="Times New Roman"/>
          <w:bCs/>
        </w:rPr>
        <w:tab/>
      </w:r>
      <w:r w:rsidR="0030156B">
        <w:rPr>
          <w:rFonts w:ascii="Times New Roman" w:hAnsi="Times New Roman"/>
          <w:bCs/>
        </w:rPr>
        <w:t>11</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Estimates of Annual Cost to the Government</w:t>
      </w:r>
      <w:r w:rsidR="00666D21">
        <w:rPr>
          <w:rFonts w:ascii="Times New Roman" w:hAnsi="Times New Roman"/>
          <w:bCs/>
        </w:rPr>
        <w:t xml:space="preserve"> ………………………………………………...</w:t>
      </w:r>
      <w:r w:rsidR="00AC2279">
        <w:rPr>
          <w:rFonts w:ascii="Times New Roman" w:hAnsi="Times New Roman"/>
          <w:bCs/>
        </w:rPr>
        <w:tab/>
      </w:r>
      <w:r w:rsidR="0030156B">
        <w:rPr>
          <w:rFonts w:ascii="Times New Roman" w:hAnsi="Times New Roman"/>
          <w:bCs/>
        </w:rPr>
        <w:t>11</w:t>
      </w:r>
    </w:p>
    <w:p w:rsidR="00A47FAE"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Changes in Burden to Respondents</w:t>
      </w:r>
      <w:r w:rsidR="00666D21">
        <w:rPr>
          <w:rFonts w:ascii="Times New Roman" w:hAnsi="Times New Roman"/>
          <w:bCs/>
        </w:rPr>
        <w:t xml:space="preserve"> ………………………………………</w:t>
      </w:r>
      <w:r w:rsidR="008C7A21">
        <w:rPr>
          <w:rFonts w:ascii="Times New Roman" w:hAnsi="Times New Roman"/>
          <w:bCs/>
        </w:rPr>
        <w:t>.</w:t>
      </w:r>
      <w:r w:rsidR="00666D21">
        <w:rPr>
          <w:rFonts w:ascii="Times New Roman" w:hAnsi="Times New Roman"/>
          <w:bCs/>
        </w:rPr>
        <w:t>………………...</w:t>
      </w:r>
      <w:r w:rsidR="00001A0B">
        <w:rPr>
          <w:rFonts w:ascii="Times New Roman" w:hAnsi="Times New Roman"/>
          <w:bCs/>
        </w:rPr>
        <w:t>...</w:t>
      </w:r>
      <w:r w:rsidR="00666D21">
        <w:rPr>
          <w:rFonts w:ascii="Times New Roman" w:hAnsi="Times New Roman"/>
          <w:bCs/>
        </w:rPr>
        <w:t xml:space="preserve"> </w:t>
      </w:r>
      <w:r w:rsidR="0030156B">
        <w:rPr>
          <w:rFonts w:ascii="Times New Roman" w:hAnsi="Times New Roman"/>
          <w:bCs/>
        </w:rPr>
        <w:t>12</w:t>
      </w:r>
    </w:p>
    <w:p w:rsidR="00702FB2" w:rsidRPr="00AC2279" w:rsidRDefault="00A47FAE" w:rsidP="00702FB2">
      <w:pPr>
        <w:pStyle w:val="ListParagraph"/>
        <w:numPr>
          <w:ilvl w:val="0"/>
          <w:numId w:val="57"/>
        </w:numPr>
        <w:rPr>
          <w:rFonts w:ascii="Times New Roman" w:hAnsi="Times New Roman"/>
          <w:bCs/>
        </w:rPr>
      </w:pPr>
      <w:r w:rsidRPr="00AC2279">
        <w:rPr>
          <w:rFonts w:ascii="Times New Roman" w:hAnsi="Times New Roman"/>
          <w:bCs/>
        </w:rPr>
        <w:t>Data Collection and Publication</w:t>
      </w:r>
      <w:r w:rsidR="00666D21">
        <w:rPr>
          <w:rFonts w:ascii="Times New Roman" w:hAnsi="Times New Roman"/>
          <w:bCs/>
        </w:rPr>
        <w:t xml:space="preserve"> ……………………………………………………………… </w:t>
      </w:r>
      <w:r w:rsidR="0030156B">
        <w:rPr>
          <w:rFonts w:ascii="Times New Roman" w:hAnsi="Times New Roman"/>
          <w:bCs/>
        </w:rPr>
        <w:t>12</w:t>
      </w:r>
    </w:p>
    <w:p w:rsidR="000F7825" w:rsidRPr="00C6116F" w:rsidRDefault="00A47FAE" w:rsidP="00702FB2">
      <w:pPr>
        <w:pStyle w:val="ListParagraph"/>
        <w:numPr>
          <w:ilvl w:val="0"/>
          <w:numId w:val="57"/>
        </w:numPr>
        <w:rPr>
          <w:rFonts w:ascii="Times New Roman" w:hAnsi="Times New Roman"/>
          <w:bCs/>
          <w:sz w:val="20"/>
          <w:szCs w:val="20"/>
        </w:rPr>
      </w:pPr>
      <w:r w:rsidRPr="00AC2279">
        <w:rPr>
          <w:rFonts w:ascii="Times New Roman" w:hAnsi="Times New Roman"/>
          <w:bCs/>
        </w:rPr>
        <w:t>Display of Expiration Date and OMB Number</w:t>
      </w:r>
      <w:r w:rsidR="00001A0B">
        <w:rPr>
          <w:rFonts w:ascii="Times New Roman" w:hAnsi="Times New Roman"/>
          <w:bCs/>
        </w:rPr>
        <w:t xml:space="preserve"> </w:t>
      </w:r>
      <w:r w:rsidR="00666D21">
        <w:rPr>
          <w:rFonts w:ascii="Times New Roman" w:hAnsi="Times New Roman"/>
          <w:bCs/>
        </w:rPr>
        <w:t xml:space="preserve">………………………………………………. </w:t>
      </w:r>
      <w:r w:rsidR="00AC2279">
        <w:rPr>
          <w:rFonts w:ascii="Times New Roman" w:hAnsi="Times New Roman"/>
          <w:bCs/>
        </w:rPr>
        <w:t>1</w:t>
      </w:r>
      <w:r w:rsidR="0030156B">
        <w:rPr>
          <w:rFonts w:ascii="Times New Roman" w:hAnsi="Times New Roman"/>
          <w:bCs/>
        </w:rPr>
        <w:t>2</w:t>
      </w:r>
    </w:p>
    <w:p w:rsidR="00C6116F" w:rsidRPr="00C6116F" w:rsidRDefault="00C6116F" w:rsidP="00702FB2">
      <w:pPr>
        <w:pStyle w:val="ListParagraph"/>
        <w:numPr>
          <w:ilvl w:val="0"/>
          <w:numId w:val="57"/>
        </w:numPr>
        <w:rPr>
          <w:rFonts w:ascii="Times New Roman" w:hAnsi="Times New Roman"/>
          <w:bCs/>
        </w:rPr>
      </w:pPr>
      <w:r w:rsidRPr="00C6116F">
        <w:rPr>
          <w:rFonts w:ascii="Times New Roman" w:hAnsi="Times New Roman"/>
          <w:bCs/>
        </w:rPr>
        <w:t xml:space="preserve">Appendix A </w:t>
      </w:r>
      <w:r w:rsidR="00666D21">
        <w:rPr>
          <w:rFonts w:ascii="Times New Roman" w:hAnsi="Times New Roman"/>
          <w:bCs/>
        </w:rPr>
        <w:t>……………………………………………………………………………………</w:t>
      </w:r>
      <w:r w:rsidRPr="00C6116F">
        <w:rPr>
          <w:rFonts w:ascii="Times New Roman" w:hAnsi="Times New Roman"/>
          <w:bCs/>
        </w:rPr>
        <w:t xml:space="preserve"> 13    </w:t>
      </w:r>
    </w:p>
    <w:p w:rsidR="000F7825" w:rsidRPr="00C6116F" w:rsidRDefault="000F7825" w:rsidP="00C6116F">
      <w:pPr>
        <w:rPr>
          <w:bCs/>
          <w:sz w:val="22"/>
          <w:szCs w:val="22"/>
        </w:rPr>
      </w:pPr>
    </w:p>
    <w:p w:rsidR="0026339D" w:rsidRPr="000F7825" w:rsidRDefault="0026339D" w:rsidP="003D41E8">
      <w:pPr>
        <w:jc w:val="center"/>
        <w:rPr>
          <w:bCs/>
        </w:rPr>
      </w:pPr>
      <w:r w:rsidRPr="00C6116F">
        <w:rPr>
          <w:bCs/>
          <w:sz w:val="28"/>
          <w:szCs w:val="28"/>
        </w:rPr>
        <w:br w:type="page"/>
      </w:r>
    </w:p>
    <w:p w:rsidR="008A2822" w:rsidRPr="00FF1166" w:rsidRDefault="00644504" w:rsidP="00946DF9">
      <w:pPr>
        <w:rPr>
          <w:bCs/>
          <w:sz w:val="28"/>
          <w:szCs w:val="28"/>
        </w:rPr>
      </w:pPr>
      <w:r w:rsidRPr="00FF1166">
        <w:rPr>
          <w:bCs/>
          <w:sz w:val="28"/>
          <w:szCs w:val="28"/>
        </w:rPr>
        <w:lastRenderedPageBreak/>
        <w:t>INTRODUCTION</w:t>
      </w:r>
    </w:p>
    <w:p w:rsidR="00644504" w:rsidRPr="009913FE" w:rsidRDefault="00644504" w:rsidP="00946DF9">
      <w:pPr>
        <w:rPr>
          <w:sz w:val="24"/>
          <w:szCs w:val="24"/>
        </w:rPr>
      </w:pPr>
    </w:p>
    <w:p w:rsidR="00301B19" w:rsidRPr="009913FE" w:rsidRDefault="004435B6" w:rsidP="00946DF9">
      <w:pPr>
        <w:rPr>
          <w:sz w:val="24"/>
          <w:szCs w:val="24"/>
        </w:rPr>
      </w:pPr>
      <w:r w:rsidRPr="009913FE">
        <w:rPr>
          <w:sz w:val="24"/>
          <w:szCs w:val="24"/>
        </w:rPr>
        <w:t xml:space="preserve">The </w:t>
      </w:r>
      <w:r w:rsidR="00583461" w:rsidRPr="009913FE">
        <w:rPr>
          <w:sz w:val="24"/>
          <w:szCs w:val="24"/>
        </w:rPr>
        <w:t xml:space="preserve">U.S. </w:t>
      </w:r>
      <w:r w:rsidRPr="009913FE">
        <w:rPr>
          <w:sz w:val="24"/>
          <w:szCs w:val="24"/>
        </w:rPr>
        <w:t>Energy Information Administration (EIA) of</w:t>
      </w:r>
      <w:r w:rsidR="00B8577B" w:rsidRPr="009913FE">
        <w:rPr>
          <w:sz w:val="24"/>
          <w:szCs w:val="24"/>
        </w:rPr>
        <w:t xml:space="preserve"> the U.S. Department of Energy</w:t>
      </w:r>
      <w:r w:rsidR="00B8577B" w:rsidRPr="009913FE">
        <w:rPr>
          <w:szCs w:val="24"/>
        </w:rPr>
        <w:t xml:space="preserve"> </w:t>
      </w:r>
      <w:r w:rsidR="00D95350" w:rsidRPr="009913FE">
        <w:rPr>
          <w:szCs w:val="24"/>
        </w:rPr>
        <w:t>(</w:t>
      </w:r>
      <w:r w:rsidRPr="009913FE">
        <w:rPr>
          <w:sz w:val="24"/>
          <w:szCs w:val="24"/>
        </w:rPr>
        <w:t>DOE</w:t>
      </w:r>
      <w:r w:rsidR="00D95350" w:rsidRPr="009913FE">
        <w:rPr>
          <w:sz w:val="24"/>
          <w:szCs w:val="24"/>
        </w:rPr>
        <w:t>)</w:t>
      </w:r>
      <w:r w:rsidRPr="009913FE">
        <w:rPr>
          <w:sz w:val="24"/>
          <w:szCs w:val="24"/>
        </w:rPr>
        <w:t xml:space="preserve"> is required to make </w:t>
      </w:r>
      <w:r w:rsidR="00FA1CE3" w:rsidRPr="009913FE">
        <w:rPr>
          <w:sz w:val="24"/>
          <w:szCs w:val="24"/>
        </w:rPr>
        <w:t xml:space="preserve">independent, high-quality statistical data that reflect national electric capacity, generation, sales, trade, transmission, and pricing </w:t>
      </w:r>
      <w:r w:rsidRPr="009913FE">
        <w:rPr>
          <w:sz w:val="24"/>
          <w:szCs w:val="24"/>
        </w:rPr>
        <w:t xml:space="preserve">available to Federal </w:t>
      </w:r>
      <w:r w:rsidR="00454EC8" w:rsidRPr="009913FE">
        <w:rPr>
          <w:sz w:val="24"/>
          <w:szCs w:val="24"/>
        </w:rPr>
        <w:t xml:space="preserve">and other </w:t>
      </w:r>
      <w:r w:rsidRPr="009913FE">
        <w:rPr>
          <w:sz w:val="24"/>
          <w:szCs w:val="24"/>
        </w:rPr>
        <w:t xml:space="preserve">government agencies, the electric power industry, and the general public.  </w:t>
      </w:r>
    </w:p>
    <w:p w:rsidR="00942ADD" w:rsidRPr="009913FE" w:rsidRDefault="00942ADD" w:rsidP="00946DF9">
      <w:pPr>
        <w:rPr>
          <w:sz w:val="24"/>
          <w:szCs w:val="24"/>
        </w:rPr>
      </w:pPr>
    </w:p>
    <w:p w:rsidR="0076797C" w:rsidRPr="009913FE" w:rsidRDefault="00942ADD" w:rsidP="003B5C60">
      <w:pPr>
        <w:rPr>
          <w:sz w:val="24"/>
          <w:szCs w:val="24"/>
        </w:rPr>
      </w:pPr>
      <w:r w:rsidRPr="009913FE">
        <w:rPr>
          <w:sz w:val="24"/>
          <w:szCs w:val="24"/>
        </w:rPr>
        <w:t xml:space="preserve">The information collection proposed in this supporting statement has been reviewed in light of applicable </w:t>
      </w:r>
      <w:r w:rsidR="00C357E0" w:rsidRPr="009913FE">
        <w:rPr>
          <w:sz w:val="24"/>
          <w:szCs w:val="24"/>
        </w:rPr>
        <w:t xml:space="preserve">EIA </w:t>
      </w:r>
      <w:r w:rsidR="009C6036" w:rsidRPr="009913FE">
        <w:rPr>
          <w:sz w:val="24"/>
          <w:szCs w:val="24"/>
        </w:rPr>
        <w:t>information</w:t>
      </w:r>
      <w:r w:rsidRPr="009913FE">
        <w:rPr>
          <w:sz w:val="24"/>
          <w:szCs w:val="24"/>
        </w:rPr>
        <w:t xml:space="preserve"> quality guidelines.  It has been determined that the information would be collected, maintained, and used in a manner consistent with the </w:t>
      </w:r>
      <w:r w:rsidR="00D95350" w:rsidRPr="009913FE">
        <w:rPr>
          <w:sz w:val="24"/>
          <w:szCs w:val="24"/>
        </w:rPr>
        <w:t>Office of Management and Budget (OMB)</w:t>
      </w:r>
      <w:r w:rsidRPr="009913FE">
        <w:rPr>
          <w:sz w:val="24"/>
          <w:szCs w:val="24"/>
        </w:rPr>
        <w:t>, DOE, and EIA information quality guidelines</w:t>
      </w:r>
      <w:r w:rsidR="00D3706E" w:rsidRPr="009913FE">
        <w:rPr>
          <w:sz w:val="24"/>
          <w:szCs w:val="24"/>
        </w:rPr>
        <w:t>.</w:t>
      </w:r>
    </w:p>
    <w:p w:rsidR="00D3706E" w:rsidRPr="009913FE" w:rsidRDefault="00D3706E" w:rsidP="003B5C60">
      <w:pPr>
        <w:rPr>
          <w:sz w:val="24"/>
          <w:szCs w:val="24"/>
        </w:rPr>
      </w:pPr>
    </w:p>
    <w:p w:rsidR="00454EC8" w:rsidRPr="009913FE" w:rsidRDefault="00344937" w:rsidP="003B5C60">
      <w:pPr>
        <w:rPr>
          <w:sz w:val="24"/>
          <w:szCs w:val="24"/>
        </w:rPr>
      </w:pPr>
      <w:r w:rsidRPr="009913FE">
        <w:rPr>
          <w:sz w:val="24"/>
          <w:szCs w:val="24"/>
        </w:rPr>
        <w:t xml:space="preserve">On </w:t>
      </w:r>
      <w:r w:rsidR="00514166">
        <w:rPr>
          <w:sz w:val="24"/>
          <w:szCs w:val="24"/>
        </w:rPr>
        <w:t>February 4, 2015</w:t>
      </w:r>
      <w:r w:rsidR="0076797C" w:rsidRPr="009913FE">
        <w:rPr>
          <w:sz w:val="24"/>
          <w:szCs w:val="24"/>
        </w:rPr>
        <w:t>, the OMB authorized EIA to receive comments regarding the proposed collection under OMB No. 1905-</w:t>
      </w:r>
      <w:r w:rsidR="006C64F9" w:rsidRPr="009913FE">
        <w:rPr>
          <w:sz w:val="24"/>
          <w:szCs w:val="24"/>
        </w:rPr>
        <w:t>0208</w:t>
      </w:r>
      <w:r w:rsidR="003C1B11">
        <w:rPr>
          <w:sz w:val="24"/>
          <w:szCs w:val="24"/>
        </w:rPr>
        <w:t>,</w:t>
      </w:r>
      <w:r w:rsidR="0076797C" w:rsidRPr="009913FE">
        <w:rPr>
          <w:sz w:val="24"/>
          <w:szCs w:val="24"/>
        </w:rPr>
        <w:t xml:space="preserve"> Form Number EIA-111, </w:t>
      </w:r>
      <w:r w:rsidR="008514F6" w:rsidRPr="009913FE">
        <w:rPr>
          <w:sz w:val="24"/>
          <w:szCs w:val="24"/>
        </w:rPr>
        <w:t>“</w:t>
      </w:r>
      <w:r w:rsidR="0076797C" w:rsidRPr="009913FE">
        <w:rPr>
          <w:sz w:val="24"/>
          <w:szCs w:val="24"/>
        </w:rPr>
        <w:t>Quarterly Electricity Imports and Exports Report</w:t>
      </w:r>
      <w:r w:rsidR="006D1A32" w:rsidRPr="009913FE">
        <w:rPr>
          <w:sz w:val="24"/>
          <w:szCs w:val="24"/>
        </w:rPr>
        <w:t>.</w:t>
      </w:r>
      <w:r w:rsidR="008514F6" w:rsidRPr="009913FE">
        <w:rPr>
          <w:sz w:val="24"/>
          <w:szCs w:val="24"/>
        </w:rPr>
        <w:t>”</w:t>
      </w:r>
      <w:r w:rsidR="008630C7" w:rsidRPr="009913FE">
        <w:rPr>
          <w:sz w:val="24"/>
          <w:szCs w:val="24"/>
        </w:rPr>
        <w:t xml:space="preserve"> Form </w:t>
      </w:r>
      <w:r w:rsidR="001A643C" w:rsidRPr="009913FE">
        <w:rPr>
          <w:sz w:val="24"/>
          <w:szCs w:val="24"/>
        </w:rPr>
        <w:t xml:space="preserve">EIA-111 </w:t>
      </w:r>
      <w:r w:rsidR="00A56ABB" w:rsidRPr="009913FE">
        <w:rPr>
          <w:sz w:val="24"/>
          <w:szCs w:val="24"/>
        </w:rPr>
        <w:t>will collect</w:t>
      </w:r>
      <w:r w:rsidR="001A643C" w:rsidRPr="009913FE">
        <w:rPr>
          <w:sz w:val="24"/>
          <w:szCs w:val="24"/>
        </w:rPr>
        <w:t xml:space="preserve"> U.S. electricity </w:t>
      </w:r>
      <w:r w:rsidR="00DA1113" w:rsidRPr="009913FE">
        <w:rPr>
          <w:sz w:val="24"/>
          <w:szCs w:val="24"/>
        </w:rPr>
        <w:t xml:space="preserve">import and export data and </w:t>
      </w:r>
      <w:r w:rsidR="00A56ABB" w:rsidRPr="009913FE">
        <w:rPr>
          <w:sz w:val="24"/>
          <w:szCs w:val="24"/>
        </w:rPr>
        <w:t>be</w:t>
      </w:r>
      <w:r w:rsidR="001A643C" w:rsidRPr="009913FE">
        <w:rPr>
          <w:sz w:val="24"/>
          <w:szCs w:val="24"/>
        </w:rPr>
        <w:t xml:space="preserve"> used to </w:t>
      </w:r>
      <w:r w:rsidR="00DD50F6" w:rsidRPr="009913FE">
        <w:rPr>
          <w:sz w:val="24"/>
          <w:szCs w:val="24"/>
        </w:rPr>
        <w:t>develop</w:t>
      </w:r>
      <w:r w:rsidR="001A643C" w:rsidRPr="009913FE">
        <w:rPr>
          <w:sz w:val="24"/>
          <w:szCs w:val="24"/>
        </w:rPr>
        <w:t xml:space="preserve"> accurate measure</w:t>
      </w:r>
      <w:r w:rsidR="006C64F9" w:rsidRPr="009913FE">
        <w:rPr>
          <w:sz w:val="24"/>
          <w:szCs w:val="24"/>
        </w:rPr>
        <w:t>s</w:t>
      </w:r>
      <w:r w:rsidR="001A643C" w:rsidRPr="009913FE">
        <w:rPr>
          <w:sz w:val="24"/>
          <w:szCs w:val="24"/>
        </w:rPr>
        <w:t xml:space="preserve"> of the flow of electricity into and out of the United States</w:t>
      </w:r>
      <w:r w:rsidR="00DD50F6" w:rsidRPr="009913FE">
        <w:rPr>
          <w:sz w:val="24"/>
          <w:szCs w:val="24"/>
        </w:rPr>
        <w:t xml:space="preserve"> from Canada and Mexico</w:t>
      </w:r>
      <w:r w:rsidR="001A643C" w:rsidRPr="009913FE">
        <w:rPr>
          <w:sz w:val="24"/>
          <w:szCs w:val="24"/>
        </w:rPr>
        <w:t xml:space="preserve">. </w:t>
      </w:r>
      <w:r w:rsidR="00514166">
        <w:rPr>
          <w:sz w:val="24"/>
          <w:szCs w:val="24"/>
          <w:lang w:val="fr-FR"/>
        </w:rPr>
        <w:t xml:space="preserve">The </w:t>
      </w:r>
      <w:r w:rsidR="00514166" w:rsidRPr="00514166">
        <w:rPr>
          <w:sz w:val="24"/>
          <w:szCs w:val="24"/>
        </w:rPr>
        <w:t>comments</w:t>
      </w:r>
      <w:r w:rsidR="00514166">
        <w:rPr>
          <w:sz w:val="24"/>
          <w:szCs w:val="24"/>
          <w:lang w:val="fr-FR"/>
        </w:rPr>
        <w:t xml:space="preserve"> </w:t>
      </w:r>
      <w:r w:rsidR="00514166" w:rsidRPr="00514166">
        <w:rPr>
          <w:sz w:val="24"/>
          <w:szCs w:val="24"/>
        </w:rPr>
        <w:t>received</w:t>
      </w:r>
      <w:r w:rsidR="00514166">
        <w:rPr>
          <w:sz w:val="24"/>
          <w:szCs w:val="24"/>
          <w:lang w:val="fr-FR"/>
        </w:rPr>
        <w:t xml:space="preserve"> and </w:t>
      </w:r>
      <w:r w:rsidR="00514166" w:rsidRPr="00514166">
        <w:rPr>
          <w:sz w:val="24"/>
          <w:szCs w:val="24"/>
        </w:rPr>
        <w:t>responses</w:t>
      </w:r>
      <w:r w:rsidR="00514166">
        <w:rPr>
          <w:sz w:val="24"/>
          <w:szCs w:val="24"/>
          <w:lang w:val="fr-FR"/>
        </w:rPr>
        <w:t xml:space="preserve"> are in </w:t>
      </w:r>
      <w:r w:rsidR="00514166" w:rsidRPr="00514166">
        <w:rPr>
          <w:sz w:val="24"/>
          <w:szCs w:val="24"/>
        </w:rPr>
        <w:t>Appendix</w:t>
      </w:r>
      <w:r w:rsidR="00514166">
        <w:rPr>
          <w:sz w:val="24"/>
          <w:szCs w:val="24"/>
          <w:lang w:val="fr-FR"/>
        </w:rPr>
        <w:t xml:space="preserve"> A of </w:t>
      </w:r>
      <w:r w:rsidR="00514166" w:rsidRPr="00514166">
        <w:rPr>
          <w:sz w:val="24"/>
          <w:szCs w:val="24"/>
        </w:rPr>
        <w:t>this</w:t>
      </w:r>
      <w:r w:rsidR="00514166">
        <w:rPr>
          <w:sz w:val="24"/>
          <w:szCs w:val="24"/>
          <w:lang w:val="fr-FR"/>
        </w:rPr>
        <w:t xml:space="preserve"> document.</w:t>
      </w:r>
    </w:p>
    <w:p w:rsidR="00454EC8" w:rsidRPr="009913FE" w:rsidRDefault="00454EC8" w:rsidP="003B5C60">
      <w:pPr>
        <w:rPr>
          <w:sz w:val="24"/>
          <w:szCs w:val="24"/>
        </w:rPr>
      </w:pPr>
    </w:p>
    <w:p w:rsidR="00E95119" w:rsidRPr="00644504" w:rsidRDefault="00E95119" w:rsidP="00E95119">
      <w:pPr>
        <w:rPr>
          <w:b/>
          <w:sz w:val="28"/>
          <w:szCs w:val="28"/>
        </w:rPr>
      </w:pPr>
      <w:r w:rsidRPr="00E95119">
        <w:rPr>
          <w:b/>
          <w:sz w:val="28"/>
        </w:rPr>
        <w:t>PROPOSED CHANGES TO</w:t>
      </w:r>
      <w:r>
        <w:rPr>
          <w:b/>
          <w:sz w:val="28"/>
        </w:rPr>
        <w:t xml:space="preserve"> THE </w:t>
      </w:r>
      <w:r w:rsidRPr="00644504">
        <w:rPr>
          <w:b/>
          <w:sz w:val="28"/>
          <w:szCs w:val="28"/>
        </w:rPr>
        <w:t>QUARTERLY ELECTRICITY IMPORTS AND EXPORTS REPORT</w:t>
      </w:r>
    </w:p>
    <w:p w:rsidR="008F4CBC" w:rsidRPr="009913FE" w:rsidRDefault="008F4CBC" w:rsidP="008F4CBC">
      <w:pPr>
        <w:rPr>
          <w:sz w:val="24"/>
          <w:szCs w:val="24"/>
        </w:rPr>
      </w:pPr>
    </w:p>
    <w:p w:rsidR="00D3706E" w:rsidRPr="009913FE" w:rsidRDefault="00344937" w:rsidP="00D3706E">
      <w:pPr>
        <w:rPr>
          <w:sz w:val="24"/>
          <w:szCs w:val="24"/>
        </w:rPr>
      </w:pPr>
      <w:r w:rsidRPr="009913FE">
        <w:rPr>
          <w:sz w:val="24"/>
          <w:szCs w:val="24"/>
        </w:rPr>
        <w:t xml:space="preserve">EIA </w:t>
      </w:r>
      <w:r w:rsidR="00D3706E" w:rsidRPr="009913FE">
        <w:rPr>
          <w:sz w:val="24"/>
          <w:szCs w:val="24"/>
        </w:rPr>
        <w:t xml:space="preserve">requests </w:t>
      </w:r>
      <w:r w:rsidR="00D3706E" w:rsidRPr="009913FE">
        <w:rPr>
          <w:color w:val="000000"/>
          <w:sz w:val="24"/>
          <w:szCs w:val="24"/>
        </w:rPr>
        <w:t xml:space="preserve">a 3-year approval </w:t>
      </w:r>
      <w:r w:rsidR="00D3706E" w:rsidRPr="009913FE">
        <w:rPr>
          <w:sz w:val="24"/>
          <w:szCs w:val="24"/>
        </w:rPr>
        <w:t xml:space="preserve">from the </w:t>
      </w:r>
      <w:r w:rsidR="00D95350" w:rsidRPr="009913FE">
        <w:rPr>
          <w:sz w:val="24"/>
          <w:szCs w:val="24"/>
        </w:rPr>
        <w:t>OMB</w:t>
      </w:r>
      <w:r w:rsidR="00D95350" w:rsidRPr="009913FE" w:rsidDel="00D95350">
        <w:rPr>
          <w:sz w:val="24"/>
          <w:szCs w:val="24"/>
        </w:rPr>
        <w:t xml:space="preserve"> </w:t>
      </w:r>
      <w:r w:rsidR="00D3706E" w:rsidRPr="009913FE">
        <w:rPr>
          <w:sz w:val="24"/>
          <w:szCs w:val="24"/>
        </w:rPr>
        <w:t>for clearance of the following electric power survey form:</w:t>
      </w:r>
    </w:p>
    <w:p w:rsidR="00D3706E" w:rsidRPr="009913FE" w:rsidRDefault="00D3706E" w:rsidP="00D3706E">
      <w:pPr>
        <w:rPr>
          <w:sz w:val="24"/>
          <w:szCs w:val="24"/>
        </w:rPr>
      </w:pPr>
    </w:p>
    <w:p w:rsidR="00D3706E" w:rsidRPr="009913FE" w:rsidRDefault="00D3706E" w:rsidP="00D3706E">
      <w:pPr>
        <w:pStyle w:val="Heading4"/>
        <w:tabs>
          <w:tab w:val="clear" w:pos="1080"/>
          <w:tab w:val="left" w:pos="720"/>
        </w:tabs>
        <w:rPr>
          <w:i w:val="0"/>
          <w:szCs w:val="24"/>
        </w:rPr>
      </w:pPr>
      <w:r w:rsidRPr="009913FE">
        <w:rPr>
          <w:szCs w:val="24"/>
        </w:rPr>
        <w:tab/>
      </w:r>
      <w:r w:rsidRPr="009913FE">
        <w:rPr>
          <w:b w:val="0"/>
          <w:i w:val="0"/>
          <w:szCs w:val="24"/>
        </w:rPr>
        <w:tab/>
      </w:r>
      <w:r w:rsidRPr="009913FE">
        <w:rPr>
          <w:i w:val="0"/>
          <w:szCs w:val="24"/>
        </w:rPr>
        <w:t>Form EIA-111, “Quarterly Electricity Imports and Exports Report”</w:t>
      </w:r>
    </w:p>
    <w:p w:rsidR="00D3706E" w:rsidRPr="009913FE" w:rsidRDefault="00D3706E" w:rsidP="00D3706E"/>
    <w:p w:rsidR="00D3706E" w:rsidRPr="009913FE" w:rsidRDefault="00D3706E" w:rsidP="00DD50F6">
      <w:pPr>
        <w:pStyle w:val="BodyText"/>
        <w:spacing w:before="120" w:after="120"/>
        <w:rPr>
          <w:color w:val="000000"/>
          <w:szCs w:val="24"/>
        </w:rPr>
      </w:pPr>
      <w:r w:rsidRPr="009913FE">
        <w:rPr>
          <w:szCs w:val="24"/>
        </w:rPr>
        <w:t xml:space="preserve">This </w:t>
      </w:r>
      <w:r w:rsidR="004A2796" w:rsidRPr="009913FE">
        <w:rPr>
          <w:szCs w:val="24"/>
        </w:rPr>
        <w:t xml:space="preserve">form </w:t>
      </w:r>
      <w:r w:rsidRPr="009913FE">
        <w:rPr>
          <w:szCs w:val="24"/>
        </w:rPr>
        <w:t xml:space="preserve">is </w:t>
      </w:r>
      <w:r w:rsidR="00454EC8" w:rsidRPr="009913FE">
        <w:rPr>
          <w:szCs w:val="24"/>
        </w:rPr>
        <w:t xml:space="preserve">proposed </w:t>
      </w:r>
      <w:r w:rsidRPr="009913FE">
        <w:rPr>
          <w:szCs w:val="24"/>
        </w:rPr>
        <w:t xml:space="preserve">pursuant to the authority granted to the Department of Energy by the </w:t>
      </w:r>
      <w:r w:rsidR="00031DBC" w:rsidRPr="009913FE">
        <w:rPr>
          <w:szCs w:val="24"/>
        </w:rPr>
        <w:t>Federal Energy Administration Act (FEA Act)</w:t>
      </w:r>
      <w:r w:rsidRPr="009913FE">
        <w:rPr>
          <w:szCs w:val="24"/>
        </w:rPr>
        <w:t xml:space="preserve"> (Public Law 93-275).  The mandatory Form EIA-111 </w:t>
      </w:r>
      <w:r w:rsidR="00454EC8" w:rsidRPr="009913FE">
        <w:rPr>
          <w:szCs w:val="24"/>
        </w:rPr>
        <w:t xml:space="preserve">would </w:t>
      </w:r>
      <w:r w:rsidR="00EC1A45" w:rsidRPr="009913FE">
        <w:rPr>
          <w:szCs w:val="24"/>
        </w:rPr>
        <w:t>collect mo</w:t>
      </w:r>
      <w:r w:rsidR="0090656E" w:rsidRPr="009913FE">
        <w:rPr>
          <w:szCs w:val="24"/>
        </w:rPr>
        <w:t>nthly data on a quarterly</w:t>
      </w:r>
      <w:r w:rsidR="00BC15A6" w:rsidRPr="009913FE">
        <w:rPr>
          <w:szCs w:val="24"/>
        </w:rPr>
        <w:t xml:space="preserve"> basis</w:t>
      </w:r>
      <w:r w:rsidR="00583461" w:rsidRPr="009913FE">
        <w:rPr>
          <w:szCs w:val="24"/>
        </w:rPr>
        <w:t xml:space="preserve">. </w:t>
      </w:r>
    </w:p>
    <w:p w:rsidR="00243651" w:rsidRPr="009913FE" w:rsidRDefault="00243651" w:rsidP="00DD50F6">
      <w:pPr>
        <w:pStyle w:val="BodyText"/>
        <w:spacing w:before="120" w:after="120"/>
        <w:rPr>
          <w:szCs w:val="24"/>
        </w:rPr>
      </w:pPr>
      <w:r w:rsidRPr="009913FE">
        <w:rPr>
          <w:szCs w:val="24"/>
        </w:rPr>
        <w:t>The</w:t>
      </w:r>
      <w:r w:rsidR="0030156B">
        <w:rPr>
          <w:szCs w:val="24"/>
        </w:rPr>
        <w:t>re two proposed changes to</w:t>
      </w:r>
      <w:r w:rsidR="006B458B" w:rsidRPr="009913FE">
        <w:rPr>
          <w:szCs w:val="24"/>
        </w:rPr>
        <w:t xml:space="preserve"> </w:t>
      </w:r>
      <w:r w:rsidR="002D472A" w:rsidRPr="009913FE">
        <w:rPr>
          <w:szCs w:val="24"/>
        </w:rPr>
        <w:t>F</w:t>
      </w:r>
      <w:r w:rsidR="006B458B" w:rsidRPr="009913FE">
        <w:rPr>
          <w:szCs w:val="24"/>
        </w:rPr>
        <w:t xml:space="preserve">orm </w:t>
      </w:r>
      <w:r w:rsidR="002D472A" w:rsidRPr="009913FE">
        <w:rPr>
          <w:szCs w:val="24"/>
        </w:rPr>
        <w:t>EIA-111</w:t>
      </w:r>
      <w:r w:rsidRPr="009913FE">
        <w:rPr>
          <w:szCs w:val="24"/>
        </w:rPr>
        <w:t xml:space="preserve">: </w:t>
      </w:r>
    </w:p>
    <w:p w:rsidR="0030156B" w:rsidRDefault="0030156B" w:rsidP="0030156B">
      <w:pPr>
        <w:pStyle w:val="BodyTextIndent"/>
        <w:ind w:left="360"/>
        <w:rPr>
          <w:szCs w:val="24"/>
        </w:rPr>
      </w:pPr>
      <w:r>
        <w:rPr>
          <w:szCs w:val="24"/>
        </w:rPr>
        <w:t>(1) T</w:t>
      </w:r>
      <w:r w:rsidRPr="00132134">
        <w:rPr>
          <w:szCs w:val="24"/>
        </w:rPr>
        <w:t>he data element “Transfer Facility’s Presidential Permit numbers” is changed to “Transmission Provider/Transfer Facility(ies)” and</w:t>
      </w:r>
    </w:p>
    <w:p w:rsidR="008666E7" w:rsidRDefault="0030156B" w:rsidP="0030156B">
      <w:pPr>
        <w:pStyle w:val="BodyTextIndent"/>
        <w:ind w:left="360"/>
        <w:rPr>
          <w:szCs w:val="24"/>
        </w:rPr>
      </w:pPr>
      <w:r>
        <w:rPr>
          <w:szCs w:val="24"/>
        </w:rPr>
        <w:t xml:space="preserve">(2) </w:t>
      </w:r>
      <w:r w:rsidRPr="00132134">
        <w:rPr>
          <w:szCs w:val="24"/>
        </w:rPr>
        <w:t xml:space="preserve"> </w:t>
      </w:r>
      <w:r>
        <w:rPr>
          <w:szCs w:val="24"/>
        </w:rPr>
        <w:t>A new schedule</w:t>
      </w:r>
      <w:r w:rsidRPr="00132134">
        <w:rPr>
          <w:szCs w:val="24"/>
        </w:rPr>
        <w:t xml:space="preserve"> for reporting </w:t>
      </w:r>
      <w:r>
        <w:rPr>
          <w:szCs w:val="24"/>
        </w:rPr>
        <w:t>metered flow on transfer facilities</w:t>
      </w:r>
      <w:r w:rsidRPr="00132134">
        <w:rPr>
          <w:szCs w:val="24"/>
        </w:rPr>
        <w:t xml:space="preserve"> is </w:t>
      </w:r>
      <w:r>
        <w:rPr>
          <w:szCs w:val="24"/>
        </w:rPr>
        <w:t>added</w:t>
      </w:r>
      <w:r w:rsidRPr="00132134">
        <w:rPr>
          <w:szCs w:val="24"/>
        </w:rPr>
        <w:t xml:space="preserve"> to collect monthly metered cross border flow </w:t>
      </w:r>
      <w:r>
        <w:rPr>
          <w:szCs w:val="24"/>
        </w:rPr>
        <w:t>over Presidential Permit holder and other transfer</w:t>
      </w:r>
      <w:r w:rsidRPr="00132134">
        <w:rPr>
          <w:szCs w:val="24"/>
        </w:rPr>
        <w:t xml:space="preserve"> facilities</w:t>
      </w:r>
      <w:r>
        <w:rPr>
          <w:szCs w:val="24"/>
        </w:rPr>
        <w:t>:</w:t>
      </w:r>
    </w:p>
    <w:p w:rsidR="0030156B" w:rsidRPr="009913FE" w:rsidRDefault="0030156B" w:rsidP="008666E7">
      <w:pPr>
        <w:pStyle w:val="BodyTextIndent"/>
        <w:ind w:left="1080"/>
      </w:pPr>
    </w:p>
    <w:p w:rsidR="00243651" w:rsidRPr="009913FE" w:rsidRDefault="00543E19" w:rsidP="00243651">
      <w:pPr>
        <w:pStyle w:val="BodyText"/>
        <w:ind w:left="360"/>
        <w:rPr>
          <w:szCs w:val="24"/>
        </w:rPr>
      </w:pPr>
      <w:r w:rsidRPr="00543E19">
        <w:rPr>
          <w:b/>
          <w:szCs w:val="24"/>
          <w:u w:val="single"/>
        </w:rPr>
        <w:t>The</w:t>
      </w:r>
      <w:r w:rsidR="00243651" w:rsidRPr="00543E19">
        <w:rPr>
          <w:szCs w:val="24"/>
          <w:u w:val="single"/>
        </w:rPr>
        <w:t xml:space="preserve"> </w:t>
      </w:r>
      <w:r w:rsidR="008B5BA3" w:rsidRPr="00543E19">
        <w:rPr>
          <w:b/>
          <w:szCs w:val="24"/>
          <w:u w:val="single"/>
        </w:rPr>
        <w:t>Metered Flow</w:t>
      </w:r>
      <w:r w:rsidR="000A1F77" w:rsidRPr="000A1F77">
        <w:rPr>
          <w:b/>
          <w:u w:val="single"/>
        </w:rPr>
        <w:t xml:space="preserve"> on Transfer Facilities</w:t>
      </w:r>
      <w:r w:rsidR="008B5BA3" w:rsidRPr="009913FE">
        <w:rPr>
          <w:b/>
          <w:szCs w:val="24"/>
        </w:rPr>
        <w:t xml:space="preserve"> </w:t>
      </w:r>
      <w:r>
        <w:rPr>
          <w:szCs w:val="24"/>
        </w:rPr>
        <w:t xml:space="preserve">schedule </w:t>
      </w:r>
      <w:r w:rsidRPr="009913FE">
        <w:rPr>
          <w:szCs w:val="24"/>
        </w:rPr>
        <w:t xml:space="preserve">collects </w:t>
      </w:r>
      <w:r w:rsidR="00243651" w:rsidRPr="009913FE">
        <w:rPr>
          <w:szCs w:val="24"/>
        </w:rPr>
        <w:t xml:space="preserve">information </w:t>
      </w:r>
      <w:r>
        <w:rPr>
          <w:szCs w:val="24"/>
        </w:rPr>
        <w:t xml:space="preserve">on the metered flow of electricity </w:t>
      </w:r>
      <w:r w:rsidR="0073167E" w:rsidRPr="009913FE">
        <w:rPr>
          <w:szCs w:val="24"/>
        </w:rPr>
        <w:t xml:space="preserve">from </w:t>
      </w:r>
      <w:r w:rsidR="008B5BA3">
        <w:rPr>
          <w:szCs w:val="24"/>
        </w:rPr>
        <w:t>Presidential Permit holders and other owners/operators of transmission/distribution facilities crossing</w:t>
      </w:r>
      <w:r w:rsidR="00DC4B24" w:rsidRPr="009913FE">
        <w:rPr>
          <w:szCs w:val="24"/>
        </w:rPr>
        <w:t xml:space="preserve"> U.S. international borders</w:t>
      </w:r>
      <w:r w:rsidR="00243651" w:rsidRPr="009913FE">
        <w:rPr>
          <w:szCs w:val="24"/>
        </w:rPr>
        <w:t xml:space="preserve">.  The </w:t>
      </w:r>
      <w:r w:rsidR="00D35009" w:rsidRPr="009913FE">
        <w:rPr>
          <w:szCs w:val="24"/>
        </w:rPr>
        <w:t xml:space="preserve">metered flow </w:t>
      </w:r>
      <w:r w:rsidR="00243651" w:rsidRPr="009913FE">
        <w:rPr>
          <w:szCs w:val="24"/>
        </w:rPr>
        <w:t xml:space="preserve">is to be measured on an </w:t>
      </w:r>
      <w:r w:rsidR="009C6036" w:rsidRPr="009913FE">
        <w:rPr>
          <w:szCs w:val="24"/>
        </w:rPr>
        <w:t>hourly</w:t>
      </w:r>
      <w:r w:rsidR="00243651" w:rsidRPr="009913FE">
        <w:rPr>
          <w:szCs w:val="24"/>
        </w:rPr>
        <w:t xml:space="preserve"> integrated basis in megawatt-hours</w:t>
      </w:r>
      <w:r w:rsidR="00583461" w:rsidRPr="009913FE">
        <w:rPr>
          <w:szCs w:val="24"/>
        </w:rPr>
        <w:t xml:space="preserve"> (MWh)</w:t>
      </w:r>
      <w:r w:rsidR="00243651" w:rsidRPr="009913FE">
        <w:rPr>
          <w:szCs w:val="24"/>
        </w:rPr>
        <w:t>.</w:t>
      </w:r>
    </w:p>
    <w:p w:rsidR="00243651" w:rsidRPr="009913FE" w:rsidRDefault="00243651" w:rsidP="00243651">
      <w:pPr>
        <w:pStyle w:val="BodyText"/>
        <w:ind w:left="360"/>
        <w:rPr>
          <w:szCs w:val="24"/>
        </w:rPr>
      </w:pPr>
    </w:p>
    <w:p w:rsidR="00243651" w:rsidRPr="009913FE" w:rsidRDefault="00A01A34" w:rsidP="00243651">
      <w:pPr>
        <w:pStyle w:val="BodyText"/>
        <w:ind w:left="360"/>
        <w:rPr>
          <w:szCs w:val="24"/>
        </w:rPr>
      </w:pPr>
      <w:r w:rsidRPr="009913FE">
        <w:rPr>
          <w:szCs w:val="24"/>
        </w:rPr>
        <w:t>Key</w:t>
      </w:r>
      <w:r w:rsidR="00243651" w:rsidRPr="009913FE">
        <w:rPr>
          <w:szCs w:val="24"/>
        </w:rPr>
        <w:t xml:space="preserve"> </w:t>
      </w:r>
      <w:r w:rsidR="009C6036" w:rsidRPr="009913FE">
        <w:rPr>
          <w:szCs w:val="24"/>
        </w:rPr>
        <w:t>information</w:t>
      </w:r>
      <w:r w:rsidR="00243651" w:rsidRPr="009913FE">
        <w:rPr>
          <w:szCs w:val="24"/>
        </w:rPr>
        <w:t xml:space="preserve"> required:</w:t>
      </w:r>
    </w:p>
    <w:p w:rsidR="00243651" w:rsidRPr="009913FE" w:rsidRDefault="00243651" w:rsidP="00243651">
      <w:pPr>
        <w:pStyle w:val="BodyText"/>
        <w:ind w:left="360"/>
        <w:rPr>
          <w:szCs w:val="24"/>
        </w:rPr>
      </w:pPr>
    </w:p>
    <w:p w:rsidR="000C5D2A" w:rsidRPr="009913FE" w:rsidRDefault="000C5D2A" w:rsidP="000C5D2A">
      <w:pPr>
        <w:pStyle w:val="BodyText"/>
        <w:numPr>
          <w:ilvl w:val="0"/>
          <w:numId w:val="43"/>
        </w:numPr>
        <w:rPr>
          <w:szCs w:val="24"/>
        </w:rPr>
      </w:pPr>
      <w:r>
        <w:rPr>
          <w:szCs w:val="24"/>
        </w:rPr>
        <w:t>Presidential Permit #/transfer facility name</w:t>
      </w:r>
    </w:p>
    <w:p w:rsidR="00243651" w:rsidRPr="009913FE" w:rsidRDefault="008B5BA3" w:rsidP="00243651">
      <w:pPr>
        <w:pStyle w:val="BodyText"/>
        <w:numPr>
          <w:ilvl w:val="0"/>
          <w:numId w:val="43"/>
        </w:numPr>
        <w:rPr>
          <w:szCs w:val="24"/>
        </w:rPr>
      </w:pPr>
      <w:r>
        <w:rPr>
          <w:szCs w:val="24"/>
        </w:rPr>
        <w:t>Metered Flow</w:t>
      </w:r>
      <w:r w:rsidR="00243651" w:rsidRPr="009913FE">
        <w:rPr>
          <w:szCs w:val="24"/>
        </w:rPr>
        <w:t xml:space="preserve"> Received and Delivered (MWh)</w:t>
      </w:r>
    </w:p>
    <w:p w:rsidR="003B5C60" w:rsidRPr="0030156B" w:rsidRDefault="00D35009" w:rsidP="008F4CBC">
      <w:pPr>
        <w:pStyle w:val="BodyText"/>
        <w:numPr>
          <w:ilvl w:val="0"/>
          <w:numId w:val="43"/>
        </w:numPr>
        <w:rPr>
          <w:szCs w:val="24"/>
        </w:rPr>
      </w:pPr>
      <w:r w:rsidRPr="009913FE">
        <w:rPr>
          <w:szCs w:val="24"/>
        </w:rPr>
        <w:t>Comments</w:t>
      </w:r>
    </w:p>
    <w:p w:rsidR="00C6384A" w:rsidRDefault="00C6384A">
      <w:pPr>
        <w:rPr>
          <w:b/>
          <w:sz w:val="28"/>
          <w:szCs w:val="24"/>
        </w:rPr>
      </w:pPr>
      <w:bookmarkStart w:id="5" w:name="_Toc318697071"/>
    </w:p>
    <w:p w:rsidR="0001347C" w:rsidRPr="009913FE" w:rsidRDefault="0001347C" w:rsidP="008F4CBC">
      <w:pPr>
        <w:pStyle w:val="Heading2"/>
        <w:jc w:val="left"/>
        <w:rPr>
          <w:szCs w:val="24"/>
        </w:rPr>
      </w:pPr>
      <w:bookmarkStart w:id="6" w:name="_Toc422466755"/>
      <w:r w:rsidRPr="009913FE">
        <w:rPr>
          <w:szCs w:val="24"/>
        </w:rPr>
        <w:t>Justification</w:t>
      </w:r>
      <w:bookmarkEnd w:id="5"/>
      <w:bookmarkEnd w:id="6"/>
    </w:p>
    <w:p w:rsidR="00EE78DC" w:rsidRPr="009913FE" w:rsidRDefault="00EE78DC" w:rsidP="008F4CBC">
      <w:pPr>
        <w:pStyle w:val="Heading3"/>
        <w:rPr>
          <w:szCs w:val="24"/>
        </w:rPr>
      </w:pPr>
      <w:bookmarkStart w:id="7" w:name="_Toc524334485"/>
      <w:bookmarkStart w:id="8" w:name="_Toc524334567"/>
      <w:bookmarkStart w:id="9" w:name="_Toc524334715"/>
      <w:bookmarkStart w:id="10" w:name="_Toc524334908"/>
    </w:p>
    <w:p w:rsidR="0001347C" w:rsidRPr="009913FE" w:rsidRDefault="0001347C" w:rsidP="008F4CBC">
      <w:pPr>
        <w:pStyle w:val="Heading3"/>
        <w:rPr>
          <w:szCs w:val="24"/>
        </w:rPr>
      </w:pPr>
      <w:bookmarkStart w:id="11" w:name="_Toc318697072"/>
      <w:bookmarkStart w:id="12" w:name="_Toc422466756"/>
      <w:r w:rsidRPr="009913FE">
        <w:rPr>
          <w:szCs w:val="24"/>
        </w:rPr>
        <w:t>1</w:t>
      </w:r>
      <w:r w:rsidR="001D3C29" w:rsidRPr="009913FE">
        <w:rPr>
          <w:szCs w:val="24"/>
        </w:rPr>
        <w:t>. Legal</w:t>
      </w:r>
      <w:r w:rsidRPr="009913FE">
        <w:rPr>
          <w:szCs w:val="24"/>
        </w:rPr>
        <w:t xml:space="preserve"> Justification</w:t>
      </w:r>
      <w:bookmarkEnd w:id="7"/>
      <w:bookmarkEnd w:id="8"/>
      <w:bookmarkEnd w:id="9"/>
      <w:bookmarkEnd w:id="10"/>
      <w:bookmarkEnd w:id="11"/>
      <w:bookmarkEnd w:id="12"/>
    </w:p>
    <w:p w:rsidR="0001347C" w:rsidRPr="009913FE" w:rsidRDefault="0001347C" w:rsidP="00946DF9">
      <w:pPr>
        <w:rPr>
          <w:b/>
          <w:bCs/>
          <w:sz w:val="24"/>
          <w:szCs w:val="24"/>
        </w:rPr>
      </w:pPr>
    </w:p>
    <w:p w:rsidR="006D1A32" w:rsidRPr="009913FE" w:rsidRDefault="00BD623B" w:rsidP="00946DF9">
      <w:pPr>
        <w:rPr>
          <w:bCs/>
          <w:sz w:val="24"/>
          <w:szCs w:val="24"/>
        </w:rPr>
      </w:pPr>
      <w:r w:rsidRPr="009913FE">
        <w:rPr>
          <w:bCs/>
          <w:sz w:val="24"/>
          <w:szCs w:val="24"/>
        </w:rPr>
        <w:t>The authority for this data collection is derived from the following provision:</w:t>
      </w:r>
    </w:p>
    <w:p w:rsidR="006D1A32" w:rsidRPr="009913FE" w:rsidRDefault="006D1A32" w:rsidP="00946DF9">
      <w:pPr>
        <w:rPr>
          <w:b/>
          <w:bCs/>
          <w:sz w:val="24"/>
          <w:szCs w:val="24"/>
        </w:rPr>
      </w:pPr>
    </w:p>
    <w:p w:rsidR="0001347C" w:rsidRPr="009913FE" w:rsidRDefault="0001347C" w:rsidP="00946DF9">
      <w:pPr>
        <w:pStyle w:val="BodyText"/>
        <w:rPr>
          <w:szCs w:val="24"/>
        </w:rPr>
      </w:pPr>
      <w:r w:rsidRPr="009913FE">
        <w:rPr>
          <w:szCs w:val="24"/>
        </w:rPr>
        <w:t xml:space="preserve">Section 13(b), 15 U.S.C. §772(b), of the </w:t>
      </w:r>
      <w:r w:rsidR="006F42E3" w:rsidRPr="009913FE">
        <w:rPr>
          <w:szCs w:val="24"/>
        </w:rPr>
        <w:t>F</w:t>
      </w:r>
      <w:r w:rsidR="00347319" w:rsidRPr="009913FE">
        <w:rPr>
          <w:szCs w:val="24"/>
        </w:rPr>
        <w:t xml:space="preserve">ederal </w:t>
      </w:r>
      <w:r w:rsidR="006F42E3" w:rsidRPr="009913FE">
        <w:rPr>
          <w:szCs w:val="24"/>
        </w:rPr>
        <w:t>E</w:t>
      </w:r>
      <w:r w:rsidR="00347319" w:rsidRPr="009913FE">
        <w:rPr>
          <w:szCs w:val="24"/>
        </w:rPr>
        <w:t xml:space="preserve">nergy </w:t>
      </w:r>
      <w:r w:rsidR="006F42E3" w:rsidRPr="009913FE">
        <w:rPr>
          <w:szCs w:val="24"/>
        </w:rPr>
        <w:t>A</w:t>
      </w:r>
      <w:r w:rsidR="00347319" w:rsidRPr="009913FE">
        <w:rPr>
          <w:szCs w:val="24"/>
        </w:rPr>
        <w:t>dministration</w:t>
      </w:r>
      <w:r w:rsidR="006F42E3" w:rsidRPr="009913FE">
        <w:rPr>
          <w:szCs w:val="24"/>
        </w:rPr>
        <w:t xml:space="preserve"> Act</w:t>
      </w:r>
      <w:r w:rsidR="00347319" w:rsidRPr="009913FE">
        <w:rPr>
          <w:szCs w:val="24"/>
        </w:rPr>
        <w:t xml:space="preserve"> (FEA Act)</w:t>
      </w:r>
      <w:r w:rsidRPr="009913FE">
        <w:rPr>
          <w:szCs w:val="24"/>
        </w:rPr>
        <w:t xml:space="preserve">, Public Law 93-275, outlines the types of individuals subject to the data collection authority delegated to the Administrator and the general parameters of the type of data </w:t>
      </w:r>
      <w:r w:rsidR="00C52191">
        <w:rPr>
          <w:szCs w:val="24"/>
        </w:rPr>
        <w:t>that</w:t>
      </w:r>
      <w:r w:rsidR="00C52191" w:rsidRPr="009913FE">
        <w:rPr>
          <w:szCs w:val="24"/>
        </w:rPr>
        <w:t xml:space="preserve"> </w:t>
      </w:r>
      <w:r w:rsidRPr="009913FE">
        <w:rPr>
          <w:szCs w:val="24"/>
        </w:rPr>
        <w:t>can be required.  Section 13(b) states:</w:t>
      </w:r>
    </w:p>
    <w:p w:rsidR="0001347C" w:rsidRPr="009913FE" w:rsidRDefault="0001347C" w:rsidP="00946DF9">
      <w:pPr>
        <w:rPr>
          <w:sz w:val="24"/>
          <w:szCs w:val="24"/>
        </w:rPr>
      </w:pPr>
    </w:p>
    <w:p w:rsidR="0001347C" w:rsidRPr="009913FE" w:rsidRDefault="0001347C" w:rsidP="00946DF9">
      <w:pPr>
        <w:pStyle w:val="BlockText"/>
        <w:ind w:right="1440"/>
        <w:rPr>
          <w:szCs w:val="24"/>
        </w:rPr>
      </w:pPr>
      <w:r w:rsidRPr="009913FE">
        <w:rPr>
          <w:szCs w:val="24"/>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7A19CC" w:rsidRPr="009913FE" w:rsidRDefault="007A19CC" w:rsidP="00946DF9">
      <w:pPr>
        <w:rPr>
          <w:sz w:val="24"/>
          <w:szCs w:val="24"/>
        </w:rPr>
      </w:pPr>
    </w:p>
    <w:p w:rsidR="0001347C" w:rsidRPr="009913FE" w:rsidRDefault="0001347C" w:rsidP="00946DF9">
      <w:pPr>
        <w:rPr>
          <w:sz w:val="24"/>
          <w:szCs w:val="24"/>
        </w:rPr>
      </w:pPr>
      <w:r w:rsidRPr="009913FE">
        <w:rPr>
          <w:sz w:val="24"/>
          <w:szCs w:val="24"/>
        </w:rPr>
        <w:t>The objectives of the FEA Act are set forth in Section 5(b), 15 U.S.C. §764(b), of the FEA Act, which states that the Secretary shall, to the extent (s)he is authorized by Section 5(a) of the FEA Act,</w:t>
      </w:r>
    </w:p>
    <w:p w:rsidR="0035357C" w:rsidRPr="009913FE" w:rsidRDefault="0035357C" w:rsidP="00946DF9">
      <w:pPr>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“(2) assess the adequacy of energy resources to meet demands in the immediate and longer range future for all sectors of the economy and for the general public;...</w:t>
      </w:r>
    </w:p>
    <w:p w:rsidR="0001347C" w:rsidRPr="009913FE" w:rsidRDefault="0001347C" w:rsidP="00946DF9">
      <w:pPr>
        <w:ind w:right="1440"/>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(9) collect, evaluate, assemble, and analyze energy information on reserves, production, demand, and related economic data</w:t>
      </w:r>
      <w:r w:rsidR="002D1C21" w:rsidRPr="009913FE">
        <w:rPr>
          <w:sz w:val="24"/>
          <w:szCs w:val="24"/>
        </w:rPr>
        <w:t>;</w:t>
      </w:r>
    </w:p>
    <w:p w:rsidR="0001347C" w:rsidRPr="009913FE" w:rsidRDefault="0001347C" w:rsidP="00946DF9">
      <w:pPr>
        <w:ind w:right="1440"/>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(12) perform such other functions as may be prescribed by law.”</w:t>
      </w:r>
    </w:p>
    <w:p w:rsidR="0014156D" w:rsidRPr="009913FE" w:rsidRDefault="0014156D" w:rsidP="00946DF9">
      <w:pPr>
        <w:rPr>
          <w:sz w:val="24"/>
          <w:szCs w:val="24"/>
        </w:rPr>
      </w:pPr>
    </w:p>
    <w:p w:rsidR="0001347C" w:rsidRPr="009913FE" w:rsidRDefault="0001347C" w:rsidP="00946DF9">
      <w:pPr>
        <w:rPr>
          <w:sz w:val="24"/>
          <w:szCs w:val="24"/>
        </w:rPr>
      </w:pPr>
      <w:r w:rsidRPr="009913FE">
        <w:rPr>
          <w:sz w:val="24"/>
          <w:szCs w:val="24"/>
        </w:rPr>
        <w:t xml:space="preserve">As the authority for invoking Section 5(b) above, Section 5(a), </w:t>
      </w:r>
      <w:r w:rsidR="003510DA" w:rsidRPr="009913FE">
        <w:rPr>
          <w:sz w:val="24"/>
          <w:szCs w:val="24"/>
        </w:rPr>
        <w:t>and 15</w:t>
      </w:r>
      <w:r w:rsidRPr="009913FE">
        <w:rPr>
          <w:sz w:val="24"/>
          <w:szCs w:val="24"/>
        </w:rPr>
        <w:t xml:space="preserve"> U.S.C. §764(a), of the FEA Act in turn states:</w:t>
      </w:r>
    </w:p>
    <w:p w:rsidR="0001347C" w:rsidRPr="009913FE" w:rsidRDefault="00177AAD" w:rsidP="00946DF9">
      <w:pPr>
        <w:rPr>
          <w:sz w:val="24"/>
          <w:szCs w:val="24"/>
        </w:rPr>
      </w:pPr>
      <w:r w:rsidRPr="009913FE">
        <w:rPr>
          <w:sz w:val="24"/>
          <w:szCs w:val="24"/>
        </w:rPr>
        <w:t xml:space="preserve">         </w:t>
      </w: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1347C" w:rsidRPr="009913FE" w:rsidRDefault="0001347C" w:rsidP="00946DF9">
      <w:pPr>
        <w:ind w:right="1440"/>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(1) specifically transferred to or vested in him by or pursuant to this Act;...</w:t>
      </w:r>
    </w:p>
    <w:p w:rsidR="0001347C" w:rsidRPr="009913FE" w:rsidRDefault="0001347C" w:rsidP="00946DF9">
      <w:pPr>
        <w:ind w:right="1440"/>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(3) otherwise specifically vested in the [Secretary] by the Congress.”</w:t>
      </w:r>
    </w:p>
    <w:p w:rsidR="0001347C" w:rsidRPr="009913FE" w:rsidRDefault="0001347C" w:rsidP="00946DF9">
      <w:pPr>
        <w:rPr>
          <w:sz w:val="24"/>
          <w:szCs w:val="24"/>
        </w:rPr>
      </w:pPr>
    </w:p>
    <w:p w:rsidR="0001347C" w:rsidRPr="009913FE" w:rsidRDefault="0001347C" w:rsidP="00946DF9">
      <w:pPr>
        <w:rPr>
          <w:sz w:val="24"/>
          <w:szCs w:val="24"/>
        </w:rPr>
      </w:pPr>
      <w:r w:rsidRPr="009913FE">
        <w:rPr>
          <w:sz w:val="24"/>
          <w:szCs w:val="24"/>
        </w:rPr>
        <w:t xml:space="preserve">Authority for invoking Section 5(a) of the FEA Act is provided by Section 52, 15 U.S.C. §790(a) and (b), of the FEA Act, which states </w:t>
      </w:r>
      <w:r w:rsidR="009C6036" w:rsidRPr="009913FE">
        <w:rPr>
          <w:sz w:val="24"/>
          <w:szCs w:val="24"/>
        </w:rPr>
        <w:t>that</w:t>
      </w:r>
      <w:r w:rsidRPr="009913FE">
        <w:rPr>
          <w:sz w:val="24"/>
          <w:szCs w:val="24"/>
        </w:rPr>
        <w:t xml:space="preserve"> the </w:t>
      </w:r>
      <w:r w:rsidR="001A5D38" w:rsidRPr="00E95119">
        <w:rPr>
          <w:sz w:val="24"/>
          <w:szCs w:val="24"/>
        </w:rPr>
        <w:t xml:space="preserve">EIA </w:t>
      </w:r>
      <w:r w:rsidRPr="009913FE">
        <w:rPr>
          <w:sz w:val="24"/>
          <w:szCs w:val="24"/>
        </w:rPr>
        <w:t>Administrator:</w:t>
      </w:r>
    </w:p>
    <w:p w:rsidR="0001347C" w:rsidRPr="009913FE" w:rsidRDefault="0001347C" w:rsidP="00946DF9">
      <w:pPr>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“(a)</w:t>
      </w:r>
      <w:r w:rsidR="00A161BF" w:rsidRPr="009913FE">
        <w:rPr>
          <w:sz w:val="24"/>
          <w:szCs w:val="24"/>
        </w:rPr>
        <w:t>... [</w:t>
      </w:r>
      <w:r w:rsidRPr="009913FE">
        <w:rPr>
          <w:sz w:val="24"/>
          <w:szCs w:val="24"/>
        </w:rPr>
        <w:t>Shall] establish a National Energy Information System</w:t>
      </w:r>
      <w:r w:rsidR="00A161BF" w:rsidRPr="009913FE">
        <w:rPr>
          <w:sz w:val="24"/>
          <w:szCs w:val="24"/>
        </w:rPr>
        <w:t>... [</w:t>
      </w:r>
      <w:r w:rsidRPr="009913FE">
        <w:rPr>
          <w:sz w:val="24"/>
          <w:szCs w:val="24"/>
        </w:rPr>
        <w:t>which] shall contain such information as is required to provide a description of and facilitate analysis of energy supply and consumption...</w:t>
      </w:r>
    </w:p>
    <w:p w:rsidR="0001347C" w:rsidRPr="009913FE" w:rsidRDefault="0001347C" w:rsidP="00946DF9">
      <w:pPr>
        <w:ind w:right="1440"/>
        <w:rPr>
          <w:sz w:val="24"/>
          <w:szCs w:val="24"/>
        </w:rPr>
      </w:pPr>
    </w:p>
    <w:p w:rsidR="0001347C" w:rsidRPr="009913FE"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9913FE">
        <w:rPr>
          <w:sz w:val="24"/>
          <w:szCs w:val="24"/>
        </w:rPr>
        <w:t>(b) ...the System shall contain such energy information as is necessary to carry out the Administration's statistical and forecasting activities..., and such energy information as is required to define and permit analysis of...</w:t>
      </w:r>
    </w:p>
    <w:p w:rsidR="0001347C" w:rsidRPr="009913FE" w:rsidRDefault="0001347C" w:rsidP="00946DF9">
      <w:pPr>
        <w:ind w:right="1440"/>
        <w:rPr>
          <w:sz w:val="24"/>
          <w:szCs w:val="24"/>
        </w:rPr>
      </w:pPr>
    </w:p>
    <w:p w:rsidR="0001347C" w:rsidRPr="009913FE"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9913FE">
        <w:rPr>
          <w:sz w:val="24"/>
          <w:szCs w:val="24"/>
        </w:rPr>
        <w:t>(1) the institutional structure of the energy supply system, including patterns of ownership and control of mineral fuel and non-mineral energy resources and the production, distribution, and marketing of mineral fuels and electricity;</w:t>
      </w:r>
    </w:p>
    <w:p w:rsidR="0001347C" w:rsidRPr="009913FE" w:rsidRDefault="0001347C" w:rsidP="00946DF9">
      <w:pPr>
        <w:tabs>
          <w:tab w:val="left" w:pos="1080"/>
        </w:tabs>
        <w:ind w:left="1170" w:right="1440"/>
        <w:rPr>
          <w:sz w:val="24"/>
          <w:szCs w:val="24"/>
        </w:rPr>
      </w:pPr>
    </w:p>
    <w:p w:rsidR="0001347C" w:rsidRPr="009913FE"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trike/>
          <w:sz w:val="24"/>
          <w:szCs w:val="24"/>
        </w:rPr>
      </w:pPr>
      <w:r w:rsidRPr="009913FE">
        <w:rPr>
          <w:sz w:val="24"/>
          <w:szCs w:val="24"/>
        </w:rPr>
        <w:t>(2) the consumption of mineral fuels, non-mineral</w:t>
      </w:r>
      <w:r w:rsidR="001835EF" w:rsidRPr="009913FE">
        <w:rPr>
          <w:sz w:val="24"/>
          <w:szCs w:val="24"/>
        </w:rPr>
        <w:t xml:space="preserve"> </w:t>
      </w:r>
      <w:r w:rsidRPr="009913FE">
        <w:rPr>
          <w:sz w:val="24"/>
          <w:szCs w:val="24"/>
        </w:rPr>
        <w:t>energy resources, and electricity by such classes, sectors, and regions as may be appropriate for the purposes of this Act;</w:t>
      </w:r>
    </w:p>
    <w:p w:rsidR="0001347C" w:rsidRPr="009913FE"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01347C" w:rsidRPr="009913FE"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9913FE">
        <w:rPr>
          <w:sz w:val="24"/>
          <w:szCs w:val="24"/>
        </w:rPr>
        <w:t xml:space="preserve">(3) the sensitivity of energy resource reserves, exploration, development, production, transportation, and consumption to economic factors, environmental constraints, technological improvements, and substitutability of alternate energy sources; . . . </w:t>
      </w:r>
    </w:p>
    <w:p w:rsidR="0001347C" w:rsidRPr="009913FE" w:rsidRDefault="0001347C" w:rsidP="00946DF9">
      <w:pPr>
        <w:tabs>
          <w:tab w:val="left" w:pos="1080"/>
        </w:tabs>
        <w:ind w:left="1170" w:right="1440"/>
        <w:rPr>
          <w:sz w:val="24"/>
          <w:szCs w:val="24"/>
        </w:rPr>
      </w:pPr>
    </w:p>
    <w:p w:rsidR="0001347C" w:rsidRPr="009913FE"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9913FE">
        <w:rPr>
          <w:sz w:val="24"/>
          <w:szCs w:val="24"/>
        </w:rPr>
        <w:t>(5) ...industrial, labor, and regional impacts of changes and patterns of energy supply and consumption...”</w:t>
      </w:r>
    </w:p>
    <w:p w:rsidR="00CB7879" w:rsidRPr="009913FE" w:rsidRDefault="00CB7879"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CB7879" w:rsidRPr="009913FE" w:rsidRDefault="00CB7879"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01347C" w:rsidRPr="009913FE" w:rsidRDefault="008D0A91" w:rsidP="004B1A6C">
      <w:pPr>
        <w:pStyle w:val="Heading3"/>
        <w:rPr>
          <w:szCs w:val="24"/>
        </w:rPr>
      </w:pPr>
      <w:bookmarkStart w:id="13" w:name="_Toc524334486"/>
      <w:bookmarkStart w:id="14" w:name="_Toc524334568"/>
      <w:bookmarkStart w:id="15" w:name="_Toc524334716"/>
      <w:bookmarkStart w:id="16" w:name="_Toc524334909"/>
      <w:bookmarkStart w:id="17" w:name="_Toc318697073"/>
      <w:bookmarkStart w:id="18" w:name="_Toc422466757"/>
      <w:r w:rsidRPr="009913FE">
        <w:rPr>
          <w:szCs w:val="24"/>
        </w:rPr>
        <w:t xml:space="preserve">2. </w:t>
      </w:r>
      <w:r w:rsidR="0001347C" w:rsidRPr="009913FE">
        <w:rPr>
          <w:szCs w:val="24"/>
        </w:rPr>
        <w:t>Needs and Uses of Data</w:t>
      </w:r>
      <w:bookmarkEnd w:id="13"/>
      <w:bookmarkEnd w:id="14"/>
      <w:bookmarkEnd w:id="15"/>
      <w:bookmarkEnd w:id="16"/>
      <w:bookmarkEnd w:id="17"/>
      <w:bookmarkEnd w:id="18"/>
      <w:r w:rsidR="0001347C" w:rsidRPr="009913FE">
        <w:rPr>
          <w:szCs w:val="24"/>
        </w:rPr>
        <w:t xml:space="preserve">  </w:t>
      </w:r>
    </w:p>
    <w:p w:rsidR="0001347C" w:rsidRPr="009913FE" w:rsidRDefault="0001347C" w:rsidP="00946DF9">
      <w:pPr>
        <w:pStyle w:val="Heading3"/>
        <w:ind w:firstLine="720"/>
        <w:rPr>
          <w:szCs w:val="24"/>
        </w:rPr>
      </w:pPr>
    </w:p>
    <w:p w:rsidR="009E059A" w:rsidRPr="009913FE" w:rsidRDefault="0086558B" w:rsidP="00946DF9">
      <w:pPr>
        <w:rPr>
          <w:sz w:val="24"/>
          <w:szCs w:val="24"/>
        </w:rPr>
      </w:pPr>
      <w:r w:rsidRPr="009913FE">
        <w:rPr>
          <w:sz w:val="24"/>
          <w:szCs w:val="24"/>
        </w:rPr>
        <w:t xml:space="preserve">The purpose of the Form EIA-111 is to collect </w:t>
      </w:r>
      <w:r w:rsidR="00D35009" w:rsidRPr="009913FE">
        <w:rPr>
          <w:sz w:val="24"/>
          <w:szCs w:val="24"/>
        </w:rPr>
        <w:t xml:space="preserve">statistical and regulatory </w:t>
      </w:r>
      <w:r w:rsidRPr="009913FE">
        <w:rPr>
          <w:sz w:val="24"/>
          <w:szCs w:val="24"/>
        </w:rPr>
        <w:t>data about imports and exports of electricity into and out of the U.S.</w:t>
      </w:r>
    </w:p>
    <w:p w:rsidR="00992708" w:rsidRPr="009913FE" w:rsidRDefault="00992708" w:rsidP="00B932B4">
      <w:bookmarkStart w:id="19" w:name="_Toc524334487"/>
      <w:bookmarkStart w:id="20" w:name="_Toc524334569"/>
      <w:bookmarkStart w:id="21" w:name="_Toc524334717"/>
      <w:bookmarkStart w:id="22" w:name="_Toc524334910"/>
    </w:p>
    <w:p w:rsidR="00D07FE4" w:rsidRPr="009913FE" w:rsidRDefault="00D07FE4" w:rsidP="00992708">
      <w:pPr>
        <w:pStyle w:val="Heading4"/>
        <w:rPr>
          <w:szCs w:val="24"/>
        </w:rPr>
      </w:pPr>
    </w:p>
    <w:p w:rsidR="00992708" w:rsidRPr="009913FE" w:rsidRDefault="0001347C" w:rsidP="00992708">
      <w:pPr>
        <w:pStyle w:val="Heading4"/>
        <w:rPr>
          <w:szCs w:val="24"/>
        </w:rPr>
      </w:pPr>
      <w:r w:rsidRPr="009913FE">
        <w:rPr>
          <w:szCs w:val="24"/>
        </w:rPr>
        <w:t>2.1. Overview of Data Uses</w:t>
      </w:r>
      <w:bookmarkEnd w:id="19"/>
      <w:bookmarkEnd w:id="20"/>
      <w:bookmarkEnd w:id="21"/>
      <w:bookmarkEnd w:id="22"/>
    </w:p>
    <w:p w:rsidR="00345C17" w:rsidRPr="009913FE" w:rsidRDefault="00345C17" w:rsidP="00345C17"/>
    <w:p w:rsidR="00D147C9" w:rsidRPr="009913FE" w:rsidRDefault="00057633" w:rsidP="00946DF9">
      <w:pPr>
        <w:pStyle w:val="z-TopofForm"/>
        <w:rPr>
          <w:szCs w:val="24"/>
        </w:rPr>
      </w:pPr>
      <w:r w:rsidRPr="009913FE">
        <w:rPr>
          <w:szCs w:val="24"/>
        </w:rPr>
        <w:t>The form</w:t>
      </w:r>
      <w:r w:rsidR="0001347C" w:rsidRPr="009913FE">
        <w:rPr>
          <w:szCs w:val="24"/>
        </w:rPr>
        <w:t xml:space="preserve"> is designed to </w:t>
      </w:r>
      <w:r w:rsidR="000E16AA" w:rsidRPr="009913FE">
        <w:rPr>
          <w:szCs w:val="24"/>
        </w:rPr>
        <w:t>collect</w:t>
      </w:r>
      <w:r w:rsidR="0001347C" w:rsidRPr="009913FE">
        <w:rPr>
          <w:szCs w:val="24"/>
        </w:rPr>
        <w:t xml:space="preserve"> data from </w:t>
      </w:r>
      <w:r w:rsidR="008F7B69" w:rsidRPr="009913FE">
        <w:rPr>
          <w:szCs w:val="24"/>
        </w:rPr>
        <w:t xml:space="preserve">all </w:t>
      </w:r>
      <w:r w:rsidR="0001347C" w:rsidRPr="009913FE">
        <w:rPr>
          <w:szCs w:val="24"/>
        </w:rPr>
        <w:t xml:space="preserve">entities engaged in the sale, </w:t>
      </w:r>
      <w:r w:rsidR="008F7B69" w:rsidRPr="009913FE">
        <w:rPr>
          <w:szCs w:val="24"/>
        </w:rPr>
        <w:t xml:space="preserve">purchase, transfer </w:t>
      </w:r>
      <w:r w:rsidR="0001347C" w:rsidRPr="009913FE">
        <w:rPr>
          <w:szCs w:val="24"/>
        </w:rPr>
        <w:t xml:space="preserve">or </w:t>
      </w:r>
      <w:r w:rsidR="008F7B69" w:rsidRPr="009913FE">
        <w:rPr>
          <w:szCs w:val="24"/>
        </w:rPr>
        <w:t>operational support for cross-border transmission</w:t>
      </w:r>
      <w:r w:rsidR="000C3729" w:rsidRPr="009913FE">
        <w:rPr>
          <w:szCs w:val="24"/>
        </w:rPr>
        <w:t xml:space="preserve"> </w:t>
      </w:r>
      <w:r w:rsidR="00C90C5A" w:rsidRPr="009913FE">
        <w:rPr>
          <w:szCs w:val="24"/>
        </w:rPr>
        <w:t>of electricity</w:t>
      </w:r>
      <w:r w:rsidR="00D80C3D" w:rsidRPr="009913FE">
        <w:rPr>
          <w:szCs w:val="24"/>
        </w:rPr>
        <w:t>.</w:t>
      </w:r>
    </w:p>
    <w:p w:rsidR="00D80C3D" w:rsidRPr="009913FE" w:rsidRDefault="00D80C3D" w:rsidP="00946DF9">
      <w:pPr>
        <w:pStyle w:val="z-TopofForm"/>
        <w:rPr>
          <w:szCs w:val="24"/>
        </w:rPr>
      </w:pPr>
    </w:p>
    <w:p w:rsidR="0001347C" w:rsidRPr="009913FE" w:rsidRDefault="0050505D" w:rsidP="00D147C9">
      <w:pPr>
        <w:rPr>
          <w:szCs w:val="24"/>
        </w:rPr>
      </w:pPr>
      <w:r w:rsidRPr="009913FE">
        <w:rPr>
          <w:sz w:val="24"/>
          <w:szCs w:val="24"/>
        </w:rPr>
        <w:t xml:space="preserve">Form </w:t>
      </w:r>
      <w:r w:rsidR="00D147C9" w:rsidRPr="009913FE">
        <w:rPr>
          <w:sz w:val="24"/>
          <w:szCs w:val="24"/>
        </w:rPr>
        <w:t xml:space="preserve">EIA-111 survey data will directly support the mission of the DOE Office of Electricity Delivery and Energy Reliability </w:t>
      </w:r>
      <w:r w:rsidR="008C36FB" w:rsidRPr="009913FE">
        <w:rPr>
          <w:sz w:val="24"/>
          <w:szCs w:val="24"/>
        </w:rPr>
        <w:t xml:space="preserve">(DOE-OE) </w:t>
      </w:r>
      <w:r w:rsidR="00D147C9" w:rsidRPr="009913FE">
        <w:rPr>
          <w:sz w:val="24"/>
          <w:szCs w:val="24"/>
        </w:rPr>
        <w:t>which monitors compliance with the terms of Presidential Permits</w:t>
      </w:r>
      <w:r w:rsidR="008C36FB" w:rsidRPr="009913FE">
        <w:rPr>
          <w:sz w:val="24"/>
          <w:szCs w:val="24"/>
        </w:rPr>
        <w:t xml:space="preserve"> </w:t>
      </w:r>
      <w:r w:rsidR="00D147C9" w:rsidRPr="009913FE">
        <w:rPr>
          <w:sz w:val="24"/>
          <w:szCs w:val="24"/>
        </w:rPr>
        <w:t xml:space="preserve">and Export Authorizations.  </w:t>
      </w:r>
      <w:r w:rsidR="000760FB" w:rsidRPr="009913FE">
        <w:rPr>
          <w:sz w:val="24"/>
          <w:szCs w:val="24"/>
        </w:rPr>
        <w:t>DOE-</w:t>
      </w:r>
      <w:r w:rsidR="00D147C9" w:rsidRPr="009913FE">
        <w:rPr>
          <w:sz w:val="24"/>
          <w:szCs w:val="24"/>
        </w:rPr>
        <w:t xml:space="preserve">OE needs </w:t>
      </w:r>
      <w:r w:rsidR="0035357C" w:rsidRPr="009913FE">
        <w:rPr>
          <w:sz w:val="24"/>
          <w:szCs w:val="24"/>
        </w:rPr>
        <w:t xml:space="preserve">the import/export data </w:t>
      </w:r>
      <w:r w:rsidR="00D147C9" w:rsidRPr="009913FE">
        <w:rPr>
          <w:sz w:val="24"/>
          <w:szCs w:val="24"/>
        </w:rPr>
        <w:t>to determine whether to re</w:t>
      </w:r>
      <w:r w:rsidR="006D76A1">
        <w:rPr>
          <w:sz w:val="24"/>
          <w:szCs w:val="24"/>
        </w:rPr>
        <w:t xml:space="preserve">-approve applications to </w:t>
      </w:r>
      <w:r w:rsidR="00D147C9" w:rsidRPr="009913FE">
        <w:rPr>
          <w:sz w:val="24"/>
          <w:szCs w:val="24"/>
        </w:rPr>
        <w:t>export electricity, furnish decision makers with accurate information on which to base trade policy</w:t>
      </w:r>
      <w:r w:rsidR="0035357C" w:rsidRPr="009913FE">
        <w:rPr>
          <w:sz w:val="24"/>
          <w:szCs w:val="24"/>
        </w:rPr>
        <w:t>, and</w:t>
      </w:r>
      <w:r w:rsidR="00D147C9" w:rsidRPr="009913FE">
        <w:rPr>
          <w:sz w:val="24"/>
          <w:szCs w:val="24"/>
        </w:rPr>
        <w:t xml:space="preserve"> to verify that the holders of </w:t>
      </w:r>
      <w:r w:rsidR="008C36FB" w:rsidRPr="009913FE">
        <w:rPr>
          <w:sz w:val="24"/>
          <w:szCs w:val="24"/>
        </w:rPr>
        <w:t>P</w:t>
      </w:r>
      <w:r w:rsidR="006D76A1">
        <w:rPr>
          <w:sz w:val="24"/>
          <w:szCs w:val="24"/>
        </w:rPr>
        <w:t>residential Permit</w:t>
      </w:r>
      <w:r w:rsidR="008C36FB" w:rsidRPr="009913FE">
        <w:rPr>
          <w:sz w:val="24"/>
          <w:szCs w:val="24"/>
        </w:rPr>
        <w:t>s</w:t>
      </w:r>
      <w:r w:rsidR="00D147C9" w:rsidRPr="009913FE">
        <w:rPr>
          <w:sz w:val="24"/>
          <w:szCs w:val="24"/>
        </w:rPr>
        <w:t xml:space="preserve"> and </w:t>
      </w:r>
      <w:r w:rsidR="00D35009" w:rsidRPr="009913FE">
        <w:rPr>
          <w:sz w:val="24"/>
          <w:szCs w:val="24"/>
        </w:rPr>
        <w:t>E</w:t>
      </w:r>
      <w:r w:rsidR="006D76A1">
        <w:rPr>
          <w:sz w:val="24"/>
          <w:szCs w:val="24"/>
        </w:rPr>
        <w:t xml:space="preserve">xport </w:t>
      </w:r>
      <w:r w:rsidR="00D35009" w:rsidRPr="009913FE">
        <w:rPr>
          <w:sz w:val="24"/>
          <w:szCs w:val="24"/>
        </w:rPr>
        <w:t>A</w:t>
      </w:r>
      <w:r w:rsidR="006D76A1">
        <w:rPr>
          <w:sz w:val="24"/>
          <w:szCs w:val="24"/>
        </w:rPr>
        <w:t>uthorization</w:t>
      </w:r>
      <w:r w:rsidR="00D35009" w:rsidRPr="009913FE">
        <w:rPr>
          <w:sz w:val="24"/>
          <w:szCs w:val="24"/>
        </w:rPr>
        <w:t>s</w:t>
      </w:r>
      <w:r w:rsidR="00D147C9" w:rsidRPr="009913FE">
        <w:rPr>
          <w:sz w:val="24"/>
          <w:szCs w:val="24"/>
        </w:rPr>
        <w:t xml:space="preserve"> have complied with the terms and conditions of the</w:t>
      </w:r>
      <w:r w:rsidR="00D35009" w:rsidRPr="009913FE">
        <w:rPr>
          <w:sz w:val="24"/>
          <w:szCs w:val="24"/>
        </w:rPr>
        <w:t>ir</w:t>
      </w:r>
      <w:r w:rsidR="00D147C9" w:rsidRPr="009913FE">
        <w:rPr>
          <w:sz w:val="24"/>
          <w:szCs w:val="24"/>
        </w:rPr>
        <w:t xml:space="preserve"> permit </w:t>
      </w:r>
      <w:r w:rsidR="00D35009" w:rsidRPr="009913FE">
        <w:rPr>
          <w:sz w:val="24"/>
          <w:szCs w:val="24"/>
        </w:rPr>
        <w:t>or</w:t>
      </w:r>
      <w:r w:rsidR="00D147C9" w:rsidRPr="009913FE">
        <w:rPr>
          <w:sz w:val="24"/>
          <w:szCs w:val="24"/>
        </w:rPr>
        <w:t xml:space="preserve"> </w:t>
      </w:r>
      <w:r w:rsidR="00D35009" w:rsidRPr="009913FE">
        <w:rPr>
          <w:sz w:val="24"/>
          <w:szCs w:val="24"/>
        </w:rPr>
        <w:t>a</w:t>
      </w:r>
      <w:r w:rsidR="00D147C9" w:rsidRPr="009913FE">
        <w:rPr>
          <w:sz w:val="24"/>
          <w:szCs w:val="24"/>
        </w:rPr>
        <w:t>uthorization</w:t>
      </w:r>
      <w:r w:rsidR="00D35009" w:rsidRPr="009913FE">
        <w:rPr>
          <w:sz w:val="24"/>
          <w:szCs w:val="24"/>
        </w:rPr>
        <w:t xml:space="preserve"> order</w:t>
      </w:r>
      <w:r w:rsidR="0035357C" w:rsidRPr="009913FE">
        <w:rPr>
          <w:sz w:val="24"/>
          <w:szCs w:val="24"/>
        </w:rPr>
        <w:t xml:space="preserve">.  </w:t>
      </w:r>
      <w:r w:rsidR="008C36FB" w:rsidRPr="009913FE">
        <w:rPr>
          <w:sz w:val="24"/>
          <w:szCs w:val="24"/>
        </w:rPr>
        <w:t>DOE-</w:t>
      </w:r>
      <w:r w:rsidR="00D147C9" w:rsidRPr="009913FE">
        <w:rPr>
          <w:sz w:val="24"/>
          <w:szCs w:val="24"/>
        </w:rPr>
        <w:t xml:space="preserve">OE will also use the data to </w:t>
      </w:r>
      <w:r w:rsidR="0035357C" w:rsidRPr="009913FE">
        <w:rPr>
          <w:sz w:val="24"/>
          <w:szCs w:val="24"/>
        </w:rPr>
        <w:t>en</w:t>
      </w:r>
      <w:r w:rsidR="00D147C9" w:rsidRPr="009913FE">
        <w:rPr>
          <w:sz w:val="24"/>
          <w:szCs w:val="24"/>
        </w:rPr>
        <w:t xml:space="preserve">sure </w:t>
      </w:r>
      <w:r w:rsidR="0035357C" w:rsidRPr="009913FE">
        <w:rPr>
          <w:sz w:val="24"/>
          <w:szCs w:val="24"/>
        </w:rPr>
        <w:t xml:space="preserve">that </w:t>
      </w:r>
      <w:r w:rsidR="00D147C9" w:rsidRPr="009913FE">
        <w:rPr>
          <w:sz w:val="24"/>
          <w:szCs w:val="24"/>
        </w:rPr>
        <w:t xml:space="preserve">exports of electric energy do not impair the sufficiency of electric power supply within the United States or impede the coordinated use of the U.S. power supply network.  </w:t>
      </w:r>
    </w:p>
    <w:p w:rsidR="00BC06C1" w:rsidRPr="009913FE" w:rsidRDefault="00BC06C1" w:rsidP="00946DF9">
      <w:pPr>
        <w:pStyle w:val="z-TopofForm"/>
        <w:rPr>
          <w:szCs w:val="24"/>
        </w:rPr>
      </w:pPr>
    </w:p>
    <w:p w:rsidR="0001347C" w:rsidRPr="009913FE" w:rsidRDefault="001916A5" w:rsidP="00946DF9">
      <w:pPr>
        <w:pStyle w:val="z-TopofForm"/>
        <w:rPr>
          <w:szCs w:val="24"/>
        </w:rPr>
      </w:pPr>
      <w:r w:rsidRPr="009913FE">
        <w:rPr>
          <w:szCs w:val="24"/>
        </w:rPr>
        <w:t>State government regu</w:t>
      </w:r>
      <w:r w:rsidR="00E45D03" w:rsidRPr="009913FE">
        <w:rPr>
          <w:szCs w:val="24"/>
        </w:rPr>
        <w:t>lators and analysts use these</w:t>
      </w:r>
      <w:r w:rsidRPr="009913FE">
        <w:rPr>
          <w:szCs w:val="24"/>
        </w:rPr>
        <w:t xml:space="preserve"> data for assessing </w:t>
      </w:r>
      <w:r w:rsidR="008F7B69" w:rsidRPr="009913FE">
        <w:rPr>
          <w:szCs w:val="24"/>
        </w:rPr>
        <w:t xml:space="preserve">electricity input and output that impact </w:t>
      </w:r>
      <w:r w:rsidRPr="009913FE">
        <w:rPr>
          <w:szCs w:val="24"/>
        </w:rPr>
        <w:t xml:space="preserve">regional- and </w:t>
      </w:r>
      <w:r w:rsidR="00045779" w:rsidRPr="009913FE">
        <w:rPr>
          <w:szCs w:val="24"/>
        </w:rPr>
        <w:t>state</w:t>
      </w:r>
      <w:r w:rsidRPr="009913FE">
        <w:rPr>
          <w:szCs w:val="24"/>
        </w:rPr>
        <w:t>-level market conditions</w:t>
      </w:r>
      <w:r w:rsidR="008C36FB" w:rsidRPr="009913FE">
        <w:rPr>
          <w:szCs w:val="24"/>
        </w:rPr>
        <w:t>. They also use th</w:t>
      </w:r>
      <w:r w:rsidR="00D35009" w:rsidRPr="009913FE">
        <w:rPr>
          <w:szCs w:val="24"/>
        </w:rPr>
        <w:t>ese</w:t>
      </w:r>
      <w:r w:rsidR="008C36FB" w:rsidRPr="009913FE">
        <w:rPr>
          <w:szCs w:val="24"/>
        </w:rPr>
        <w:t xml:space="preserve"> data to</w:t>
      </w:r>
      <w:r w:rsidRPr="009913FE">
        <w:rPr>
          <w:szCs w:val="24"/>
        </w:rPr>
        <w:t xml:space="preserve"> </w:t>
      </w:r>
      <w:r w:rsidR="008C36FB" w:rsidRPr="009913FE">
        <w:rPr>
          <w:szCs w:val="24"/>
        </w:rPr>
        <w:t xml:space="preserve">determine </w:t>
      </w:r>
      <w:r w:rsidRPr="009913FE">
        <w:rPr>
          <w:szCs w:val="24"/>
        </w:rPr>
        <w:t xml:space="preserve">energy and environmental policies and </w:t>
      </w:r>
      <w:r w:rsidR="008C36FB" w:rsidRPr="009913FE">
        <w:rPr>
          <w:szCs w:val="24"/>
        </w:rPr>
        <w:t xml:space="preserve">for </w:t>
      </w:r>
      <w:r w:rsidRPr="009913FE">
        <w:rPr>
          <w:szCs w:val="24"/>
        </w:rPr>
        <w:t xml:space="preserve">other uses.  </w:t>
      </w:r>
      <w:r w:rsidR="0001347C" w:rsidRPr="009913FE">
        <w:rPr>
          <w:szCs w:val="24"/>
        </w:rPr>
        <w:t xml:space="preserve">In the absence of the centralized and public data collection by EIA, each </w:t>
      </w:r>
      <w:r w:rsidR="00045779" w:rsidRPr="009913FE">
        <w:rPr>
          <w:szCs w:val="24"/>
        </w:rPr>
        <w:t>state</w:t>
      </w:r>
      <w:r w:rsidR="0001347C" w:rsidRPr="009913FE">
        <w:rPr>
          <w:szCs w:val="24"/>
        </w:rPr>
        <w:t xml:space="preserve"> </w:t>
      </w:r>
      <w:r w:rsidR="0057395B" w:rsidRPr="009913FE">
        <w:rPr>
          <w:szCs w:val="24"/>
        </w:rPr>
        <w:t>on</w:t>
      </w:r>
      <w:r w:rsidR="00EF3B4D" w:rsidRPr="009913FE">
        <w:rPr>
          <w:szCs w:val="24"/>
        </w:rPr>
        <w:t xml:space="preserve"> an international border </w:t>
      </w:r>
      <w:r w:rsidR="0001347C" w:rsidRPr="009913FE">
        <w:rPr>
          <w:szCs w:val="24"/>
        </w:rPr>
        <w:t>would have to undertake its own data collection effort, in many cases requesting duplicative information from firms with</w:t>
      </w:r>
      <w:r w:rsidR="00BD512D" w:rsidRPr="009913FE">
        <w:rPr>
          <w:szCs w:val="24"/>
        </w:rPr>
        <w:t>in</w:t>
      </w:r>
      <w:r w:rsidR="0001347C" w:rsidRPr="009913FE">
        <w:rPr>
          <w:szCs w:val="24"/>
        </w:rPr>
        <w:t xml:space="preserve"> </w:t>
      </w:r>
      <w:r w:rsidR="009C5456" w:rsidRPr="009913FE">
        <w:rPr>
          <w:szCs w:val="24"/>
        </w:rPr>
        <w:t xml:space="preserve">the </w:t>
      </w:r>
      <w:r w:rsidR="0001347C" w:rsidRPr="009913FE">
        <w:rPr>
          <w:szCs w:val="24"/>
        </w:rPr>
        <w:t>ele</w:t>
      </w:r>
      <w:r w:rsidR="00EF3B4D" w:rsidRPr="009913FE">
        <w:rPr>
          <w:szCs w:val="24"/>
        </w:rPr>
        <w:t xml:space="preserve">ctric power industry </w:t>
      </w:r>
      <w:r w:rsidR="0001347C" w:rsidRPr="009913FE">
        <w:rPr>
          <w:szCs w:val="24"/>
        </w:rPr>
        <w:t>t</w:t>
      </w:r>
      <w:r w:rsidR="00EF3B4D" w:rsidRPr="009913FE">
        <w:rPr>
          <w:szCs w:val="24"/>
        </w:rPr>
        <w:t>hat support operations of international border transmission</w:t>
      </w:r>
      <w:r w:rsidR="0001347C" w:rsidRPr="009913FE">
        <w:rPr>
          <w:szCs w:val="24"/>
        </w:rPr>
        <w:t xml:space="preserve"> lines.  </w:t>
      </w:r>
      <w:r w:rsidR="00EF3B4D" w:rsidRPr="009913FE">
        <w:rPr>
          <w:szCs w:val="24"/>
        </w:rPr>
        <w:t>This</w:t>
      </w:r>
      <w:r w:rsidR="0001347C" w:rsidRPr="009913FE">
        <w:rPr>
          <w:szCs w:val="24"/>
        </w:rPr>
        <w:t xml:space="preserve"> data collection </w:t>
      </w:r>
      <w:r w:rsidR="00EF3B4D" w:rsidRPr="009913FE">
        <w:rPr>
          <w:szCs w:val="24"/>
        </w:rPr>
        <w:t>has been designed to ensure</w:t>
      </w:r>
      <w:r w:rsidR="0001347C" w:rsidRPr="009913FE">
        <w:rPr>
          <w:szCs w:val="24"/>
        </w:rPr>
        <w:t xml:space="preserve"> consistent data at minimum cost to the public and respondents.</w:t>
      </w:r>
      <w:r w:rsidR="00B71345" w:rsidRPr="009913FE">
        <w:rPr>
          <w:szCs w:val="24"/>
        </w:rPr>
        <w:t xml:space="preserve">  </w:t>
      </w:r>
      <w:r w:rsidR="0001347C" w:rsidRPr="009913FE">
        <w:rPr>
          <w:szCs w:val="24"/>
        </w:rPr>
        <w:t>In addition to government and p</w:t>
      </w:r>
      <w:r w:rsidR="00EF3B4D" w:rsidRPr="009913FE">
        <w:rPr>
          <w:szCs w:val="24"/>
        </w:rPr>
        <w:t>ower industry customers, these</w:t>
      </w:r>
      <w:r w:rsidR="0001347C" w:rsidRPr="009913FE">
        <w:rPr>
          <w:szCs w:val="24"/>
        </w:rPr>
        <w:t xml:space="preserve"> data </w:t>
      </w:r>
      <w:r w:rsidR="00EF3B4D" w:rsidRPr="009913FE">
        <w:rPr>
          <w:szCs w:val="24"/>
        </w:rPr>
        <w:t>will become</w:t>
      </w:r>
      <w:r w:rsidR="0001347C" w:rsidRPr="009913FE">
        <w:rPr>
          <w:szCs w:val="24"/>
        </w:rPr>
        <w:t xml:space="preserve"> the core information source for other private sector and academic analyses o</w:t>
      </w:r>
      <w:r w:rsidR="00A40C2A" w:rsidRPr="009913FE">
        <w:rPr>
          <w:szCs w:val="24"/>
        </w:rPr>
        <w:t>f the electric power industry</w:t>
      </w:r>
      <w:r w:rsidR="00EF3B4D" w:rsidRPr="009913FE">
        <w:rPr>
          <w:szCs w:val="24"/>
        </w:rPr>
        <w:t xml:space="preserve"> and the associated trade across international borders</w:t>
      </w:r>
      <w:r w:rsidR="00A40C2A" w:rsidRPr="009913FE">
        <w:rPr>
          <w:szCs w:val="24"/>
        </w:rPr>
        <w:t>.</w:t>
      </w:r>
    </w:p>
    <w:p w:rsidR="0001347C" w:rsidRPr="009913FE" w:rsidRDefault="0001347C" w:rsidP="00946DF9">
      <w:pPr>
        <w:pStyle w:val="z-TopofForm"/>
        <w:rPr>
          <w:szCs w:val="24"/>
        </w:rPr>
      </w:pPr>
    </w:p>
    <w:p w:rsidR="0001347C" w:rsidRPr="009913FE" w:rsidRDefault="006F1F16" w:rsidP="00946DF9">
      <w:pPr>
        <w:pStyle w:val="z-TopofForm"/>
        <w:rPr>
          <w:szCs w:val="24"/>
        </w:rPr>
      </w:pPr>
      <w:r w:rsidRPr="009913FE">
        <w:rPr>
          <w:szCs w:val="24"/>
        </w:rPr>
        <w:t>In summary, e</w:t>
      </w:r>
      <w:r w:rsidR="006F16DB" w:rsidRPr="009913FE">
        <w:rPr>
          <w:szCs w:val="24"/>
        </w:rPr>
        <w:t>xamples of activities</w:t>
      </w:r>
      <w:r w:rsidR="00EF3B4D" w:rsidRPr="009913FE">
        <w:rPr>
          <w:szCs w:val="24"/>
        </w:rPr>
        <w:t xml:space="preserve"> </w:t>
      </w:r>
      <w:r w:rsidR="00F628EF" w:rsidRPr="009913FE">
        <w:rPr>
          <w:szCs w:val="24"/>
        </w:rPr>
        <w:t>where</w:t>
      </w:r>
      <w:r w:rsidR="00EF3B4D" w:rsidRPr="009913FE">
        <w:rPr>
          <w:szCs w:val="24"/>
        </w:rPr>
        <w:t xml:space="preserve"> these data covering international electricity trade and electrical system</w:t>
      </w:r>
      <w:r w:rsidR="00A8200A" w:rsidRPr="009913FE">
        <w:rPr>
          <w:szCs w:val="24"/>
        </w:rPr>
        <w:t>s</w:t>
      </w:r>
      <w:r w:rsidR="00EF3B4D" w:rsidRPr="009913FE">
        <w:rPr>
          <w:szCs w:val="24"/>
        </w:rPr>
        <w:t xml:space="preserve"> </w:t>
      </w:r>
      <w:r w:rsidR="006F16DB" w:rsidRPr="009913FE">
        <w:rPr>
          <w:szCs w:val="24"/>
        </w:rPr>
        <w:t>are used</w:t>
      </w:r>
      <w:r w:rsidR="00F628EF" w:rsidRPr="009913FE">
        <w:rPr>
          <w:szCs w:val="24"/>
        </w:rPr>
        <w:t xml:space="preserve"> include</w:t>
      </w:r>
      <w:r w:rsidR="0001347C" w:rsidRPr="009913FE">
        <w:rPr>
          <w:szCs w:val="24"/>
        </w:rPr>
        <w:t>:</w:t>
      </w:r>
    </w:p>
    <w:p w:rsidR="0001347C" w:rsidRPr="009913FE" w:rsidRDefault="0001347C" w:rsidP="00946DF9">
      <w:pPr>
        <w:pStyle w:val="z-TopofForm"/>
        <w:rPr>
          <w:i/>
          <w:iCs/>
          <w:szCs w:val="24"/>
        </w:rPr>
      </w:pPr>
    </w:p>
    <w:p w:rsidR="00F71D2F" w:rsidRPr="009913FE" w:rsidRDefault="00F71D2F" w:rsidP="009B6EEE">
      <w:pPr>
        <w:pStyle w:val="z-TopofForm"/>
        <w:numPr>
          <w:ilvl w:val="0"/>
          <w:numId w:val="53"/>
        </w:numPr>
        <w:rPr>
          <w:szCs w:val="24"/>
        </w:rPr>
      </w:pPr>
      <w:r w:rsidRPr="009913FE">
        <w:rPr>
          <w:szCs w:val="24"/>
        </w:rPr>
        <w:t xml:space="preserve">Monitoring the compliance of permit and authorization holders </w:t>
      </w:r>
    </w:p>
    <w:p w:rsidR="0001347C" w:rsidRPr="009913FE" w:rsidRDefault="0001347C" w:rsidP="009B6EEE">
      <w:pPr>
        <w:pStyle w:val="z-TopofForm"/>
        <w:numPr>
          <w:ilvl w:val="0"/>
          <w:numId w:val="53"/>
        </w:numPr>
        <w:rPr>
          <w:szCs w:val="24"/>
        </w:rPr>
      </w:pPr>
      <w:r w:rsidRPr="009913FE">
        <w:rPr>
          <w:szCs w:val="24"/>
        </w:rPr>
        <w:t>Monitoring the electric power industry, its sectors, and relian</w:t>
      </w:r>
      <w:r w:rsidR="00FF37EF" w:rsidRPr="009913FE">
        <w:rPr>
          <w:szCs w:val="24"/>
        </w:rPr>
        <w:t xml:space="preserve">ce on </w:t>
      </w:r>
      <w:r w:rsidR="00433DE4" w:rsidRPr="009913FE">
        <w:rPr>
          <w:szCs w:val="24"/>
        </w:rPr>
        <w:t xml:space="preserve">international </w:t>
      </w:r>
      <w:r w:rsidR="00FF37EF" w:rsidRPr="009913FE">
        <w:rPr>
          <w:szCs w:val="24"/>
        </w:rPr>
        <w:t>trade</w:t>
      </w:r>
    </w:p>
    <w:p w:rsidR="0001347C" w:rsidRPr="009913FE" w:rsidRDefault="0001347C" w:rsidP="009B6EEE">
      <w:pPr>
        <w:pStyle w:val="z-TopofForm"/>
        <w:numPr>
          <w:ilvl w:val="0"/>
          <w:numId w:val="53"/>
        </w:numPr>
        <w:rPr>
          <w:szCs w:val="24"/>
        </w:rPr>
      </w:pPr>
      <w:r w:rsidRPr="009913FE">
        <w:rPr>
          <w:szCs w:val="24"/>
        </w:rPr>
        <w:t>Analyzing the adequacy of short</w:t>
      </w:r>
      <w:r w:rsidR="00433DE4" w:rsidRPr="009913FE">
        <w:rPr>
          <w:szCs w:val="24"/>
        </w:rPr>
        <w:t>-</w:t>
      </w:r>
      <w:r w:rsidRPr="009913FE">
        <w:rPr>
          <w:szCs w:val="24"/>
        </w:rPr>
        <w:t xml:space="preserve"> and long-term electricity supply</w:t>
      </w:r>
    </w:p>
    <w:p w:rsidR="0001347C" w:rsidRPr="009913FE" w:rsidRDefault="0001347C" w:rsidP="009B6EEE">
      <w:pPr>
        <w:pStyle w:val="z-TopofForm"/>
        <w:numPr>
          <w:ilvl w:val="0"/>
          <w:numId w:val="53"/>
        </w:numPr>
        <w:rPr>
          <w:szCs w:val="24"/>
        </w:rPr>
      </w:pPr>
      <w:r w:rsidRPr="009913FE">
        <w:rPr>
          <w:szCs w:val="24"/>
        </w:rPr>
        <w:t>Verifying information provided to State</w:t>
      </w:r>
      <w:r w:rsidR="00A40C2A" w:rsidRPr="009913FE">
        <w:rPr>
          <w:szCs w:val="24"/>
        </w:rPr>
        <w:t xml:space="preserve"> and other Federal agencie</w:t>
      </w:r>
      <w:r w:rsidRPr="009913FE">
        <w:rPr>
          <w:szCs w:val="24"/>
        </w:rPr>
        <w:t>s in other forums</w:t>
      </w:r>
    </w:p>
    <w:p w:rsidR="0001347C" w:rsidRPr="009913FE" w:rsidRDefault="00FF37EF" w:rsidP="009B6EEE">
      <w:pPr>
        <w:pStyle w:val="z-TopofForm"/>
        <w:numPr>
          <w:ilvl w:val="0"/>
          <w:numId w:val="53"/>
        </w:numPr>
        <w:rPr>
          <w:szCs w:val="24"/>
        </w:rPr>
      </w:pPr>
      <w:r w:rsidRPr="009913FE">
        <w:rPr>
          <w:szCs w:val="24"/>
        </w:rPr>
        <w:t>Monitoring</w:t>
      </w:r>
      <w:r w:rsidR="0001347C" w:rsidRPr="009913FE">
        <w:rPr>
          <w:szCs w:val="24"/>
        </w:rPr>
        <w:t xml:space="preserve"> open transmission line access</w:t>
      </w:r>
      <w:r w:rsidR="00EF3B4D" w:rsidRPr="009913FE">
        <w:rPr>
          <w:szCs w:val="24"/>
        </w:rPr>
        <w:t xml:space="preserve"> at the international border</w:t>
      </w:r>
    </w:p>
    <w:p w:rsidR="0001347C" w:rsidRPr="009913FE" w:rsidRDefault="0001347C" w:rsidP="009B6EEE">
      <w:pPr>
        <w:pStyle w:val="z-TopofForm"/>
        <w:numPr>
          <w:ilvl w:val="0"/>
          <w:numId w:val="53"/>
        </w:numPr>
        <w:rPr>
          <w:szCs w:val="24"/>
        </w:rPr>
      </w:pPr>
      <w:r w:rsidRPr="009913FE">
        <w:rPr>
          <w:szCs w:val="24"/>
        </w:rPr>
        <w:t>Evaluating transmission line constraints and system reliability</w:t>
      </w:r>
    </w:p>
    <w:p w:rsidR="0001347C" w:rsidRPr="009913FE" w:rsidRDefault="0001347C" w:rsidP="009B6EEE">
      <w:pPr>
        <w:pStyle w:val="z-TopofForm"/>
        <w:numPr>
          <w:ilvl w:val="0"/>
          <w:numId w:val="53"/>
        </w:numPr>
        <w:rPr>
          <w:szCs w:val="24"/>
        </w:rPr>
      </w:pPr>
      <w:r w:rsidRPr="009913FE">
        <w:rPr>
          <w:szCs w:val="24"/>
        </w:rPr>
        <w:t>Forecasting short- and long-term electricity supply and demand</w:t>
      </w:r>
    </w:p>
    <w:p w:rsidR="0001347C" w:rsidRPr="009913FE" w:rsidRDefault="0001347C" w:rsidP="009B6EEE">
      <w:pPr>
        <w:pStyle w:val="z-TopofForm"/>
        <w:numPr>
          <w:ilvl w:val="0"/>
          <w:numId w:val="53"/>
        </w:numPr>
        <w:rPr>
          <w:szCs w:val="24"/>
        </w:rPr>
      </w:pPr>
      <w:r w:rsidRPr="009913FE">
        <w:rPr>
          <w:szCs w:val="24"/>
        </w:rPr>
        <w:t xml:space="preserve">Evaluating the need for additional electric generating </w:t>
      </w:r>
      <w:r w:rsidR="00813B1F" w:rsidRPr="009913FE">
        <w:rPr>
          <w:szCs w:val="24"/>
        </w:rPr>
        <w:t xml:space="preserve">and transmission </w:t>
      </w:r>
      <w:r w:rsidRPr="009913FE">
        <w:rPr>
          <w:szCs w:val="24"/>
        </w:rPr>
        <w:t>capacity</w:t>
      </w:r>
    </w:p>
    <w:p w:rsidR="00040AC5" w:rsidRPr="009913FE" w:rsidRDefault="0001347C" w:rsidP="009B6EEE">
      <w:pPr>
        <w:pStyle w:val="z-TopofForm"/>
        <w:numPr>
          <w:ilvl w:val="0"/>
          <w:numId w:val="53"/>
        </w:numPr>
        <w:rPr>
          <w:szCs w:val="24"/>
        </w:rPr>
      </w:pPr>
      <w:r w:rsidRPr="009913FE">
        <w:rPr>
          <w:szCs w:val="24"/>
        </w:rPr>
        <w:t>Monitoring and analyzing the economic and operational impacts of industry restructuring</w:t>
      </w:r>
    </w:p>
    <w:p w:rsidR="009B6EEE" w:rsidRPr="009913FE" w:rsidRDefault="004E1E77" w:rsidP="009B6EEE">
      <w:pPr>
        <w:pStyle w:val="z-TopofForm"/>
        <w:numPr>
          <w:ilvl w:val="0"/>
          <w:numId w:val="53"/>
        </w:numPr>
        <w:rPr>
          <w:szCs w:val="24"/>
        </w:rPr>
      </w:pPr>
      <w:bookmarkStart w:id="23" w:name="_Toc524334488"/>
      <w:bookmarkStart w:id="24" w:name="_Toc524334570"/>
      <w:bookmarkStart w:id="25" w:name="_Toc524334718"/>
      <w:bookmarkStart w:id="26" w:name="_Toc524334911"/>
      <w:r w:rsidRPr="009913FE">
        <w:rPr>
          <w:szCs w:val="24"/>
        </w:rPr>
        <w:t>Monitoring sales and prices of electricity for use by Public Utility Commissions when reviewing rate cases</w:t>
      </w:r>
      <w:r w:rsidR="009B6EEE" w:rsidRPr="009913FE">
        <w:rPr>
          <w:szCs w:val="24"/>
        </w:rPr>
        <w:t xml:space="preserve"> </w:t>
      </w:r>
    </w:p>
    <w:p w:rsidR="009B6EEE" w:rsidRPr="009913FE" w:rsidRDefault="009B6EEE" w:rsidP="009B6EEE">
      <w:pPr>
        <w:pStyle w:val="z-TopofForm"/>
        <w:numPr>
          <w:ilvl w:val="0"/>
          <w:numId w:val="53"/>
        </w:numPr>
        <w:rPr>
          <w:szCs w:val="24"/>
        </w:rPr>
      </w:pPr>
      <w:r w:rsidRPr="009913FE">
        <w:rPr>
          <w:szCs w:val="24"/>
        </w:rPr>
        <w:t xml:space="preserve">Answering queries from the Congress, other Federal and </w:t>
      </w:r>
      <w:r w:rsidR="00045779" w:rsidRPr="009913FE">
        <w:rPr>
          <w:szCs w:val="24"/>
        </w:rPr>
        <w:t xml:space="preserve">State </w:t>
      </w:r>
      <w:r w:rsidRPr="009913FE">
        <w:rPr>
          <w:szCs w:val="24"/>
        </w:rPr>
        <w:t xml:space="preserve">agencies, the electric power industry, and the general public. </w:t>
      </w:r>
    </w:p>
    <w:p w:rsidR="00A73ACA" w:rsidRPr="009913FE" w:rsidRDefault="00A73ACA" w:rsidP="004B1A6C">
      <w:pPr>
        <w:rPr>
          <w:sz w:val="24"/>
          <w:szCs w:val="24"/>
        </w:rPr>
      </w:pPr>
    </w:p>
    <w:p w:rsidR="0057395B" w:rsidRPr="009913FE" w:rsidRDefault="004B1A6C" w:rsidP="004B1A6C">
      <w:pPr>
        <w:rPr>
          <w:sz w:val="24"/>
          <w:szCs w:val="24"/>
        </w:rPr>
      </w:pPr>
      <w:r w:rsidRPr="009913FE">
        <w:rPr>
          <w:sz w:val="24"/>
          <w:szCs w:val="24"/>
        </w:rPr>
        <w:t xml:space="preserve">Other data users include electricity-related trade associations; </w:t>
      </w:r>
      <w:r w:rsidR="00040AC5" w:rsidRPr="009913FE">
        <w:rPr>
          <w:sz w:val="24"/>
          <w:szCs w:val="24"/>
        </w:rPr>
        <w:t>regional transmission operators</w:t>
      </w:r>
      <w:r w:rsidRPr="009913FE">
        <w:rPr>
          <w:sz w:val="24"/>
          <w:szCs w:val="24"/>
        </w:rPr>
        <w:t xml:space="preserve">; electric utility companies; nonutility </w:t>
      </w:r>
      <w:r w:rsidR="00813B1F" w:rsidRPr="009913FE">
        <w:rPr>
          <w:sz w:val="24"/>
          <w:szCs w:val="24"/>
        </w:rPr>
        <w:t xml:space="preserve">electric </w:t>
      </w:r>
      <w:r w:rsidRPr="009913FE">
        <w:rPr>
          <w:sz w:val="24"/>
          <w:szCs w:val="24"/>
        </w:rPr>
        <w:t>companies; energy service providers; wholesale electricity traders; electrical equipment companies; numerous local, State, and Federal government agencies; environmental associations; consumer groups; financial analysts; and the news media.</w:t>
      </w:r>
    </w:p>
    <w:p w:rsidR="009679D4" w:rsidRPr="00E95119" w:rsidRDefault="004B1A6C" w:rsidP="00E95119">
      <w:pPr>
        <w:rPr>
          <w:sz w:val="24"/>
          <w:szCs w:val="24"/>
        </w:rPr>
      </w:pPr>
      <w:r w:rsidRPr="009913FE">
        <w:rPr>
          <w:sz w:val="24"/>
          <w:szCs w:val="24"/>
        </w:rPr>
        <w:t xml:space="preserve"> </w:t>
      </w:r>
      <w:r w:rsidRPr="009913FE">
        <w:rPr>
          <w:sz w:val="24"/>
          <w:szCs w:val="24"/>
        </w:rPr>
        <w:tab/>
      </w:r>
    </w:p>
    <w:p w:rsidR="0001347C" w:rsidRPr="009913FE" w:rsidRDefault="003510DA" w:rsidP="004B1A6C">
      <w:pPr>
        <w:pStyle w:val="Heading4"/>
        <w:rPr>
          <w:szCs w:val="24"/>
        </w:rPr>
      </w:pPr>
      <w:r w:rsidRPr="009913FE">
        <w:rPr>
          <w:szCs w:val="24"/>
        </w:rPr>
        <w:t xml:space="preserve">2.2. </w:t>
      </w:r>
      <w:r w:rsidR="0001347C" w:rsidRPr="009913FE">
        <w:rPr>
          <w:szCs w:val="24"/>
        </w:rPr>
        <w:t>Overview of Data Collections</w:t>
      </w:r>
      <w:bookmarkEnd w:id="23"/>
      <w:bookmarkEnd w:id="24"/>
      <w:bookmarkEnd w:id="25"/>
      <w:bookmarkEnd w:id="26"/>
    </w:p>
    <w:p w:rsidR="0001347C" w:rsidRPr="009913FE" w:rsidRDefault="0001347C" w:rsidP="00946DF9">
      <w:pPr>
        <w:ind w:left="360"/>
        <w:rPr>
          <w:b/>
          <w:bCs/>
          <w:sz w:val="24"/>
          <w:szCs w:val="24"/>
        </w:rPr>
      </w:pPr>
    </w:p>
    <w:p w:rsidR="000318B5" w:rsidRPr="009913FE" w:rsidRDefault="0001347C" w:rsidP="00932983">
      <w:pPr>
        <w:rPr>
          <w:szCs w:val="24"/>
        </w:rPr>
      </w:pPr>
      <w:r w:rsidRPr="009913FE">
        <w:rPr>
          <w:sz w:val="24"/>
          <w:szCs w:val="24"/>
        </w:rPr>
        <w:t xml:space="preserve">The information to be collected will provide </w:t>
      </w:r>
      <w:r w:rsidR="000318B5" w:rsidRPr="009913FE">
        <w:rPr>
          <w:sz w:val="24"/>
          <w:szCs w:val="24"/>
        </w:rPr>
        <w:t>verification of terms</w:t>
      </w:r>
      <w:r w:rsidRPr="009913FE">
        <w:rPr>
          <w:sz w:val="24"/>
          <w:szCs w:val="24"/>
        </w:rPr>
        <w:t xml:space="preserve"> for each </w:t>
      </w:r>
      <w:r w:rsidR="00F628EF" w:rsidRPr="009913FE">
        <w:rPr>
          <w:sz w:val="24"/>
          <w:szCs w:val="24"/>
        </w:rPr>
        <w:t>permit category and cover these major activities</w:t>
      </w:r>
      <w:r w:rsidRPr="009913FE">
        <w:rPr>
          <w:sz w:val="24"/>
          <w:szCs w:val="24"/>
        </w:rPr>
        <w:t xml:space="preserve">: </w:t>
      </w:r>
      <w:r w:rsidR="00A56753" w:rsidRPr="009913FE">
        <w:rPr>
          <w:szCs w:val="24"/>
        </w:rPr>
        <w:t xml:space="preserve">      </w:t>
      </w:r>
    </w:p>
    <w:p w:rsidR="0001347C" w:rsidRPr="009913FE" w:rsidRDefault="00A56753" w:rsidP="00932983">
      <w:pPr>
        <w:rPr>
          <w:szCs w:val="24"/>
        </w:rPr>
      </w:pPr>
      <w:r w:rsidRPr="009913FE">
        <w:rPr>
          <w:szCs w:val="24"/>
        </w:rPr>
        <w:t xml:space="preserve">  </w:t>
      </w:r>
    </w:p>
    <w:p w:rsidR="0001347C" w:rsidRPr="009913FE" w:rsidRDefault="008F6EF9" w:rsidP="008F6EF9">
      <w:pPr>
        <w:pStyle w:val="BodyTextIndent"/>
        <w:numPr>
          <w:ilvl w:val="0"/>
          <w:numId w:val="5"/>
        </w:numPr>
        <w:rPr>
          <w:szCs w:val="24"/>
        </w:rPr>
      </w:pPr>
      <w:r w:rsidRPr="009913FE">
        <w:rPr>
          <w:szCs w:val="24"/>
        </w:rPr>
        <w:t>O</w:t>
      </w:r>
      <w:r w:rsidR="00EF08FB" w:rsidRPr="009913FE">
        <w:rPr>
          <w:szCs w:val="24"/>
        </w:rPr>
        <w:t xml:space="preserve">versight of </w:t>
      </w:r>
      <w:r w:rsidR="00F6274C" w:rsidRPr="009913FE">
        <w:rPr>
          <w:szCs w:val="24"/>
        </w:rPr>
        <w:t>e</w:t>
      </w:r>
      <w:r w:rsidR="0001347C" w:rsidRPr="009913FE">
        <w:rPr>
          <w:szCs w:val="24"/>
        </w:rPr>
        <w:t>lectrici</w:t>
      </w:r>
      <w:r w:rsidR="00005DE6" w:rsidRPr="009913FE">
        <w:rPr>
          <w:szCs w:val="24"/>
        </w:rPr>
        <w:t>ty reliability</w:t>
      </w:r>
      <w:r w:rsidR="0001347C" w:rsidRPr="009913FE">
        <w:rPr>
          <w:szCs w:val="24"/>
        </w:rPr>
        <w:t xml:space="preserve"> (i.e., </w:t>
      </w:r>
      <w:r w:rsidR="00F12337" w:rsidRPr="009913FE">
        <w:rPr>
          <w:szCs w:val="24"/>
        </w:rPr>
        <w:t>electricity</w:t>
      </w:r>
      <w:r w:rsidR="00005DE6" w:rsidRPr="009913FE">
        <w:rPr>
          <w:szCs w:val="24"/>
        </w:rPr>
        <w:t xml:space="preserve"> flows at the border - actual, and </w:t>
      </w:r>
      <w:r w:rsidR="00996ADD" w:rsidRPr="009913FE">
        <w:rPr>
          <w:szCs w:val="24"/>
        </w:rPr>
        <w:t xml:space="preserve"> implemented interchange,</w:t>
      </w:r>
      <w:r w:rsidR="004D2C7D" w:rsidRPr="009913FE">
        <w:rPr>
          <w:szCs w:val="24"/>
        </w:rPr>
        <w:t xml:space="preserve"> </w:t>
      </w:r>
      <w:r w:rsidR="00F12337" w:rsidRPr="009913FE">
        <w:rPr>
          <w:szCs w:val="24"/>
        </w:rPr>
        <w:t>power flows</w:t>
      </w:r>
      <w:r w:rsidR="00005DE6" w:rsidRPr="009913FE">
        <w:rPr>
          <w:szCs w:val="24"/>
        </w:rPr>
        <w:t xml:space="preserve">, source and </w:t>
      </w:r>
      <w:r w:rsidR="004D2C7D" w:rsidRPr="009913FE">
        <w:rPr>
          <w:szCs w:val="24"/>
        </w:rPr>
        <w:t>sink balancing authority area</w:t>
      </w:r>
      <w:r w:rsidR="007A7EF0" w:rsidRPr="009913FE">
        <w:rPr>
          <w:szCs w:val="24"/>
        </w:rPr>
        <w:t>)</w:t>
      </w:r>
    </w:p>
    <w:p w:rsidR="0001347C" w:rsidRPr="009913FE" w:rsidRDefault="008F6EF9" w:rsidP="00946DF9">
      <w:pPr>
        <w:numPr>
          <w:ilvl w:val="0"/>
          <w:numId w:val="5"/>
        </w:numPr>
        <w:rPr>
          <w:sz w:val="24"/>
          <w:szCs w:val="24"/>
        </w:rPr>
      </w:pPr>
      <w:r w:rsidRPr="009913FE">
        <w:rPr>
          <w:sz w:val="24"/>
          <w:szCs w:val="24"/>
        </w:rPr>
        <w:t>E</w:t>
      </w:r>
      <w:r w:rsidR="0001347C" w:rsidRPr="009913FE">
        <w:rPr>
          <w:sz w:val="24"/>
          <w:szCs w:val="24"/>
        </w:rPr>
        <w:t>lectricity sales (i.e.,</w:t>
      </w:r>
      <w:r w:rsidR="007A7EF0" w:rsidRPr="009913FE">
        <w:rPr>
          <w:sz w:val="24"/>
          <w:szCs w:val="24"/>
        </w:rPr>
        <w:t xml:space="preserve"> energy</w:t>
      </w:r>
      <w:r w:rsidR="0001347C" w:rsidRPr="009913FE">
        <w:rPr>
          <w:sz w:val="24"/>
          <w:szCs w:val="24"/>
        </w:rPr>
        <w:t xml:space="preserve"> </w:t>
      </w:r>
      <w:r w:rsidR="007A7EF0" w:rsidRPr="009913FE">
        <w:rPr>
          <w:sz w:val="24"/>
          <w:szCs w:val="24"/>
        </w:rPr>
        <w:t>payments</w:t>
      </w:r>
      <w:r w:rsidR="0001347C" w:rsidRPr="009913FE">
        <w:rPr>
          <w:sz w:val="24"/>
          <w:szCs w:val="24"/>
        </w:rPr>
        <w:t xml:space="preserve">, </w:t>
      </w:r>
      <w:r w:rsidR="007A7EF0" w:rsidRPr="009913FE">
        <w:rPr>
          <w:sz w:val="24"/>
          <w:szCs w:val="24"/>
        </w:rPr>
        <w:t xml:space="preserve">energy </w:t>
      </w:r>
      <w:r w:rsidR="0001347C" w:rsidRPr="009913FE">
        <w:rPr>
          <w:sz w:val="24"/>
          <w:szCs w:val="24"/>
        </w:rPr>
        <w:t xml:space="preserve">revenues, and </w:t>
      </w:r>
      <w:r w:rsidR="007A7EF0" w:rsidRPr="009913FE">
        <w:rPr>
          <w:sz w:val="24"/>
          <w:szCs w:val="24"/>
        </w:rPr>
        <w:t>exchange imports and exports</w:t>
      </w:r>
      <w:r w:rsidRPr="009913FE">
        <w:rPr>
          <w:sz w:val="24"/>
          <w:szCs w:val="24"/>
        </w:rPr>
        <w:t>)</w:t>
      </w:r>
      <w:r w:rsidR="007A7EF0" w:rsidRPr="009913FE">
        <w:rPr>
          <w:sz w:val="24"/>
          <w:szCs w:val="24"/>
        </w:rPr>
        <w:t>.</w:t>
      </w:r>
    </w:p>
    <w:p w:rsidR="000C3729" w:rsidRPr="009913FE" w:rsidRDefault="000C3729" w:rsidP="004B1A6C">
      <w:pPr>
        <w:pStyle w:val="Heading4"/>
        <w:rPr>
          <w:szCs w:val="24"/>
        </w:rPr>
      </w:pPr>
      <w:bookmarkStart w:id="27" w:name="_Toc524334489"/>
      <w:bookmarkStart w:id="28" w:name="_Toc524334571"/>
      <w:bookmarkStart w:id="29" w:name="_Toc524334719"/>
      <w:bookmarkStart w:id="30" w:name="_Toc524334912"/>
    </w:p>
    <w:p w:rsidR="009679D4" w:rsidRPr="009913FE" w:rsidRDefault="009679D4" w:rsidP="004B1A6C">
      <w:pPr>
        <w:pStyle w:val="Heading4"/>
        <w:rPr>
          <w:szCs w:val="24"/>
        </w:rPr>
      </w:pPr>
    </w:p>
    <w:p w:rsidR="0001347C" w:rsidRPr="009913FE" w:rsidRDefault="008D0A91" w:rsidP="004B1A6C">
      <w:pPr>
        <w:pStyle w:val="Heading4"/>
        <w:rPr>
          <w:szCs w:val="24"/>
        </w:rPr>
      </w:pPr>
      <w:r w:rsidRPr="009913FE">
        <w:rPr>
          <w:szCs w:val="24"/>
        </w:rPr>
        <w:t xml:space="preserve">2.3. </w:t>
      </w:r>
      <w:r w:rsidR="0001347C" w:rsidRPr="009913FE">
        <w:rPr>
          <w:szCs w:val="24"/>
        </w:rPr>
        <w:t>Individual Form Data Uses</w:t>
      </w:r>
      <w:bookmarkEnd w:id="27"/>
      <w:bookmarkEnd w:id="28"/>
      <w:bookmarkEnd w:id="29"/>
      <w:bookmarkEnd w:id="30"/>
    </w:p>
    <w:p w:rsidR="0001347C" w:rsidRPr="009913FE" w:rsidRDefault="0001347C" w:rsidP="00946DF9">
      <w:pPr>
        <w:rPr>
          <w:b/>
          <w:bCs/>
          <w:sz w:val="24"/>
          <w:szCs w:val="24"/>
        </w:rPr>
      </w:pPr>
    </w:p>
    <w:p w:rsidR="00D45EAD" w:rsidRPr="009913FE" w:rsidRDefault="00A73ACA"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913FE">
        <w:rPr>
          <w:sz w:val="24"/>
          <w:szCs w:val="24"/>
        </w:rPr>
        <w:t>T</w:t>
      </w:r>
      <w:r w:rsidR="00D9338F" w:rsidRPr="009913FE">
        <w:rPr>
          <w:sz w:val="24"/>
          <w:szCs w:val="24"/>
        </w:rPr>
        <w:t xml:space="preserve">he Form EIA-111 </w:t>
      </w:r>
      <w:r w:rsidRPr="009913FE">
        <w:rPr>
          <w:sz w:val="24"/>
          <w:szCs w:val="24"/>
        </w:rPr>
        <w:t xml:space="preserve">data </w:t>
      </w:r>
      <w:r w:rsidR="00D9338F" w:rsidRPr="009913FE">
        <w:rPr>
          <w:sz w:val="24"/>
          <w:szCs w:val="24"/>
        </w:rPr>
        <w:t xml:space="preserve">will be collected, reviewed, tabulated and used to provide statistics on </w:t>
      </w:r>
      <w:r w:rsidR="0057395B" w:rsidRPr="009913FE">
        <w:rPr>
          <w:sz w:val="24"/>
          <w:szCs w:val="24"/>
        </w:rPr>
        <w:t xml:space="preserve">U.S. </w:t>
      </w:r>
      <w:r w:rsidR="00D9338F" w:rsidRPr="009913FE">
        <w:rPr>
          <w:sz w:val="24"/>
          <w:szCs w:val="24"/>
        </w:rPr>
        <w:t>electricity imports and exports.  The data will appear in several EIA publications</w:t>
      </w:r>
      <w:r w:rsidR="000E16AA" w:rsidRPr="009913FE">
        <w:rPr>
          <w:sz w:val="24"/>
          <w:szCs w:val="24"/>
        </w:rPr>
        <w:t xml:space="preserve"> that are available from EIA’s website</w:t>
      </w:r>
      <w:r w:rsidR="00D9338F" w:rsidRPr="009913FE">
        <w:rPr>
          <w:sz w:val="24"/>
          <w:szCs w:val="24"/>
        </w:rPr>
        <w:t>.  The most prominent are</w:t>
      </w:r>
      <w:r w:rsidR="00D45EAD" w:rsidRPr="009913FE">
        <w:rPr>
          <w:sz w:val="24"/>
          <w:szCs w:val="24"/>
        </w:rPr>
        <w:t>:</w:t>
      </w:r>
      <w:r w:rsidR="00D9338F" w:rsidRPr="009913FE">
        <w:rPr>
          <w:sz w:val="24"/>
          <w:szCs w:val="24"/>
        </w:rPr>
        <w:t xml:space="preserve"> </w:t>
      </w:r>
    </w:p>
    <w:p w:rsidR="00D45EAD" w:rsidRPr="009913FE" w:rsidRDefault="00D45EAD"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25775F" w:rsidRPr="009913FE" w:rsidRDefault="00243651" w:rsidP="0025775F">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r w:rsidRPr="009913FE">
        <w:rPr>
          <w:sz w:val="24"/>
          <w:szCs w:val="24"/>
          <w:u w:val="single"/>
        </w:rPr>
        <w:t>Annual E</w:t>
      </w:r>
      <w:r w:rsidR="00D45EAD" w:rsidRPr="009913FE">
        <w:rPr>
          <w:sz w:val="24"/>
          <w:szCs w:val="24"/>
          <w:u w:val="single"/>
        </w:rPr>
        <w:t>nergy Outlook</w:t>
      </w:r>
      <w:r w:rsidR="00D45EAD" w:rsidRPr="009913FE">
        <w:rPr>
          <w:sz w:val="24"/>
          <w:szCs w:val="24"/>
        </w:rPr>
        <w:t xml:space="preserve"> </w:t>
      </w:r>
      <w:r w:rsidR="00C577AB" w:rsidRPr="009913FE">
        <w:rPr>
          <w:sz w:val="24"/>
          <w:szCs w:val="24"/>
        </w:rPr>
        <w:tab/>
      </w:r>
      <w:hyperlink r:id="rId16" w:history="1">
        <w:r w:rsidR="00006825" w:rsidRPr="009913FE">
          <w:rPr>
            <w:rStyle w:val="Hyperlink"/>
            <w:sz w:val="24"/>
            <w:szCs w:val="24"/>
          </w:rPr>
          <w:t>http://www.eia.gov/forecasts/aeo/er/</w:t>
        </w:r>
      </w:hyperlink>
    </w:p>
    <w:p w:rsidR="00D45EAD" w:rsidRPr="009913FE" w:rsidRDefault="00D9338F" w:rsidP="00D45EAD">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913FE">
        <w:rPr>
          <w:sz w:val="24"/>
          <w:szCs w:val="24"/>
          <w:u w:val="single"/>
        </w:rPr>
        <w:t>Electric Power Annual</w:t>
      </w:r>
      <w:r w:rsidR="00C577AB" w:rsidRPr="009913FE">
        <w:rPr>
          <w:sz w:val="24"/>
          <w:szCs w:val="24"/>
        </w:rPr>
        <w:tab/>
      </w:r>
      <w:hyperlink r:id="rId17" w:history="1">
        <w:r w:rsidR="00C577AB" w:rsidRPr="009913FE">
          <w:rPr>
            <w:rStyle w:val="Hyperlink"/>
            <w:sz w:val="24"/>
            <w:szCs w:val="24"/>
          </w:rPr>
          <w:t>http://www.eia.gov/electricity/annual</w:t>
        </w:r>
      </w:hyperlink>
      <w:r w:rsidR="00DA5F12" w:rsidRPr="009913FE">
        <w:rPr>
          <w:sz w:val="24"/>
          <w:szCs w:val="24"/>
          <w:u w:val="single"/>
        </w:rPr>
        <w:t>/</w:t>
      </w:r>
    </w:p>
    <w:p w:rsidR="00D45EAD" w:rsidRPr="009913FE" w:rsidRDefault="00D9338F" w:rsidP="00D45EAD">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913FE">
        <w:rPr>
          <w:sz w:val="24"/>
          <w:szCs w:val="24"/>
          <w:u w:val="single"/>
        </w:rPr>
        <w:t>Annual Energy Review</w:t>
      </w:r>
      <w:r w:rsidR="00C577AB" w:rsidRPr="009913FE">
        <w:rPr>
          <w:sz w:val="24"/>
          <w:szCs w:val="24"/>
        </w:rPr>
        <w:tab/>
      </w:r>
      <w:hyperlink r:id="rId18" w:history="1">
        <w:r w:rsidR="00C577AB" w:rsidRPr="009913FE">
          <w:rPr>
            <w:rStyle w:val="Hyperlink"/>
            <w:sz w:val="24"/>
            <w:szCs w:val="24"/>
          </w:rPr>
          <w:t>http://www.eia.gov/totalenergy/data/annual</w:t>
        </w:r>
      </w:hyperlink>
      <w:r w:rsidR="00DA5F12" w:rsidRPr="009913FE">
        <w:rPr>
          <w:sz w:val="24"/>
          <w:szCs w:val="24"/>
          <w:u w:val="single"/>
        </w:rPr>
        <w:t>/</w:t>
      </w:r>
    </w:p>
    <w:p w:rsidR="00D45EAD" w:rsidRPr="009913FE" w:rsidRDefault="00D45EAD"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D9338F" w:rsidRPr="009913FE" w:rsidRDefault="00D9338F"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sz w:val="24"/>
          <w:szCs w:val="24"/>
        </w:rPr>
      </w:pPr>
      <w:r w:rsidRPr="009913FE">
        <w:rPr>
          <w:sz w:val="24"/>
          <w:szCs w:val="24"/>
        </w:rPr>
        <w:t xml:space="preserve">The data will also be used in other EIA products such as the State Energy Data System and for EIA forecast models.  </w:t>
      </w:r>
    </w:p>
    <w:p w:rsidR="00D9338F" w:rsidRPr="009913FE" w:rsidRDefault="00D9338F" w:rsidP="00A80FF8">
      <w:pPr>
        <w:pStyle w:val="BodyText"/>
      </w:pPr>
    </w:p>
    <w:p w:rsidR="00CF3909" w:rsidRPr="009913FE" w:rsidRDefault="00CF3909" w:rsidP="00863403">
      <w:pPr>
        <w:pStyle w:val="Heading3"/>
        <w:rPr>
          <w:szCs w:val="24"/>
        </w:rPr>
      </w:pPr>
      <w:bookmarkStart w:id="31" w:name="_Toc318697074"/>
      <w:bookmarkStart w:id="32" w:name="_Toc422466758"/>
      <w:bookmarkStart w:id="33" w:name="_Toc524334491"/>
      <w:bookmarkStart w:id="34" w:name="_Toc524334573"/>
      <w:bookmarkStart w:id="35" w:name="_Toc524334721"/>
      <w:bookmarkStart w:id="36" w:name="_Toc524334914"/>
      <w:r w:rsidRPr="009913FE">
        <w:rPr>
          <w:szCs w:val="24"/>
        </w:rPr>
        <w:t>3. Use of Technology</w:t>
      </w:r>
      <w:bookmarkEnd w:id="31"/>
      <w:bookmarkEnd w:id="32"/>
    </w:p>
    <w:p w:rsidR="00CF3909" w:rsidRPr="009913FE" w:rsidRDefault="00CF3909" w:rsidP="00CF3909"/>
    <w:p w:rsidR="009D1A9C" w:rsidRPr="009913FE" w:rsidRDefault="00217934" w:rsidP="00CF3909">
      <w:pPr>
        <w:rPr>
          <w:sz w:val="24"/>
          <w:szCs w:val="24"/>
          <w:u w:val="single"/>
        </w:rPr>
      </w:pPr>
      <w:r w:rsidRPr="009913FE">
        <w:rPr>
          <w:sz w:val="24"/>
          <w:szCs w:val="24"/>
          <w:u w:val="single"/>
        </w:rPr>
        <w:t>General</w:t>
      </w:r>
    </w:p>
    <w:p w:rsidR="009D1A9C" w:rsidRPr="009913FE" w:rsidRDefault="009D1A9C" w:rsidP="00CF3909">
      <w:pPr>
        <w:rPr>
          <w:sz w:val="24"/>
          <w:szCs w:val="24"/>
        </w:rPr>
      </w:pPr>
    </w:p>
    <w:p w:rsidR="00C07B05" w:rsidRDefault="00C07B05" w:rsidP="00C07B05">
      <w:pPr>
        <w:rPr>
          <w:sz w:val="24"/>
          <w:szCs w:val="24"/>
        </w:rPr>
      </w:pPr>
      <w:r w:rsidRPr="00C07B05">
        <w:t xml:space="preserve"> </w:t>
      </w:r>
      <w:r w:rsidRPr="00C07B05">
        <w:rPr>
          <w:sz w:val="24"/>
          <w:szCs w:val="24"/>
        </w:rPr>
        <w:t>All EIA Electric Power and Renewable Electricity Program surveys use Internet-based data collection systems as the primary means of data collection.  The majority of routine contact with respondents (e.g., notification that a survey has opened for a collection cycle) is performed using email.</w:t>
      </w:r>
    </w:p>
    <w:p w:rsidR="00C07B05" w:rsidRPr="00C07B05" w:rsidRDefault="00C07B05" w:rsidP="00C07B05">
      <w:pPr>
        <w:rPr>
          <w:sz w:val="24"/>
          <w:szCs w:val="24"/>
        </w:rPr>
      </w:pPr>
    </w:p>
    <w:p w:rsidR="00C07B05" w:rsidRPr="00C07B05" w:rsidRDefault="00C07B05" w:rsidP="00C07B05">
      <w:pPr>
        <w:rPr>
          <w:sz w:val="24"/>
          <w:szCs w:val="24"/>
        </w:rPr>
      </w:pPr>
      <w:r w:rsidRPr="00C07B05">
        <w:rPr>
          <w:sz w:val="24"/>
          <w:szCs w:val="24"/>
        </w:rPr>
        <w:t>Internet data collection will continue to be the primary collection mode for the Electric Power and Renewable Electricity surveys.  The Internet-based system allows respondents to enter their data directly into the EIA survey database, which reduces the time needed for data collection and processing.  The system also identifies data that fail edits prior to submission, which allows respondents to make necessary corrections or explain unusual events impacting the reported data prior to submission.  This data editing process reduces respondent burden by reducing the number of times a respondent must resubmit forms prior to acceptance by EIA.  It also improves the timeliness of reporting the information to the public.  The only equipment and software the respondent requires is a connection to the Internet and a standard industry web browser.</w:t>
      </w:r>
    </w:p>
    <w:p w:rsidR="00777CED" w:rsidRPr="009913FE" w:rsidRDefault="00777CED" w:rsidP="00A56753">
      <w:pPr>
        <w:pStyle w:val="Heading3"/>
        <w:rPr>
          <w:b w:val="0"/>
          <w:szCs w:val="24"/>
          <w:u w:val="single"/>
        </w:rPr>
      </w:pPr>
    </w:p>
    <w:p w:rsidR="00D07FE4" w:rsidRPr="009913FE" w:rsidRDefault="00217934" w:rsidP="00A56753">
      <w:pPr>
        <w:pStyle w:val="Heading3"/>
        <w:rPr>
          <w:b w:val="0"/>
          <w:szCs w:val="24"/>
          <w:u w:val="single"/>
        </w:rPr>
      </w:pPr>
      <w:bookmarkStart w:id="37" w:name="_Toc422466759"/>
      <w:r w:rsidRPr="009913FE">
        <w:rPr>
          <w:b w:val="0"/>
          <w:szCs w:val="24"/>
          <w:u w:val="single"/>
        </w:rPr>
        <w:t>Use of Pick-Lists</w:t>
      </w:r>
      <w:bookmarkEnd w:id="37"/>
      <w:r w:rsidRPr="009913FE">
        <w:rPr>
          <w:b w:val="0"/>
          <w:szCs w:val="24"/>
          <w:u w:val="single"/>
        </w:rPr>
        <w:t xml:space="preserve"> </w:t>
      </w:r>
    </w:p>
    <w:p w:rsidR="00217934" w:rsidRPr="009913FE" w:rsidRDefault="00217934" w:rsidP="00026153"/>
    <w:p w:rsidR="009D1A9C" w:rsidRPr="009913FE" w:rsidRDefault="00D214A0" w:rsidP="009D1A9C">
      <w:pPr>
        <w:rPr>
          <w:sz w:val="24"/>
          <w:szCs w:val="24"/>
        </w:rPr>
      </w:pPr>
      <w:r w:rsidRPr="009913FE">
        <w:rPr>
          <w:sz w:val="24"/>
          <w:szCs w:val="24"/>
        </w:rPr>
        <w:t xml:space="preserve">Pick-lists </w:t>
      </w:r>
      <w:r w:rsidR="00217934" w:rsidRPr="009913FE">
        <w:rPr>
          <w:sz w:val="24"/>
          <w:szCs w:val="24"/>
        </w:rPr>
        <w:t xml:space="preserve">are a means of limiting a respondent’s answers to a </w:t>
      </w:r>
      <w:r w:rsidRPr="009913FE">
        <w:rPr>
          <w:sz w:val="24"/>
          <w:szCs w:val="24"/>
        </w:rPr>
        <w:t xml:space="preserve">question </w:t>
      </w:r>
      <w:r w:rsidR="009D1A9C" w:rsidRPr="009913FE">
        <w:rPr>
          <w:sz w:val="24"/>
          <w:szCs w:val="24"/>
        </w:rPr>
        <w:t xml:space="preserve">to a </w:t>
      </w:r>
      <w:r w:rsidR="00217934" w:rsidRPr="009913FE">
        <w:rPr>
          <w:sz w:val="24"/>
          <w:szCs w:val="24"/>
        </w:rPr>
        <w:t>finite set of acceptable choices.  The objectives are to reduce respondent burden and to improve data quality, while reducing the time and effort needed by EIA to edit a response.</w:t>
      </w:r>
    </w:p>
    <w:p w:rsidR="009D1A9C" w:rsidRPr="009913FE" w:rsidRDefault="009D1A9C" w:rsidP="009D1A9C">
      <w:pPr>
        <w:rPr>
          <w:sz w:val="24"/>
          <w:szCs w:val="24"/>
        </w:rPr>
      </w:pPr>
    </w:p>
    <w:p w:rsidR="009D1A9C" w:rsidRPr="009913FE" w:rsidRDefault="00217934" w:rsidP="009D1A9C">
      <w:pPr>
        <w:rPr>
          <w:sz w:val="24"/>
          <w:szCs w:val="24"/>
        </w:rPr>
      </w:pPr>
      <w:r w:rsidRPr="009913FE">
        <w:rPr>
          <w:sz w:val="24"/>
          <w:szCs w:val="24"/>
        </w:rPr>
        <w:t>Pick-lists</w:t>
      </w:r>
      <w:r w:rsidR="00A13C1E" w:rsidRPr="009913FE">
        <w:rPr>
          <w:rStyle w:val="FootnoteReference"/>
          <w:sz w:val="24"/>
          <w:szCs w:val="24"/>
        </w:rPr>
        <w:footnoteReference w:id="1"/>
      </w:r>
      <w:r w:rsidRPr="009913FE">
        <w:rPr>
          <w:sz w:val="24"/>
          <w:szCs w:val="24"/>
        </w:rPr>
        <w:t xml:space="preserve"> are used in software-enabled </w:t>
      </w:r>
      <w:r w:rsidR="006D103E" w:rsidRPr="009913FE">
        <w:rPr>
          <w:sz w:val="24"/>
          <w:szCs w:val="24"/>
        </w:rPr>
        <w:t xml:space="preserve">web forms and XML editors </w:t>
      </w:r>
      <w:r w:rsidRPr="009913FE">
        <w:rPr>
          <w:sz w:val="24"/>
          <w:szCs w:val="24"/>
        </w:rPr>
        <w:t>to:</w:t>
      </w:r>
    </w:p>
    <w:p w:rsidR="009D1A9C" w:rsidRPr="009913FE" w:rsidRDefault="009D1A9C" w:rsidP="009D1A9C">
      <w:pPr>
        <w:rPr>
          <w:sz w:val="24"/>
          <w:szCs w:val="24"/>
        </w:rPr>
      </w:pPr>
    </w:p>
    <w:p w:rsidR="00217934" w:rsidRPr="009913FE" w:rsidRDefault="00217934" w:rsidP="00026153">
      <w:pPr>
        <w:pStyle w:val="ListParagraph"/>
        <w:numPr>
          <w:ilvl w:val="0"/>
          <w:numId w:val="55"/>
        </w:numPr>
        <w:spacing w:after="200"/>
        <w:rPr>
          <w:sz w:val="24"/>
          <w:szCs w:val="24"/>
        </w:rPr>
      </w:pPr>
      <w:r w:rsidRPr="009913FE">
        <w:rPr>
          <w:rFonts w:ascii="Times New Roman" w:hAnsi="Times New Roman"/>
          <w:sz w:val="24"/>
          <w:szCs w:val="24"/>
        </w:rPr>
        <w:t xml:space="preserve">Avoid typographical errors, such as mistyping the abbreviation for a state or month; </w:t>
      </w:r>
    </w:p>
    <w:p w:rsidR="00217934" w:rsidRPr="009913FE" w:rsidRDefault="00217934" w:rsidP="00026153">
      <w:pPr>
        <w:pStyle w:val="ListParagraph"/>
        <w:numPr>
          <w:ilvl w:val="0"/>
          <w:numId w:val="55"/>
        </w:numPr>
        <w:spacing w:after="200"/>
        <w:rPr>
          <w:sz w:val="24"/>
          <w:szCs w:val="24"/>
        </w:rPr>
      </w:pPr>
      <w:r w:rsidRPr="009913FE">
        <w:rPr>
          <w:rFonts w:ascii="Times New Roman" w:hAnsi="Times New Roman"/>
          <w:sz w:val="24"/>
          <w:szCs w:val="24"/>
        </w:rPr>
        <w:t xml:space="preserve">Assure consistent responses to questions asking standard information, such as entering a state as text or a number; </w:t>
      </w:r>
    </w:p>
    <w:p w:rsidR="00217934" w:rsidRPr="009913FE" w:rsidRDefault="00217934" w:rsidP="00026153">
      <w:pPr>
        <w:pStyle w:val="ListParagraph"/>
        <w:numPr>
          <w:ilvl w:val="0"/>
          <w:numId w:val="55"/>
        </w:numPr>
        <w:spacing w:after="200"/>
        <w:rPr>
          <w:sz w:val="24"/>
          <w:szCs w:val="24"/>
        </w:rPr>
      </w:pPr>
      <w:r w:rsidRPr="009913FE">
        <w:rPr>
          <w:rFonts w:ascii="Times New Roman" w:hAnsi="Times New Roman"/>
          <w:sz w:val="24"/>
          <w:szCs w:val="24"/>
        </w:rPr>
        <w:t>Assure consistent responses to questions asking for technical information when the</w:t>
      </w:r>
      <w:r w:rsidR="009A11E0">
        <w:rPr>
          <w:rFonts w:ascii="Times New Roman" w:hAnsi="Times New Roman"/>
          <w:sz w:val="24"/>
          <w:szCs w:val="24"/>
        </w:rPr>
        <w:t xml:space="preserve">re are </w:t>
      </w:r>
      <w:r w:rsidRPr="009913FE">
        <w:rPr>
          <w:rFonts w:ascii="Times New Roman" w:hAnsi="Times New Roman"/>
          <w:sz w:val="24"/>
          <w:szCs w:val="24"/>
        </w:rPr>
        <w:t xml:space="preserve">multiple </w:t>
      </w:r>
      <w:r w:rsidR="009A11E0">
        <w:rPr>
          <w:rFonts w:ascii="Times New Roman" w:hAnsi="Times New Roman"/>
          <w:sz w:val="24"/>
          <w:szCs w:val="24"/>
        </w:rPr>
        <w:t>ways of referring to the same</w:t>
      </w:r>
      <w:r w:rsidRPr="009913FE">
        <w:rPr>
          <w:rFonts w:ascii="Times New Roman" w:hAnsi="Times New Roman"/>
          <w:sz w:val="24"/>
          <w:szCs w:val="24"/>
        </w:rPr>
        <w:t xml:space="preserve"> </w:t>
      </w:r>
      <w:r w:rsidR="009A11E0">
        <w:rPr>
          <w:rFonts w:ascii="Times New Roman" w:hAnsi="Times New Roman"/>
          <w:sz w:val="24"/>
          <w:szCs w:val="24"/>
        </w:rPr>
        <w:t xml:space="preserve">concept </w:t>
      </w:r>
      <w:r w:rsidRPr="009913FE">
        <w:rPr>
          <w:rFonts w:ascii="Times New Roman" w:hAnsi="Times New Roman"/>
          <w:sz w:val="24"/>
          <w:szCs w:val="24"/>
        </w:rPr>
        <w:t xml:space="preserve">(e.g., “short term” and “spot” fuel supply contracts).  </w:t>
      </w:r>
    </w:p>
    <w:p w:rsidR="009D1A9C" w:rsidRPr="009913FE" w:rsidRDefault="009D1A9C" w:rsidP="009D1A9C">
      <w:pPr>
        <w:rPr>
          <w:sz w:val="24"/>
          <w:szCs w:val="24"/>
        </w:rPr>
      </w:pPr>
    </w:p>
    <w:p w:rsidR="009D1A9C" w:rsidRPr="009913FE" w:rsidRDefault="00217934" w:rsidP="009D1A9C">
      <w:pPr>
        <w:rPr>
          <w:sz w:val="24"/>
          <w:szCs w:val="24"/>
        </w:rPr>
      </w:pPr>
      <w:r w:rsidRPr="009913FE">
        <w:rPr>
          <w:sz w:val="24"/>
          <w:szCs w:val="24"/>
        </w:rPr>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 is capable of collecting all possible categorie</w:t>
      </w:r>
      <w:r w:rsidR="00D214A0" w:rsidRPr="009913FE">
        <w:rPr>
          <w:sz w:val="24"/>
          <w:szCs w:val="24"/>
        </w:rPr>
        <w:t>s when a pick-list is variable</w:t>
      </w:r>
      <w:r w:rsidR="009D1A9C" w:rsidRPr="009913FE">
        <w:rPr>
          <w:sz w:val="24"/>
          <w:szCs w:val="24"/>
        </w:rPr>
        <w:t>.</w:t>
      </w:r>
    </w:p>
    <w:p w:rsidR="009D1A9C" w:rsidRPr="009913FE" w:rsidRDefault="00217934" w:rsidP="009D1A9C">
      <w:pPr>
        <w:rPr>
          <w:sz w:val="24"/>
          <w:szCs w:val="24"/>
        </w:rPr>
      </w:pPr>
      <w:r w:rsidRPr="009913FE">
        <w:rPr>
          <w:sz w:val="24"/>
          <w:szCs w:val="24"/>
        </w:rPr>
        <w:t xml:space="preserve"> </w:t>
      </w:r>
    </w:p>
    <w:p w:rsidR="009D1A9C" w:rsidRPr="009913FE" w:rsidRDefault="00217934" w:rsidP="009D1A9C">
      <w:pPr>
        <w:rPr>
          <w:sz w:val="24"/>
          <w:szCs w:val="24"/>
        </w:rPr>
      </w:pPr>
      <w:r w:rsidRPr="009913FE">
        <w:rPr>
          <w:sz w:val="24"/>
          <w:szCs w:val="24"/>
        </w:rPr>
        <w:t xml:space="preserve">There are three types of pick-lists that may be used in software-enabled </w:t>
      </w:r>
      <w:r w:rsidR="006D103E" w:rsidRPr="009913FE">
        <w:rPr>
          <w:sz w:val="24"/>
          <w:szCs w:val="24"/>
        </w:rPr>
        <w:t>web forms and XML editors</w:t>
      </w:r>
      <w:r w:rsidRPr="009913FE">
        <w:rPr>
          <w:sz w:val="24"/>
          <w:szCs w:val="24"/>
        </w:rPr>
        <w:t>:</w:t>
      </w:r>
    </w:p>
    <w:p w:rsidR="009D1A9C" w:rsidRPr="009913FE" w:rsidRDefault="009D1A9C" w:rsidP="009D1A9C">
      <w:pPr>
        <w:rPr>
          <w:sz w:val="24"/>
          <w:szCs w:val="24"/>
        </w:rPr>
      </w:pPr>
    </w:p>
    <w:p w:rsidR="00217934" w:rsidRPr="009913FE" w:rsidRDefault="00217934" w:rsidP="00026153">
      <w:pPr>
        <w:pStyle w:val="ListParagraph"/>
        <w:numPr>
          <w:ilvl w:val="0"/>
          <w:numId w:val="56"/>
        </w:numPr>
        <w:spacing w:after="200"/>
        <w:rPr>
          <w:sz w:val="24"/>
          <w:szCs w:val="24"/>
        </w:rPr>
      </w:pPr>
      <w:r w:rsidRPr="009913FE">
        <w:rPr>
          <w:rFonts w:ascii="Times New Roman" w:hAnsi="Times New Roman"/>
          <w:sz w:val="24"/>
          <w:szCs w:val="24"/>
        </w:rPr>
        <w:t xml:space="preserve">Static pick-lists include information </w:t>
      </w:r>
      <w:r w:rsidR="00547D1A" w:rsidRPr="009913FE">
        <w:rPr>
          <w:rFonts w:ascii="Times New Roman" w:hAnsi="Times New Roman"/>
          <w:sz w:val="24"/>
          <w:szCs w:val="24"/>
        </w:rPr>
        <w:t xml:space="preserve">that </w:t>
      </w:r>
      <w:r w:rsidRPr="009913FE">
        <w:rPr>
          <w:rFonts w:ascii="Times New Roman" w:hAnsi="Times New Roman"/>
          <w:sz w:val="24"/>
          <w:szCs w:val="24"/>
        </w:rPr>
        <w:t>does not change, such as a list of months.</w:t>
      </w:r>
    </w:p>
    <w:p w:rsidR="00217934" w:rsidRPr="009913FE" w:rsidRDefault="00217934" w:rsidP="00026153">
      <w:pPr>
        <w:pStyle w:val="ListParagraph"/>
        <w:numPr>
          <w:ilvl w:val="0"/>
          <w:numId w:val="56"/>
        </w:numPr>
        <w:spacing w:after="200"/>
        <w:rPr>
          <w:sz w:val="24"/>
          <w:szCs w:val="24"/>
        </w:rPr>
      </w:pPr>
      <w:r w:rsidRPr="009913FE">
        <w:rPr>
          <w:rFonts w:ascii="Times New Roman" w:hAnsi="Times New Roman"/>
          <w:sz w:val="24"/>
          <w:szCs w:val="24"/>
        </w:rPr>
        <w:t xml:space="preserve">Variable pick-lists include choices that may be changed by EIA depending on the period of time covered by the survey or another circumstance.  </w:t>
      </w:r>
    </w:p>
    <w:p w:rsidR="00217934" w:rsidRPr="009913FE" w:rsidRDefault="00217934" w:rsidP="00026153">
      <w:pPr>
        <w:pStyle w:val="ListParagraph"/>
        <w:numPr>
          <w:ilvl w:val="1"/>
          <w:numId w:val="56"/>
        </w:numPr>
        <w:spacing w:after="200"/>
        <w:rPr>
          <w:sz w:val="24"/>
          <w:szCs w:val="24"/>
        </w:rPr>
      </w:pPr>
      <w:r w:rsidRPr="009913FE">
        <w:rPr>
          <w:rFonts w:ascii="Times New Roman" w:hAnsi="Times New Roman"/>
          <w:b/>
          <w:sz w:val="24"/>
          <w:szCs w:val="24"/>
        </w:rPr>
        <w:t>Time Dependent</w:t>
      </w:r>
      <w:r w:rsidRPr="009913FE">
        <w:rPr>
          <w:rFonts w:ascii="Times New Roman" w:hAnsi="Times New Roman"/>
          <w:sz w:val="24"/>
          <w:szCs w:val="24"/>
        </w:rPr>
        <w:t xml:space="preserve">: </w:t>
      </w:r>
      <w:r w:rsidR="00E51178" w:rsidRPr="009913FE">
        <w:rPr>
          <w:rFonts w:ascii="Times New Roman" w:hAnsi="Times New Roman"/>
          <w:sz w:val="24"/>
          <w:szCs w:val="24"/>
        </w:rPr>
        <w:t xml:space="preserve">In the case of the proposed EIA-111 survey, data </w:t>
      </w:r>
      <w:r w:rsidR="00D642AC">
        <w:rPr>
          <w:rFonts w:ascii="Times New Roman" w:hAnsi="Times New Roman"/>
          <w:sz w:val="24"/>
          <w:szCs w:val="24"/>
        </w:rPr>
        <w:t xml:space="preserve">are </w:t>
      </w:r>
      <w:r w:rsidR="00E51178" w:rsidRPr="009913FE">
        <w:rPr>
          <w:rFonts w:ascii="Times New Roman" w:hAnsi="Times New Roman"/>
          <w:sz w:val="24"/>
          <w:szCs w:val="24"/>
        </w:rPr>
        <w:t xml:space="preserve">collected for each month of the year on a quarterly basis.  Therefore, </w:t>
      </w:r>
      <w:r w:rsidR="008F45DE" w:rsidRPr="009913FE">
        <w:rPr>
          <w:rFonts w:ascii="Times New Roman" w:hAnsi="Times New Roman"/>
          <w:sz w:val="24"/>
          <w:szCs w:val="24"/>
        </w:rPr>
        <w:t>for the</w:t>
      </w:r>
      <w:r w:rsidR="00E51178" w:rsidRPr="009913FE">
        <w:rPr>
          <w:rFonts w:ascii="Times New Roman" w:hAnsi="Times New Roman"/>
          <w:sz w:val="24"/>
          <w:szCs w:val="24"/>
        </w:rPr>
        <w:t xml:space="preserve"> first quarter 2013</w:t>
      </w:r>
      <w:r w:rsidR="008F45DE" w:rsidRPr="009913FE">
        <w:rPr>
          <w:rFonts w:ascii="Times New Roman" w:hAnsi="Times New Roman"/>
          <w:sz w:val="24"/>
          <w:szCs w:val="24"/>
        </w:rPr>
        <w:t xml:space="preserve"> data collection </w:t>
      </w:r>
      <w:r w:rsidR="00093EF0" w:rsidRPr="009913FE">
        <w:rPr>
          <w:rFonts w:ascii="Times New Roman" w:hAnsi="Times New Roman"/>
          <w:sz w:val="24"/>
          <w:szCs w:val="24"/>
        </w:rPr>
        <w:t>the pick-</w:t>
      </w:r>
      <w:r w:rsidR="00E51178" w:rsidRPr="009913FE">
        <w:rPr>
          <w:rFonts w:ascii="Times New Roman" w:hAnsi="Times New Roman"/>
          <w:sz w:val="24"/>
          <w:szCs w:val="24"/>
        </w:rPr>
        <w:t>list of</w:t>
      </w:r>
      <w:r w:rsidR="008F45DE" w:rsidRPr="009913FE">
        <w:rPr>
          <w:rFonts w:ascii="Times New Roman" w:hAnsi="Times New Roman"/>
          <w:sz w:val="24"/>
          <w:szCs w:val="24"/>
        </w:rPr>
        <w:t xml:space="preserve"> months (such as in Schedule 2.A</w:t>
      </w:r>
      <w:r w:rsidR="00E51178" w:rsidRPr="009913FE">
        <w:rPr>
          <w:rFonts w:ascii="Times New Roman" w:hAnsi="Times New Roman"/>
          <w:sz w:val="24"/>
          <w:szCs w:val="24"/>
        </w:rPr>
        <w:t>.) would be limited to January, February, and March.  In the second quarter of 2013 the pick</w:t>
      </w:r>
      <w:r w:rsidR="00093EF0" w:rsidRPr="009913FE">
        <w:rPr>
          <w:rFonts w:ascii="Times New Roman" w:hAnsi="Times New Roman"/>
          <w:sz w:val="24"/>
          <w:szCs w:val="24"/>
        </w:rPr>
        <w:t>-</w:t>
      </w:r>
      <w:r w:rsidR="00E51178" w:rsidRPr="009913FE">
        <w:rPr>
          <w:rFonts w:ascii="Times New Roman" w:hAnsi="Times New Roman"/>
          <w:sz w:val="24"/>
          <w:szCs w:val="24"/>
        </w:rPr>
        <w:t xml:space="preserve"> list would </w:t>
      </w:r>
      <w:r w:rsidR="008F45DE" w:rsidRPr="009913FE">
        <w:rPr>
          <w:rFonts w:ascii="Times New Roman" w:hAnsi="Times New Roman"/>
          <w:sz w:val="24"/>
          <w:szCs w:val="24"/>
        </w:rPr>
        <w:t>be limited to April, May, and June; and so on.</w:t>
      </w:r>
    </w:p>
    <w:p w:rsidR="00217934" w:rsidRPr="009913FE" w:rsidRDefault="00217934" w:rsidP="00026153">
      <w:pPr>
        <w:pStyle w:val="ListParagraph"/>
        <w:numPr>
          <w:ilvl w:val="1"/>
          <w:numId w:val="56"/>
        </w:numPr>
        <w:spacing w:after="200"/>
        <w:rPr>
          <w:sz w:val="24"/>
          <w:szCs w:val="24"/>
        </w:rPr>
      </w:pPr>
      <w:r w:rsidRPr="009913FE">
        <w:rPr>
          <w:rFonts w:ascii="Times New Roman" w:hAnsi="Times New Roman"/>
          <w:b/>
          <w:sz w:val="24"/>
          <w:szCs w:val="24"/>
        </w:rPr>
        <w:t>Circumstance Dependent</w:t>
      </w:r>
      <w:r w:rsidRPr="009913FE">
        <w:rPr>
          <w:rFonts w:ascii="Times New Roman" w:hAnsi="Times New Roman"/>
          <w:sz w:val="24"/>
          <w:szCs w:val="24"/>
        </w:rPr>
        <w:t xml:space="preserve">: </w:t>
      </w:r>
      <w:r w:rsidR="00093EF0" w:rsidRPr="009913FE">
        <w:rPr>
          <w:rFonts w:ascii="Times New Roman" w:hAnsi="Times New Roman"/>
          <w:sz w:val="24"/>
          <w:szCs w:val="24"/>
        </w:rPr>
        <w:t>The EIA-111 will include a pick-</w:t>
      </w:r>
      <w:r w:rsidR="008F45DE" w:rsidRPr="009913FE">
        <w:rPr>
          <w:rFonts w:ascii="Times New Roman" w:hAnsi="Times New Roman"/>
          <w:sz w:val="24"/>
          <w:szCs w:val="24"/>
        </w:rPr>
        <w:t xml:space="preserve">list of </w:t>
      </w:r>
      <w:r w:rsidRPr="009913FE">
        <w:rPr>
          <w:rFonts w:ascii="Times New Roman" w:hAnsi="Times New Roman"/>
          <w:sz w:val="24"/>
          <w:szCs w:val="24"/>
        </w:rPr>
        <w:t xml:space="preserve">balancing authorities </w:t>
      </w:r>
      <w:r w:rsidR="00761305">
        <w:rPr>
          <w:rFonts w:ascii="Times New Roman" w:hAnsi="Times New Roman"/>
          <w:sz w:val="24"/>
          <w:szCs w:val="24"/>
        </w:rPr>
        <w:t>(such as in Imports schedule</w:t>
      </w:r>
      <w:r w:rsidR="008F45DE" w:rsidRPr="009913FE">
        <w:rPr>
          <w:rFonts w:ascii="Times New Roman" w:hAnsi="Times New Roman"/>
          <w:sz w:val="24"/>
          <w:szCs w:val="24"/>
        </w:rPr>
        <w:t>)</w:t>
      </w:r>
      <w:r w:rsidRPr="009913FE">
        <w:rPr>
          <w:rFonts w:ascii="Times New Roman" w:hAnsi="Times New Roman"/>
          <w:sz w:val="24"/>
          <w:szCs w:val="24"/>
        </w:rPr>
        <w:t>.  Due to consolidation</w:t>
      </w:r>
      <w:r w:rsidR="00F051E2" w:rsidRPr="009913FE">
        <w:rPr>
          <w:rFonts w:ascii="Times New Roman" w:hAnsi="Times New Roman"/>
          <w:sz w:val="24"/>
          <w:szCs w:val="24"/>
        </w:rPr>
        <w:t>,</w:t>
      </w:r>
      <w:r w:rsidRPr="009913FE">
        <w:rPr>
          <w:rFonts w:ascii="Times New Roman" w:hAnsi="Times New Roman"/>
          <w:sz w:val="24"/>
          <w:szCs w:val="24"/>
        </w:rPr>
        <w:t xml:space="preserve"> the number of balancing authorities is expected to shrink in the next few years.  Therefore </w:t>
      </w:r>
      <w:r w:rsidR="00A2427F" w:rsidRPr="009913FE">
        <w:rPr>
          <w:rFonts w:ascii="Times New Roman" w:hAnsi="Times New Roman"/>
          <w:sz w:val="24"/>
          <w:szCs w:val="24"/>
        </w:rPr>
        <w:t>the</w:t>
      </w:r>
      <w:r w:rsidRPr="009913FE">
        <w:rPr>
          <w:rFonts w:ascii="Times New Roman" w:hAnsi="Times New Roman"/>
          <w:sz w:val="24"/>
          <w:szCs w:val="24"/>
        </w:rPr>
        <w:t xml:space="preserve"> pick</w:t>
      </w:r>
      <w:r w:rsidR="00093EF0" w:rsidRPr="009913FE">
        <w:rPr>
          <w:rFonts w:ascii="Times New Roman" w:hAnsi="Times New Roman"/>
          <w:sz w:val="24"/>
          <w:szCs w:val="24"/>
        </w:rPr>
        <w:t>-</w:t>
      </w:r>
      <w:r w:rsidRPr="009913FE">
        <w:rPr>
          <w:rFonts w:ascii="Times New Roman" w:hAnsi="Times New Roman"/>
          <w:sz w:val="24"/>
          <w:szCs w:val="24"/>
        </w:rPr>
        <w:t xml:space="preserve">list of balancing authorities included in a survey for first quarter 2014 might be shorter </w:t>
      </w:r>
      <w:r w:rsidR="00A2427F" w:rsidRPr="009913FE">
        <w:rPr>
          <w:rFonts w:ascii="Times New Roman" w:hAnsi="Times New Roman"/>
          <w:sz w:val="24"/>
          <w:szCs w:val="24"/>
        </w:rPr>
        <w:t>than the list for first quarter 2013</w:t>
      </w:r>
      <w:r w:rsidRPr="009913FE">
        <w:rPr>
          <w:rFonts w:ascii="Times New Roman" w:hAnsi="Times New Roman"/>
          <w:sz w:val="24"/>
          <w:szCs w:val="24"/>
        </w:rPr>
        <w:t xml:space="preserve"> (i.e., edited by EIA</w:t>
      </w:r>
      <w:r w:rsidR="00A2427F" w:rsidRPr="009913FE">
        <w:rPr>
          <w:rFonts w:ascii="Times New Roman" w:hAnsi="Times New Roman"/>
          <w:sz w:val="24"/>
          <w:szCs w:val="24"/>
        </w:rPr>
        <w:t>, as a routine maintenance function,</w:t>
      </w:r>
      <w:r w:rsidRPr="009913FE">
        <w:rPr>
          <w:rFonts w:ascii="Times New Roman" w:hAnsi="Times New Roman"/>
          <w:sz w:val="24"/>
          <w:szCs w:val="24"/>
        </w:rPr>
        <w:t xml:space="preserve"> in the software application).</w:t>
      </w:r>
    </w:p>
    <w:p w:rsidR="00217934" w:rsidRPr="009913FE" w:rsidRDefault="00217934" w:rsidP="00026153">
      <w:pPr>
        <w:pStyle w:val="ListParagraph"/>
        <w:numPr>
          <w:ilvl w:val="0"/>
          <w:numId w:val="56"/>
        </w:numPr>
        <w:spacing w:after="200"/>
        <w:rPr>
          <w:sz w:val="24"/>
          <w:szCs w:val="24"/>
        </w:rPr>
      </w:pPr>
      <w:r w:rsidRPr="009913FE">
        <w:rPr>
          <w:rFonts w:ascii="Times New Roman" w:hAnsi="Times New Roman"/>
          <w:sz w:val="24"/>
          <w:szCs w:val="24"/>
        </w:rPr>
        <w:t>Dynamic pick-lists include a list of choices that varies depending on the respondent’s answer to another question.  For instance, assume a survey asks a utility to list all the adjacent states with which the utility has direct transmission connections:</w:t>
      </w:r>
    </w:p>
    <w:p w:rsidR="00217934" w:rsidRPr="009913FE" w:rsidRDefault="00217934" w:rsidP="00026153">
      <w:pPr>
        <w:pStyle w:val="ListParagraph"/>
        <w:numPr>
          <w:ilvl w:val="1"/>
          <w:numId w:val="56"/>
        </w:numPr>
        <w:spacing w:after="200"/>
        <w:rPr>
          <w:sz w:val="24"/>
          <w:szCs w:val="24"/>
        </w:rPr>
      </w:pPr>
      <w:r w:rsidRPr="009913FE">
        <w:rPr>
          <w:rFonts w:ascii="Times New Roman" w:hAnsi="Times New Roman"/>
          <w:sz w:val="24"/>
          <w:szCs w:val="24"/>
        </w:rPr>
        <w:t>If the utility had given its location in a prior question as Maine, the pick</w:t>
      </w:r>
      <w:r w:rsidR="00093EF0" w:rsidRPr="009913FE">
        <w:rPr>
          <w:rFonts w:ascii="Times New Roman" w:hAnsi="Times New Roman"/>
          <w:sz w:val="24"/>
          <w:szCs w:val="24"/>
        </w:rPr>
        <w:t>-</w:t>
      </w:r>
      <w:r w:rsidRPr="009913FE">
        <w:rPr>
          <w:rFonts w:ascii="Times New Roman" w:hAnsi="Times New Roman"/>
          <w:sz w:val="24"/>
          <w:szCs w:val="24"/>
        </w:rPr>
        <w:t>list of adjacent states would be limited to one choice, New Hampshire, the only state adjacent to Maine.</w:t>
      </w:r>
    </w:p>
    <w:p w:rsidR="00217934" w:rsidRPr="009913FE" w:rsidRDefault="00217934" w:rsidP="00026153">
      <w:pPr>
        <w:pStyle w:val="ListParagraph"/>
        <w:numPr>
          <w:ilvl w:val="1"/>
          <w:numId w:val="56"/>
        </w:numPr>
        <w:spacing w:after="200"/>
        <w:rPr>
          <w:sz w:val="24"/>
          <w:szCs w:val="24"/>
        </w:rPr>
      </w:pPr>
      <w:r w:rsidRPr="009913FE">
        <w:rPr>
          <w:rFonts w:ascii="Times New Roman" w:hAnsi="Times New Roman"/>
          <w:sz w:val="24"/>
          <w:szCs w:val="24"/>
        </w:rPr>
        <w:t>On the other hand, if the utility had given its location as Kansas, the pick</w:t>
      </w:r>
      <w:r w:rsidR="00093EF0" w:rsidRPr="009913FE">
        <w:rPr>
          <w:rFonts w:ascii="Times New Roman" w:hAnsi="Times New Roman"/>
          <w:sz w:val="24"/>
          <w:szCs w:val="24"/>
        </w:rPr>
        <w:t>-</w:t>
      </w:r>
      <w:r w:rsidRPr="009913FE">
        <w:rPr>
          <w:rFonts w:ascii="Times New Roman" w:hAnsi="Times New Roman"/>
          <w:sz w:val="24"/>
          <w:szCs w:val="24"/>
        </w:rPr>
        <w:t>list would include all the states adjacent to Kansas (Nebraska, Missouri, Oklahoma, and Colorado).</w:t>
      </w:r>
    </w:p>
    <w:p w:rsidR="009D1A9C" w:rsidRPr="009913FE" w:rsidRDefault="00217934" w:rsidP="009D1A9C">
      <w:pPr>
        <w:rPr>
          <w:sz w:val="24"/>
          <w:szCs w:val="24"/>
        </w:rPr>
      </w:pPr>
      <w:r w:rsidRPr="009913FE">
        <w:rPr>
          <w:sz w:val="24"/>
          <w:szCs w:val="24"/>
        </w:rPr>
        <w:t>In neither case would the respondent have to go through a list of 50 states and the District of Columbia to find the only possible choices.</w:t>
      </w:r>
    </w:p>
    <w:p w:rsidR="00217934" w:rsidRPr="009913FE" w:rsidRDefault="00217934" w:rsidP="00026153">
      <w:pPr>
        <w:rPr>
          <w:szCs w:val="24"/>
        </w:rPr>
      </w:pPr>
    </w:p>
    <w:p w:rsidR="00217934" w:rsidRPr="009913FE" w:rsidRDefault="00217934" w:rsidP="00026153">
      <w:pPr>
        <w:rPr>
          <w:szCs w:val="24"/>
        </w:rPr>
      </w:pPr>
      <w:r w:rsidRPr="009913FE">
        <w:rPr>
          <w:sz w:val="24"/>
          <w:szCs w:val="24"/>
        </w:rPr>
        <w:t>A dynamic pick-list is analogous to another standard technique in software-enabled surveys, the skip pattern, also used to avoid spurious responses and to reduce respondent burden.</w:t>
      </w:r>
      <w:r w:rsidR="00A2427F" w:rsidRPr="009913FE">
        <w:rPr>
          <w:sz w:val="24"/>
          <w:szCs w:val="24"/>
        </w:rPr>
        <w:t xml:space="preserve">  As currently configured the EIA-11</w:t>
      </w:r>
      <w:r w:rsidR="00093EF0" w:rsidRPr="009913FE">
        <w:rPr>
          <w:sz w:val="24"/>
          <w:szCs w:val="24"/>
        </w:rPr>
        <w:t>1 does not include dynamic pick-</w:t>
      </w:r>
      <w:r w:rsidR="00A2427F" w:rsidRPr="009913FE">
        <w:rPr>
          <w:sz w:val="24"/>
          <w:szCs w:val="24"/>
        </w:rPr>
        <w:t xml:space="preserve">lists, but this feature may be added </w:t>
      </w:r>
      <w:r w:rsidR="00A67FBE" w:rsidRPr="009913FE">
        <w:rPr>
          <w:sz w:val="24"/>
          <w:szCs w:val="24"/>
        </w:rPr>
        <w:t>to assist respondent data entry as part of routine</w:t>
      </w:r>
      <w:r w:rsidR="00A2427F" w:rsidRPr="009913FE">
        <w:rPr>
          <w:sz w:val="24"/>
          <w:szCs w:val="24"/>
        </w:rPr>
        <w:t xml:space="preserve"> software maintenance and upgrades.</w:t>
      </w:r>
    </w:p>
    <w:p w:rsidR="00217934" w:rsidRPr="009913FE" w:rsidRDefault="00217934" w:rsidP="00026153"/>
    <w:p w:rsidR="00A13C1E" w:rsidRPr="009913FE" w:rsidRDefault="00A13C1E" w:rsidP="00A56753">
      <w:pPr>
        <w:pStyle w:val="Heading3"/>
        <w:rPr>
          <w:szCs w:val="24"/>
        </w:rPr>
      </w:pPr>
      <w:bookmarkStart w:id="38" w:name="_Toc318697075"/>
    </w:p>
    <w:p w:rsidR="00A56753" w:rsidRPr="009913FE" w:rsidRDefault="0001347C" w:rsidP="00A56753">
      <w:pPr>
        <w:pStyle w:val="Heading3"/>
        <w:rPr>
          <w:szCs w:val="24"/>
        </w:rPr>
      </w:pPr>
      <w:bookmarkStart w:id="39" w:name="_Toc422466760"/>
      <w:r w:rsidRPr="009913FE">
        <w:rPr>
          <w:szCs w:val="24"/>
        </w:rPr>
        <w:t xml:space="preserve">4. </w:t>
      </w:r>
      <w:r w:rsidR="009A11E0" w:rsidRPr="009A11E0">
        <w:rPr>
          <w:szCs w:val="24"/>
        </w:rPr>
        <w:t>Technical Considerations</w:t>
      </w:r>
      <w:r w:rsidRPr="009913FE">
        <w:rPr>
          <w:szCs w:val="24"/>
        </w:rPr>
        <w:t xml:space="preserve"> to Reduce Duplication</w:t>
      </w:r>
      <w:bookmarkEnd w:id="33"/>
      <w:bookmarkEnd w:id="34"/>
      <w:bookmarkEnd w:id="35"/>
      <w:bookmarkEnd w:id="36"/>
      <w:bookmarkEnd w:id="38"/>
      <w:bookmarkEnd w:id="39"/>
    </w:p>
    <w:p w:rsidR="00A56753" w:rsidRPr="009913FE" w:rsidRDefault="00A56753" w:rsidP="00A56753"/>
    <w:p w:rsidR="0001347C" w:rsidRPr="009913FE" w:rsidRDefault="00A83F73"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9913FE">
        <w:rPr>
          <w:szCs w:val="24"/>
        </w:rPr>
        <w:t>Every effort has been</w:t>
      </w:r>
      <w:r w:rsidR="00BF257D" w:rsidRPr="009913FE">
        <w:rPr>
          <w:szCs w:val="24"/>
        </w:rPr>
        <w:t xml:space="preserve"> made </w:t>
      </w:r>
      <w:r w:rsidR="0001347C" w:rsidRPr="009913FE">
        <w:rPr>
          <w:szCs w:val="24"/>
        </w:rPr>
        <w:t xml:space="preserve">to ensure that data are not collected by more than one Federal government agency.  </w:t>
      </w:r>
      <w:r w:rsidR="00C73514" w:rsidRPr="009913FE">
        <w:rPr>
          <w:szCs w:val="24"/>
        </w:rPr>
        <w:t>As far as we know, n</w:t>
      </w:r>
      <w:r w:rsidR="001A30D1" w:rsidRPr="009913FE">
        <w:rPr>
          <w:szCs w:val="24"/>
        </w:rPr>
        <w:t xml:space="preserve">o other </w:t>
      </w:r>
      <w:r w:rsidR="0081796A" w:rsidRPr="009913FE">
        <w:rPr>
          <w:szCs w:val="24"/>
        </w:rPr>
        <w:t>organization collects cross-border power transactions and reliability information for the</w:t>
      </w:r>
      <w:r w:rsidR="009C1BB7" w:rsidRPr="009913FE">
        <w:rPr>
          <w:szCs w:val="24"/>
        </w:rPr>
        <w:t xml:space="preserve"> </w:t>
      </w:r>
      <w:r w:rsidR="006D103E" w:rsidRPr="009913FE">
        <w:rPr>
          <w:szCs w:val="24"/>
        </w:rPr>
        <w:t xml:space="preserve">United </w:t>
      </w:r>
      <w:r w:rsidR="00CA486D" w:rsidRPr="009913FE">
        <w:rPr>
          <w:szCs w:val="24"/>
        </w:rPr>
        <w:t>States.</w:t>
      </w:r>
    </w:p>
    <w:p w:rsidR="0001347C" w:rsidRPr="009913FE" w:rsidRDefault="0001347C" w:rsidP="00946DF9">
      <w:pPr>
        <w:rPr>
          <w:sz w:val="24"/>
          <w:szCs w:val="24"/>
        </w:rPr>
      </w:pPr>
    </w:p>
    <w:p w:rsidR="00863403" w:rsidRPr="009913FE" w:rsidRDefault="00CB3FE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913FE">
        <w:rPr>
          <w:sz w:val="24"/>
          <w:szCs w:val="24"/>
        </w:rPr>
        <w:t>EIA</w:t>
      </w:r>
      <w:r w:rsidR="0001347C" w:rsidRPr="009913FE">
        <w:rPr>
          <w:sz w:val="24"/>
          <w:szCs w:val="24"/>
        </w:rPr>
        <w:t xml:space="preserve"> evaluated all known sources of </w:t>
      </w:r>
      <w:r w:rsidR="00BC2C6A" w:rsidRPr="009913FE">
        <w:rPr>
          <w:sz w:val="24"/>
          <w:szCs w:val="24"/>
        </w:rPr>
        <w:t xml:space="preserve">publicly available </w:t>
      </w:r>
      <w:r w:rsidR="0001347C" w:rsidRPr="009913FE">
        <w:rPr>
          <w:sz w:val="24"/>
          <w:szCs w:val="24"/>
        </w:rPr>
        <w:t xml:space="preserve">data relating to the </w:t>
      </w:r>
      <w:r w:rsidR="00520015" w:rsidRPr="009913FE">
        <w:rPr>
          <w:sz w:val="24"/>
          <w:szCs w:val="24"/>
        </w:rPr>
        <w:t>cross-</w:t>
      </w:r>
      <w:r w:rsidR="00BC2C6A" w:rsidRPr="009913FE">
        <w:rPr>
          <w:sz w:val="24"/>
          <w:szCs w:val="24"/>
        </w:rPr>
        <w:t xml:space="preserve">border electricity trade and operations of </w:t>
      </w:r>
      <w:r w:rsidR="00FA12B2" w:rsidRPr="009913FE">
        <w:rPr>
          <w:sz w:val="24"/>
          <w:szCs w:val="24"/>
        </w:rPr>
        <w:t xml:space="preserve">the </w:t>
      </w:r>
      <w:r w:rsidR="0001347C" w:rsidRPr="009913FE">
        <w:rPr>
          <w:sz w:val="24"/>
          <w:szCs w:val="24"/>
        </w:rPr>
        <w:t>electric power industry</w:t>
      </w:r>
      <w:r w:rsidR="00CA486D" w:rsidRPr="009913FE">
        <w:rPr>
          <w:sz w:val="24"/>
          <w:szCs w:val="24"/>
        </w:rPr>
        <w:t>.  EIA</w:t>
      </w:r>
      <w:r w:rsidR="0001347C" w:rsidRPr="009913FE">
        <w:rPr>
          <w:sz w:val="24"/>
          <w:szCs w:val="24"/>
        </w:rPr>
        <w:t xml:space="preserve"> found no other source as comprehensive, tim</w:t>
      </w:r>
      <w:r w:rsidR="00A83F73" w:rsidRPr="009913FE">
        <w:rPr>
          <w:sz w:val="24"/>
          <w:szCs w:val="24"/>
        </w:rPr>
        <w:t xml:space="preserve">ely, or detailed to replace </w:t>
      </w:r>
      <w:r w:rsidR="00CA486D" w:rsidRPr="009913FE">
        <w:rPr>
          <w:sz w:val="24"/>
          <w:szCs w:val="24"/>
        </w:rPr>
        <w:t xml:space="preserve">the </w:t>
      </w:r>
      <w:r w:rsidR="00A83F73" w:rsidRPr="009913FE">
        <w:rPr>
          <w:sz w:val="24"/>
          <w:szCs w:val="24"/>
        </w:rPr>
        <w:t>proposed</w:t>
      </w:r>
      <w:r w:rsidR="0001347C" w:rsidRPr="009913FE">
        <w:rPr>
          <w:sz w:val="24"/>
          <w:szCs w:val="24"/>
        </w:rPr>
        <w:t xml:space="preserve"> data </w:t>
      </w:r>
      <w:r w:rsidR="00CA486D" w:rsidRPr="009913FE">
        <w:rPr>
          <w:sz w:val="24"/>
          <w:szCs w:val="24"/>
        </w:rPr>
        <w:t>collection</w:t>
      </w:r>
      <w:r w:rsidR="0001347C" w:rsidRPr="009913FE">
        <w:rPr>
          <w:sz w:val="24"/>
          <w:szCs w:val="24"/>
        </w:rPr>
        <w:t xml:space="preserve">.  </w:t>
      </w:r>
      <w:r w:rsidRPr="009913FE">
        <w:rPr>
          <w:sz w:val="24"/>
          <w:szCs w:val="24"/>
        </w:rPr>
        <w:t>EIA</w:t>
      </w:r>
      <w:r w:rsidR="0001347C" w:rsidRPr="009913FE">
        <w:rPr>
          <w:sz w:val="24"/>
          <w:szCs w:val="24"/>
        </w:rPr>
        <w:t xml:space="preserve"> determined that other sources cannot replace or even approximate the information proposed for collection here because of differences in classification, inconsistency, incompleteness</w:t>
      </w:r>
      <w:r w:rsidR="007D3B12" w:rsidRPr="009913FE">
        <w:rPr>
          <w:sz w:val="24"/>
          <w:szCs w:val="24"/>
        </w:rPr>
        <w:t xml:space="preserve"> of data</w:t>
      </w:r>
      <w:r w:rsidR="0001347C" w:rsidRPr="009913FE">
        <w:rPr>
          <w:sz w:val="24"/>
          <w:szCs w:val="24"/>
        </w:rPr>
        <w:t>, unavailability</w:t>
      </w:r>
      <w:r w:rsidR="007D3B12" w:rsidRPr="009913FE">
        <w:rPr>
          <w:sz w:val="24"/>
          <w:szCs w:val="24"/>
        </w:rPr>
        <w:t xml:space="preserve"> of data</w:t>
      </w:r>
      <w:r w:rsidR="0001347C" w:rsidRPr="009913FE">
        <w:rPr>
          <w:sz w:val="24"/>
          <w:szCs w:val="24"/>
        </w:rPr>
        <w:t xml:space="preserve">, or lack of universal coverage.  These efforts taken together capture the entire </w:t>
      </w:r>
      <w:r w:rsidR="006D103E" w:rsidRPr="009913FE">
        <w:rPr>
          <w:sz w:val="24"/>
          <w:szCs w:val="24"/>
        </w:rPr>
        <w:t xml:space="preserve">U.S. </w:t>
      </w:r>
      <w:r w:rsidR="0001347C" w:rsidRPr="009913FE">
        <w:rPr>
          <w:sz w:val="24"/>
          <w:szCs w:val="24"/>
        </w:rPr>
        <w:t>electric power industry and keep the burden on industry to a minimum.</w:t>
      </w:r>
    </w:p>
    <w:p w:rsidR="00FA25A3" w:rsidRPr="009913FE" w:rsidRDefault="00FA25A3" w:rsidP="00FA25A3"/>
    <w:p w:rsidR="006E0F16" w:rsidRPr="009913FE" w:rsidRDefault="006E0F16" w:rsidP="006E0F16">
      <w:pPr>
        <w:autoSpaceDE w:val="0"/>
        <w:autoSpaceDN w:val="0"/>
        <w:adjustRightInd w:val="0"/>
        <w:rPr>
          <w:rFonts w:ascii="Arial" w:hAnsi="Arial" w:cs="Arial"/>
          <w:b/>
          <w:bCs/>
          <w:color w:val="000000"/>
          <w:sz w:val="24"/>
          <w:szCs w:val="24"/>
        </w:rPr>
      </w:pPr>
    </w:p>
    <w:p w:rsidR="006E0F16" w:rsidRDefault="00BA0524" w:rsidP="008101E9">
      <w:pPr>
        <w:pStyle w:val="Heading3"/>
        <w:rPr>
          <w:rFonts w:cs="Arial"/>
          <w:bCs w:val="0"/>
          <w:color w:val="000000"/>
          <w:szCs w:val="24"/>
        </w:rPr>
      </w:pPr>
      <w:bookmarkStart w:id="40" w:name="_Toc318697077"/>
      <w:bookmarkStart w:id="41" w:name="_Toc422466761"/>
      <w:r w:rsidRPr="009913FE">
        <w:rPr>
          <w:rFonts w:cs="Arial"/>
          <w:bCs w:val="0"/>
          <w:color w:val="000000"/>
          <w:szCs w:val="24"/>
        </w:rPr>
        <w:t xml:space="preserve">5. </w:t>
      </w:r>
      <w:bookmarkEnd w:id="40"/>
      <w:r w:rsidR="008101E9" w:rsidRPr="008101E9">
        <w:rPr>
          <w:rFonts w:cs="Arial"/>
          <w:bCs w:val="0"/>
          <w:color w:val="000000"/>
          <w:szCs w:val="24"/>
        </w:rPr>
        <w:t>Efforts to Identify Duplication and Analysis of Similar Existing Information</w:t>
      </w:r>
      <w:bookmarkEnd w:id="41"/>
    </w:p>
    <w:p w:rsidR="008101E9" w:rsidRDefault="008101E9" w:rsidP="008101E9"/>
    <w:p w:rsidR="006272B9" w:rsidRDefault="006272B9" w:rsidP="006272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EIA</w:t>
      </w:r>
      <w:r w:rsidRPr="00946DF9">
        <w:rPr>
          <w:sz w:val="24"/>
          <w:szCs w:val="24"/>
        </w:rPr>
        <w:t xml:space="preserve"> evaluated all known sources of publicly available data relating to the </w:t>
      </w:r>
      <w:r>
        <w:rPr>
          <w:sz w:val="24"/>
          <w:szCs w:val="24"/>
        </w:rPr>
        <w:t>cross-</w:t>
      </w:r>
      <w:r w:rsidRPr="00946DF9">
        <w:rPr>
          <w:sz w:val="24"/>
          <w:szCs w:val="24"/>
        </w:rPr>
        <w:t>border electricity trade and operations of electric power industry and found no other source as comprehensive, tim</w:t>
      </w:r>
      <w:r>
        <w:rPr>
          <w:sz w:val="24"/>
          <w:szCs w:val="24"/>
        </w:rPr>
        <w:t>ely, or detailed, to replace this proposed</w:t>
      </w:r>
      <w:r w:rsidRPr="00946DF9">
        <w:rPr>
          <w:sz w:val="24"/>
          <w:szCs w:val="24"/>
        </w:rPr>
        <w:t xml:space="preserve"> data collections survey.  </w:t>
      </w:r>
      <w:r>
        <w:rPr>
          <w:sz w:val="24"/>
          <w:szCs w:val="24"/>
        </w:rPr>
        <w:t>EIA</w:t>
      </w:r>
      <w:r w:rsidRPr="00946DF9">
        <w:rPr>
          <w:sz w:val="24"/>
          <w:szCs w:val="24"/>
        </w:rPr>
        <w:t xml:space="preserve"> determined that other sources cannot replace or even approximate the information proposed for collection here because of differences in classification, inconsistency, incompleteness, unavailability, or lack of universal coverage.  These efforts taken together capture the entire electric power industry and keep the burden on industry to a minimum.</w:t>
      </w:r>
    </w:p>
    <w:p w:rsidR="006272B9" w:rsidRDefault="006272B9" w:rsidP="008101E9"/>
    <w:p w:rsidR="008101E9" w:rsidRPr="008101E9" w:rsidRDefault="008101E9" w:rsidP="008101E9"/>
    <w:p w:rsidR="008101E9" w:rsidRPr="008101E9" w:rsidRDefault="008101E9" w:rsidP="008101E9">
      <w:pPr>
        <w:pStyle w:val="Heading3"/>
        <w:rPr>
          <w:rFonts w:cs="Arial"/>
          <w:bCs w:val="0"/>
          <w:color w:val="000000"/>
          <w:szCs w:val="24"/>
        </w:rPr>
      </w:pPr>
      <w:bookmarkStart w:id="42" w:name="_Toc422466762"/>
      <w:r w:rsidRPr="008101E9">
        <w:rPr>
          <w:rFonts w:cs="Arial"/>
          <w:bCs w:val="0"/>
          <w:color w:val="000000"/>
          <w:szCs w:val="24"/>
        </w:rPr>
        <w:t>6. Burden Reduction for Small Businesses and Small Entities</w:t>
      </w:r>
      <w:bookmarkEnd w:id="42"/>
    </w:p>
    <w:p w:rsidR="008101E9" w:rsidRPr="008101E9" w:rsidRDefault="008101E9" w:rsidP="008101E9"/>
    <w:p w:rsidR="009679D4" w:rsidRDefault="006E0F16" w:rsidP="008101E9">
      <w:pPr>
        <w:rPr>
          <w:color w:val="000000"/>
          <w:sz w:val="24"/>
          <w:szCs w:val="24"/>
        </w:rPr>
      </w:pPr>
      <w:r w:rsidRPr="009913FE">
        <w:rPr>
          <w:color w:val="000000"/>
          <w:sz w:val="24"/>
          <w:szCs w:val="24"/>
        </w:rPr>
        <w:t xml:space="preserve">EIA is mindful of the need to minimize burden on small business and </w:t>
      </w:r>
      <w:r w:rsidR="007D3B12" w:rsidRPr="009913FE">
        <w:rPr>
          <w:color w:val="000000"/>
          <w:sz w:val="24"/>
          <w:szCs w:val="24"/>
        </w:rPr>
        <w:t xml:space="preserve">to the extent possible, </w:t>
      </w:r>
      <w:r w:rsidRPr="009913FE">
        <w:rPr>
          <w:color w:val="000000"/>
          <w:sz w:val="24"/>
          <w:szCs w:val="24"/>
        </w:rPr>
        <w:t>designs its data surveys</w:t>
      </w:r>
      <w:r w:rsidR="007D3B12" w:rsidRPr="009913FE">
        <w:rPr>
          <w:color w:val="000000"/>
          <w:sz w:val="24"/>
          <w:szCs w:val="24"/>
        </w:rPr>
        <w:t xml:space="preserve"> </w:t>
      </w:r>
      <w:r w:rsidRPr="009913FE">
        <w:rPr>
          <w:color w:val="000000"/>
          <w:sz w:val="24"/>
          <w:szCs w:val="24"/>
        </w:rPr>
        <w:t xml:space="preserve">so that small operations are not unduly affected. </w:t>
      </w:r>
      <w:r w:rsidR="00DD4FD5" w:rsidRPr="009913FE">
        <w:rPr>
          <w:color w:val="000000"/>
          <w:sz w:val="24"/>
          <w:szCs w:val="24"/>
        </w:rPr>
        <w:t>EIA has determined that most businesses that engage in electricity transmission are not small businesses; however, a marketer could operate on a much smaller scale than other entities</w:t>
      </w:r>
      <w:r w:rsidR="00171ABE" w:rsidRPr="009913FE">
        <w:rPr>
          <w:color w:val="000000"/>
          <w:sz w:val="24"/>
          <w:szCs w:val="24"/>
        </w:rPr>
        <w:t xml:space="preserve">. </w:t>
      </w:r>
      <w:r w:rsidR="00E31720" w:rsidRPr="009913FE">
        <w:rPr>
          <w:color w:val="000000"/>
          <w:sz w:val="24"/>
          <w:szCs w:val="24"/>
        </w:rPr>
        <w:t xml:space="preserve"> </w:t>
      </w:r>
      <w:r w:rsidR="00A13C1E" w:rsidRPr="009913FE">
        <w:rPr>
          <w:color w:val="000000"/>
          <w:sz w:val="24"/>
          <w:szCs w:val="24"/>
        </w:rPr>
        <w:t xml:space="preserve">The use of electronic data collection, including features such as </w:t>
      </w:r>
      <w:r w:rsidR="00093EF0" w:rsidRPr="009913FE">
        <w:rPr>
          <w:color w:val="000000"/>
          <w:sz w:val="24"/>
          <w:szCs w:val="24"/>
        </w:rPr>
        <w:t>pick-</w:t>
      </w:r>
      <w:r w:rsidR="00A13C1E" w:rsidRPr="009913FE">
        <w:rPr>
          <w:color w:val="000000"/>
          <w:sz w:val="24"/>
          <w:szCs w:val="24"/>
        </w:rPr>
        <w:t>lists (see 3. above) is also intended to reduce the response burdens for small business.</w:t>
      </w:r>
      <w:bookmarkStart w:id="43" w:name="_Toc524334494"/>
      <w:bookmarkStart w:id="44" w:name="_Toc524334576"/>
      <w:bookmarkStart w:id="45" w:name="_Toc524334724"/>
      <w:bookmarkStart w:id="46" w:name="_Toc524334917"/>
    </w:p>
    <w:p w:rsidR="008101E9" w:rsidRPr="008101E9" w:rsidRDefault="008101E9" w:rsidP="008101E9">
      <w:pPr>
        <w:rPr>
          <w:color w:val="000000"/>
          <w:sz w:val="24"/>
          <w:szCs w:val="24"/>
        </w:rPr>
      </w:pPr>
    </w:p>
    <w:p w:rsidR="00D07FE4" w:rsidRPr="002622B0" w:rsidRDefault="00D07FE4" w:rsidP="00863403">
      <w:pPr>
        <w:pStyle w:val="Heading3"/>
        <w:rPr>
          <w:szCs w:val="24"/>
        </w:rPr>
      </w:pPr>
    </w:p>
    <w:p w:rsidR="0001347C" w:rsidRPr="00583461" w:rsidRDefault="008101E9" w:rsidP="00863403">
      <w:pPr>
        <w:pStyle w:val="Heading3"/>
        <w:rPr>
          <w:szCs w:val="24"/>
        </w:rPr>
      </w:pPr>
      <w:bookmarkStart w:id="47" w:name="_Toc318697078"/>
      <w:bookmarkStart w:id="48" w:name="_Toc422466763"/>
      <w:r>
        <w:rPr>
          <w:szCs w:val="24"/>
        </w:rPr>
        <w:t>7</w:t>
      </w:r>
      <w:r w:rsidR="0001347C" w:rsidRPr="002622B0">
        <w:rPr>
          <w:szCs w:val="24"/>
        </w:rPr>
        <w:t>. Consequences of Less-Frequent Reporting</w:t>
      </w:r>
      <w:bookmarkEnd w:id="43"/>
      <w:bookmarkEnd w:id="44"/>
      <w:bookmarkEnd w:id="45"/>
      <w:bookmarkEnd w:id="46"/>
      <w:bookmarkEnd w:id="47"/>
      <w:bookmarkEnd w:id="48"/>
    </w:p>
    <w:p w:rsidR="004807DB" w:rsidRPr="00583461" w:rsidRDefault="004807DB" w:rsidP="004807DB">
      <w:pPr>
        <w:rPr>
          <w:sz w:val="24"/>
          <w:szCs w:val="24"/>
        </w:rPr>
      </w:pPr>
    </w:p>
    <w:p w:rsidR="004807DB" w:rsidRPr="002622B0" w:rsidRDefault="004807DB" w:rsidP="004807DB">
      <w:pPr>
        <w:rPr>
          <w:sz w:val="24"/>
          <w:szCs w:val="24"/>
        </w:rPr>
      </w:pPr>
      <w:r w:rsidRPr="00771B56">
        <w:rPr>
          <w:sz w:val="24"/>
          <w:szCs w:val="24"/>
        </w:rPr>
        <w:t xml:space="preserve">Eliminating EIA’s ability to collect monthly electric power import and export data on a quarterly basis would </w:t>
      </w:r>
      <w:r w:rsidR="00023CB9" w:rsidRPr="00771B56">
        <w:rPr>
          <w:sz w:val="24"/>
          <w:szCs w:val="24"/>
        </w:rPr>
        <w:t>undermine</w:t>
      </w:r>
      <w:r w:rsidR="000E5DCF" w:rsidRPr="00771B56">
        <w:rPr>
          <w:sz w:val="24"/>
          <w:szCs w:val="24"/>
        </w:rPr>
        <w:t xml:space="preserve"> </w:t>
      </w:r>
      <w:r w:rsidR="00C41C06" w:rsidRPr="00771B56">
        <w:rPr>
          <w:sz w:val="24"/>
          <w:szCs w:val="24"/>
        </w:rPr>
        <w:t xml:space="preserve">its </w:t>
      </w:r>
      <w:r w:rsidR="00235A1B" w:rsidRPr="00771B56">
        <w:rPr>
          <w:sz w:val="24"/>
          <w:szCs w:val="24"/>
        </w:rPr>
        <w:t>ability</w:t>
      </w:r>
      <w:r w:rsidR="00235A1B" w:rsidRPr="002622B0">
        <w:rPr>
          <w:sz w:val="24"/>
          <w:szCs w:val="24"/>
        </w:rPr>
        <w:t xml:space="preserve"> to advise and inform </w:t>
      </w:r>
      <w:r w:rsidRPr="002622B0">
        <w:rPr>
          <w:sz w:val="24"/>
          <w:szCs w:val="24"/>
        </w:rPr>
        <w:t>Congress, State and local governments, private industry, and various offices of the Federal government</w:t>
      </w:r>
      <w:r w:rsidR="00EC73EE" w:rsidRPr="002622B0">
        <w:rPr>
          <w:sz w:val="24"/>
          <w:szCs w:val="24"/>
        </w:rPr>
        <w:t>.</w:t>
      </w:r>
      <w:r w:rsidR="00235A1B" w:rsidRPr="002622B0">
        <w:rPr>
          <w:sz w:val="24"/>
          <w:szCs w:val="24"/>
        </w:rPr>
        <w:t xml:space="preserve"> </w:t>
      </w:r>
      <w:r w:rsidRPr="002622B0">
        <w:rPr>
          <w:sz w:val="24"/>
          <w:szCs w:val="24"/>
        </w:rPr>
        <w:t xml:space="preserve"> </w:t>
      </w:r>
      <w:r w:rsidR="0028523F" w:rsidRPr="002622B0">
        <w:rPr>
          <w:sz w:val="24"/>
          <w:szCs w:val="24"/>
        </w:rPr>
        <w:t>L</w:t>
      </w:r>
      <w:r w:rsidR="0012041C" w:rsidRPr="002622B0">
        <w:rPr>
          <w:sz w:val="24"/>
          <w:szCs w:val="24"/>
        </w:rPr>
        <w:t xml:space="preserve">ess frequent reporting </w:t>
      </w:r>
      <w:r w:rsidRPr="002622B0">
        <w:rPr>
          <w:sz w:val="24"/>
          <w:szCs w:val="24"/>
        </w:rPr>
        <w:t xml:space="preserve">would </w:t>
      </w:r>
      <w:r w:rsidR="0028523F" w:rsidRPr="002622B0">
        <w:rPr>
          <w:sz w:val="24"/>
          <w:szCs w:val="24"/>
        </w:rPr>
        <w:t xml:space="preserve">also </w:t>
      </w:r>
      <w:r w:rsidRPr="002622B0">
        <w:rPr>
          <w:sz w:val="24"/>
          <w:szCs w:val="24"/>
        </w:rPr>
        <w:t>place a large</w:t>
      </w:r>
      <w:r w:rsidR="0012041C" w:rsidRPr="002622B0">
        <w:rPr>
          <w:sz w:val="24"/>
          <w:szCs w:val="24"/>
        </w:rPr>
        <w:t>r</w:t>
      </w:r>
      <w:r w:rsidRPr="002622B0">
        <w:rPr>
          <w:sz w:val="24"/>
          <w:szCs w:val="24"/>
        </w:rPr>
        <w:t xml:space="preserve"> burden </w:t>
      </w:r>
      <w:r w:rsidR="005E3C90" w:rsidRPr="002622B0">
        <w:rPr>
          <w:sz w:val="24"/>
          <w:szCs w:val="24"/>
        </w:rPr>
        <w:t>on State</w:t>
      </w:r>
      <w:r w:rsidRPr="002622B0">
        <w:rPr>
          <w:sz w:val="24"/>
          <w:szCs w:val="24"/>
        </w:rPr>
        <w:t xml:space="preserve"> governments to collect and process their</w:t>
      </w:r>
      <w:r w:rsidR="00CD3E9B" w:rsidRPr="002622B0">
        <w:rPr>
          <w:sz w:val="24"/>
          <w:szCs w:val="24"/>
        </w:rPr>
        <w:t xml:space="preserve"> own</w:t>
      </w:r>
      <w:r w:rsidRPr="002622B0">
        <w:rPr>
          <w:sz w:val="24"/>
          <w:szCs w:val="24"/>
        </w:rPr>
        <w:t xml:space="preserve"> data </w:t>
      </w:r>
      <w:r w:rsidR="009E14D8" w:rsidRPr="002622B0">
        <w:rPr>
          <w:sz w:val="24"/>
          <w:szCs w:val="24"/>
        </w:rPr>
        <w:t xml:space="preserve">in addition to </w:t>
      </w:r>
      <w:r w:rsidRPr="002622B0">
        <w:rPr>
          <w:sz w:val="24"/>
          <w:szCs w:val="24"/>
        </w:rPr>
        <w:t>try</w:t>
      </w:r>
      <w:r w:rsidR="009E14D8" w:rsidRPr="002622B0">
        <w:rPr>
          <w:sz w:val="24"/>
          <w:szCs w:val="24"/>
        </w:rPr>
        <w:t>ing</w:t>
      </w:r>
      <w:r w:rsidRPr="002622B0">
        <w:rPr>
          <w:sz w:val="24"/>
          <w:szCs w:val="24"/>
        </w:rPr>
        <w:t xml:space="preserve"> to obtain similar information from other States for comparison and monitoring purposes. </w:t>
      </w:r>
      <w:r w:rsidR="009E14D8" w:rsidRPr="002622B0">
        <w:rPr>
          <w:sz w:val="24"/>
          <w:szCs w:val="24"/>
        </w:rPr>
        <w:t xml:space="preserve">Conversely, less frequent reporting </w:t>
      </w:r>
      <w:r w:rsidRPr="002622B0">
        <w:rPr>
          <w:sz w:val="24"/>
          <w:szCs w:val="24"/>
        </w:rPr>
        <w:t xml:space="preserve">would also place a larger burden on </w:t>
      </w:r>
      <w:r w:rsidR="005E3C90" w:rsidRPr="002622B0">
        <w:rPr>
          <w:sz w:val="24"/>
          <w:szCs w:val="24"/>
        </w:rPr>
        <w:t>the EIA</w:t>
      </w:r>
      <w:r w:rsidR="00EC73EE" w:rsidRPr="002622B0">
        <w:rPr>
          <w:sz w:val="24"/>
          <w:szCs w:val="24"/>
        </w:rPr>
        <w:t>-111 respondent</w:t>
      </w:r>
      <w:r w:rsidR="009E14D8" w:rsidRPr="002622B0">
        <w:rPr>
          <w:sz w:val="24"/>
          <w:szCs w:val="24"/>
        </w:rPr>
        <w:t>s who would need</w:t>
      </w:r>
      <w:r w:rsidR="00EC73EE" w:rsidRPr="002622B0">
        <w:rPr>
          <w:sz w:val="24"/>
          <w:szCs w:val="24"/>
        </w:rPr>
        <w:t xml:space="preserve"> </w:t>
      </w:r>
      <w:r w:rsidRPr="002622B0">
        <w:rPr>
          <w:sz w:val="24"/>
          <w:szCs w:val="24"/>
        </w:rPr>
        <w:t xml:space="preserve">to provide </w:t>
      </w:r>
      <w:r w:rsidR="005E3C90" w:rsidRPr="002622B0">
        <w:rPr>
          <w:sz w:val="24"/>
          <w:szCs w:val="24"/>
        </w:rPr>
        <w:t>their information</w:t>
      </w:r>
      <w:r w:rsidRPr="002622B0">
        <w:rPr>
          <w:sz w:val="24"/>
          <w:szCs w:val="24"/>
        </w:rPr>
        <w:t xml:space="preserve"> to more than one data collection agency.</w:t>
      </w:r>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295B06" w:rsidRPr="002622B0" w:rsidRDefault="00295B06"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2622B0" w:rsidRDefault="0026339D" w:rsidP="00863403">
      <w:pPr>
        <w:pStyle w:val="Heading3"/>
        <w:rPr>
          <w:szCs w:val="24"/>
        </w:rPr>
      </w:pPr>
      <w:bookmarkStart w:id="49" w:name="_Toc318697079"/>
      <w:bookmarkStart w:id="50" w:name="_Toc422466764"/>
      <w:r>
        <w:rPr>
          <w:szCs w:val="24"/>
        </w:rPr>
        <w:t>8</w:t>
      </w:r>
      <w:r w:rsidR="0001347C" w:rsidRPr="002622B0">
        <w:rPr>
          <w:szCs w:val="24"/>
        </w:rPr>
        <w:t xml:space="preserve">. </w:t>
      </w:r>
      <w:bookmarkEnd w:id="49"/>
      <w:r w:rsidRPr="0026339D">
        <w:rPr>
          <w:szCs w:val="24"/>
        </w:rPr>
        <w:t>Special Circumstances</w:t>
      </w:r>
      <w:bookmarkEnd w:id="50"/>
    </w:p>
    <w:p w:rsidR="00E42A61" w:rsidRPr="002622B0" w:rsidRDefault="00E42A61" w:rsidP="00E42A61"/>
    <w:p w:rsidR="0026339D" w:rsidRPr="0026339D" w:rsidRDefault="0026339D" w:rsidP="0026339D">
      <w:pPr>
        <w:rPr>
          <w:sz w:val="24"/>
          <w:szCs w:val="24"/>
        </w:rPr>
      </w:pPr>
      <w:bookmarkStart w:id="51" w:name="_Toc524334496"/>
      <w:bookmarkStart w:id="52" w:name="_Toc524334578"/>
      <w:bookmarkStart w:id="53" w:name="_Toc524334726"/>
      <w:bookmarkStart w:id="54" w:name="_Toc524334919"/>
      <w:r w:rsidRPr="0026339D">
        <w:rPr>
          <w:sz w:val="24"/>
          <w:szCs w:val="24"/>
        </w:rPr>
        <w:t>There are not any special circumstances for the quarterly electricity imports and exports report data collection.</w:t>
      </w:r>
    </w:p>
    <w:p w:rsidR="00932983" w:rsidRPr="002622B0" w:rsidRDefault="00932983" w:rsidP="00932983"/>
    <w:p w:rsidR="00932983" w:rsidRPr="002622B0" w:rsidRDefault="00932983" w:rsidP="00932983"/>
    <w:p w:rsidR="00932983" w:rsidRPr="002622B0" w:rsidRDefault="0026339D" w:rsidP="00932983">
      <w:pPr>
        <w:pStyle w:val="Heading3"/>
        <w:rPr>
          <w:szCs w:val="24"/>
        </w:rPr>
      </w:pPr>
      <w:bookmarkStart w:id="55" w:name="_Toc318697080"/>
      <w:bookmarkStart w:id="56" w:name="_Toc422466765"/>
      <w:r>
        <w:rPr>
          <w:szCs w:val="24"/>
        </w:rPr>
        <w:t>9</w:t>
      </w:r>
      <w:r w:rsidR="0001347C" w:rsidRPr="002622B0">
        <w:rPr>
          <w:szCs w:val="24"/>
        </w:rPr>
        <w:t xml:space="preserve">. Summary of Consultations </w:t>
      </w:r>
      <w:r w:rsidR="00532894" w:rsidRPr="002622B0">
        <w:rPr>
          <w:szCs w:val="24"/>
        </w:rPr>
        <w:t>outside</w:t>
      </w:r>
      <w:r w:rsidR="0001347C" w:rsidRPr="002622B0">
        <w:rPr>
          <w:szCs w:val="24"/>
        </w:rPr>
        <w:t xml:space="preserve"> the Agency</w:t>
      </w:r>
      <w:bookmarkEnd w:id="51"/>
      <w:bookmarkEnd w:id="52"/>
      <w:bookmarkEnd w:id="53"/>
      <w:bookmarkEnd w:id="54"/>
      <w:bookmarkEnd w:id="55"/>
      <w:bookmarkEnd w:id="56"/>
    </w:p>
    <w:p w:rsidR="00932983" w:rsidRPr="002622B0" w:rsidRDefault="00932983" w:rsidP="00932983"/>
    <w:p w:rsidR="0001347C" w:rsidRPr="002622B0" w:rsidRDefault="007B7F96"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color w:val="0000FF"/>
          <w:szCs w:val="24"/>
        </w:rPr>
      </w:pPr>
      <w:r w:rsidRPr="002622B0">
        <w:rPr>
          <w:iCs/>
          <w:szCs w:val="24"/>
        </w:rPr>
        <w:t xml:space="preserve">Consultations </w:t>
      </w:r>
      <w:r w:rsidR="00905B35" w:rsidRPr="002622B0">
        <w:rPr>
          <w:iCs/>
          <w:szCs w:val="24"/>
        </w:rPr>
        <w:t>were</w:t>
      </w:r>
      <w:r w:rsidR="0001347C" w:rsidRPr="002622B0">
        <w:rPr>
          <w:iCs/>
          <w:szCs w:val="24"/>
        </w:rPr>
        <w:t xml:space="preserve"> conducted using a </w:t>
      </w:r>
      <w:r w:rsidR="0001347C" w:rsidRPr="00C6116F">
        <w:rPr>
          <w:iCs/>
          <w:szCs w:val="24"/>
        </w:rPr>
        <w:t>Federal Register</w:t>
      </w:r>
      <w:r w:rsidR="0001347C" w:rsidRPr="002622B0">
        <w:rPr>
          <w:iCs/>
          <w:szCs w:val="24"/>
        </w:rPr>
        <w:t xml:space="preserve"> notice (</w:t>
      </w:r>
      <w:r w:rsidR="00FC6E1D" w:rsidRPr="00FC6E1D">
        <w:rPr>
          <w:iCs/>
          <w:szCs w:val="24"/>
        </w:rPr>
        <w:t>Vol. 80. No. 23)</w:t>
      </w:r>
      <w:r w:rsidR="00FC6E1D">
        <w:rPr>
          <w:iCs/>
          <w:szCs w:val="24"/>
        </w:rPr>
        <w:t xml:space="preserve"> </w:t>
      </w:r>
      <w:r w:rsidR="0001347C" w:rsidRPr="002622B0">
        <w:rPr>
          <w:iCs/>
          <w:szCs w:val="24"/>
        </w:rPr>
        <w:t>published</w:t>
      </w:r>
      <w:r w:rsidR="002E0E62" w:rsidRPr="002622B0">
        <w:rPr>
          <w:iCs/>
          <w:szCs w:val="24"/>
        </w:rPr>
        <w:t xml:space="preserve"> on</w:t>
      </w:r>
      <w:r w:rsidR="0001347C" w:rsidRPr="002622B0">
        <w:rPr>
          <w:iCs/>
          <w:szCs w:val="24"/>
        </w:rPr>
        <w:t xml:space="preserve"> </w:t>
      </w:r>
      <w:r w:rsidR="00FC6E1D">
        <w:rPr>
          <w:iCs/>
          <w:szCs w:val="24"/>
        </w:rPr>
        <w:t>February 4, 2015</w:t>
      </w:r>
      <w:r w:rsidR="0001347C" w:rsidRPr="002622B0">
        <w:rPr>
          <w:iCs/>
          <w:szCs w:val="24"/>
        </w:rPr>
        <w:t xml:space="preserve">.  Copies of the notice were </w:t>
      </w:r>
      <w:r w:rsidR="007E7F57">
        <w:rPr>
          <w:iCs/>
          <w:szCs w:val="24"/>
        </w:rPr>
        <w:t>e</w:t>
      </w:r>
      <w:r w:rsidR="0001347C" w:rsidRPr="002622B0">
        <w:rPr>
          <w:iCs/>
          <w:szCs w:val="24"/>
        </w:rPr>
        <w:t xml:space="preserve">mailed to potential respondents, industry associations, and environmental and consumer groups for comment.  </w:t>
      </w:r>
      <w:r w:rsidR="00A83F73" w:rsidRPr="002622B0">
        <w:rPr>
          <w:iCs/>
          <w:szCs w:val="24"/>
        </w:rPr>
        <w:t>This supporting statement</w:t>
      </w:r>
      <w:r w:rsidRPr="002622B0">
        <w:rPr>
          <w:iCs/>
          <w:szCs w:val="24"/>
        </w:rPr>
        <w:t xml:space="preserve"> will be</w:t>
      </w:r>
      <w:r w:rsidR="00E877C1" w:rsidRPr="002622B0">
        <w:rPr>
          <w:iCs/>
          <w:szCs w:val="24"/>
        </w:rPr>
        <w:t xml:space="preserve"> </w:t>
      </w:r>
      <w:r w:rsidR="00A83F73" w:rsidRPr="002622B0">
        <w:rPr>
          <w:iCs/>
          <w:szCs w:val="24"/>
        </w:rPr>
        <w:t xml:space="preserve">made </w:t>
      </w:r>
      <w:r w:rsidR="00FB2160" w:rsidRPr="002622B0">
        <w:rPr>
          <w:iCs/>
          <w:szCs w:val="24"/>
        </w:rPr>
        <w:t>available</w:t>
      </w:r>
      <w:r w:rsidR="00E877C1" w:rsidRPr="002622B0">
        <w:rPr>
          <w:iCs/>
          <w:szCs w:val="24"/>
        </w:rPr>
        <w:t xml:space="preserve"> on the EIA website, along with </w:t>
      </w:r>
      <w:r w:rsidRPr="002622B0">
        <w:rPr>
          <w:iCs/>
          <w:szCs w:val="24"/>
        </w:rPr>
        <w:t>drafts of the proposed new form</w:t>
      </w:r>
      <w:r w:rsidR="00E877C1" w:rsidRPr="002622B0">
        <w:rPr>
          <w:iCs/>
          <w:szCs w:val="24"/>
        </w:rPr>
        <w:t xml:space="preserve"> and instructions.  </w:t>
      </w:r>
      <w:r w:rsidR="0001347C" w:rsidRPr="002622B0">
        <w:rPr>
          <w:iCs/>
          <w:szCs w:val="24"/>
        </w:rPr>
        <w:t xml:space="preserve">A summary of the comments received, along with </w:t>
      </w:r>
      <w:r w:rsidR="00E877C1" w:rsidRPr="002622B0">
        <w:rPr>
          <w:iCs/>
          <w:szCs w:val="24"/>
        </w:rPr>
        <w:t xml:space="preserve">the </w:t>
      </w:r>
      <w:r w:rsidR="00A83F73" w:rsidRPr="002622B0">
        <w:rPr>
          <w:iCs/>
          <w:szCs w:val="24"/>
        </w:rPr>
        <w:t>EIA responses provided</w:t>
      </w:r>
      <w:r w:rsidR="00E131B0" w:rsidRPr="002622B0">
        <w:rPr>
          <w:iCs/>
          <w:szCs w:val="24"/>
        </w:rPr>
        <w:t xml:space="preserve"> are in Appendix A below</w:t>
      </w:r>
      <w:r w:rsidR="00A83F73" w:rsidRPr="002622B0">
        <w:rPr>
          <w:iCs/>
          <w:szCs w:val="24"/>
        </w:rPr>
        <w:t>.</w:t>
      </w:r>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sz w:val="24"/>
          <w:szCs w:val="24"/>
        </w:rPr>
      </w:pPr>
    </w:p>
    <w:p w:rsidR="00777CED" w:rsidRPr="002622B0" w:rsidRDefault="00777CED"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sz w:val="24"/>
          <w:szCs w:val="24"/>
        </w:rPr>
      </w:pPr>
    </w:p>
    <w:p w:rsidR="0001347C" w:rsidRPr="002622B0" w:rsidRDefault="0026339D" w:rsidP="00863403">
      <w:pPr>
        <w:pStyle w:val="Heading3"/>
        <w:rPr>
          <w:szCs w:val="24"/>
        </w:rPr>
      </w:pPr>
      <w:bookmarkStart w:id="57" w:name="_Toc524334497"/>
      <w:bookmarkStart w:id="58" w:name="_Toc524334579"/>
      <w:bookmarkStart w:id="59" w:name="_Toc524334727"/>
      <w:bookmarkStart w:id="60" w:name="_Toc524334920"/>
      <w:bookmarkStart w:id="61" w:name="_Toc318697081"/>
      <w:bookmarkStart w:id="62" w:name="_Toc422466766"/>
      <w:r>
        <w:rPr>
          <w:szCs w:val="24"/>
        </w:rPr>
        <w:t>10</w:t>
      </w:r>
      <w:r w:rsidR="0001347C" w:rsidRPr="002622B0">
        <w:rPr>
          <w:szCs w:val="24"/>
        </w:rPr>
        <w:t xml:space="preserve">. </w:t>
      </w:r>
      <w:bookmarkEnd w:id="57"/>
      <w:bookmarkEnd w:id="58"/>
      <w:bookmarkEnd w:id="59"/>
      <w:bookmarkEnd w:id="60"/>
      <w:bookmarkEnd w:id="61"/>
      <w:r>
        <w:rPr>
          <w:szCs w:val="24"/>
        </w:rPr>
        <w:t>Remuneration</w:t>
      </w:r>
      <w:bookmarkEnd w:id="62"/>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2622B0">
        <w:rPr>
          <w:sz w:val="24"/>
          <w:szCs w:val="24"/>
        </w:rPr>
        <w:t xml:space="preserve">No payments or gifts are made to the respondents </w:t>
      </w:r>
      <w:r w:rsidR="00EF12E6" w:rsidRPr="002622B0">
        <w:rPr>
          <w:sz w:val="24"/>
          <w:szCs w:val="24"/>
        </w:rPr>
        <w:t>of</w:t>
      </w:r>
      <w:r w:rsidRPr="002622B0">
        <w:rPr>
          <w:sz w:val="24"/>
          <w:szCs w:val="24"/>
        </w:rPr>
        <w:t xml:space="preserve"> the survey.</w:t>
      </w:r>
    </w:p>
    <w:p w:rsidR="0001347C" w:rsidRPr="002622B0" w:rsidRDefault="0001347C" w:rsidP="00946DF9">
      <w:pPr>
        <w:pStyle w:val="Heading3"/>
        <w:ind w:firstLine="720"/>
        <w:rPr>
          <w:szCs w:val="24"/>
        </w:rPr>
      </w:pPr>
      <w:bookmarkStart w:id="63" w:name="_Toc524334498"/>
      <w:bookmarkStart w:id="64" w:name="_Toc524334580"/>
      <w:bookmarkStart w:id="65" w:name="_Toc524334728"/>
      <w:bookmarkStart w:id="66" w:name="_Toc524334921"/>
    </w:p>
    <w:p w:rsidR="008F1E19" w:rsidRPr="002622B0" w:rsidRDefault="008F1E19" w:rsidP="00863403">
      <w:pPr>
        <w:pStyle w:val="Heading3"/>
        <w:rPr>
          <w:szCs w:val="24"/>
        </w:rPr>
      </w:pPr>
    </w:p>
    <w:p w:rsidR="0001347C" w:rsidRDefault="0026339D" w:rsidP="00863403">
      <w:pPr>
        <w:pStyle w:val="Heading3"/>
        <w:rPr>
          <w:szCs w:val="24"/>
        </w:rPr>
      </w:pPr>
      <w:bookmarkStart w:id="67" w:name="_Toc318697082"/>
      <w:bookmarkStart w:id="68" w:name="_Toc422466767"/>
      <w:r>
        <w:rPr>
          <w:szCs w:val="24"/>
        </w:rPr>
        <w:t xml:space="preserve">11. </w:t>
      </w:r>
      <w:r w:rsidR="005D5FE8" w:rsidRPr="0026339D">
        <w:rPr>
          <w:szCs w:val="24"/>
        </w:rPr>
        <w:t>Disclosure</w:t>
      </w:r>
      <w:r w:rsidR="0001347C" w:rsidRPr="002622B0">
        <w:rPr>
          <w:szCs w:val="24"/>
        </w:rPr>
        <w:t xml:space="preserve"> of Information</w:t>
      </w:r>
      <w:bookmarkEnd w:id="63"/>
      <w:bookmarkEnd w:id="64"/>
      <w:bookmarkEnd w:id="65"/>
      <w:bookmarkEnd w:id="66"/>
      <w:bookmarkEnd w:id="67"/>
      <w:bookmarkEnd w:id="68"/>
    </w:p>
    <w:p w:rsidR="00D642AC" w:rsidRPr="00D642AC" w:rsidRDefault="00D642AC" w:rsidP="00C6116F"/>
    <w:p w:rsidR="005B1017" w:rsidRPr="002622B0" w:rsidRDefault="005B1017" w:rsidP="005D5FE8">
      <w:pPr>
        <w:autoSpaceDE w:val="0"/>
        <w:autoSpaceDN w:val="0"/>
        <w:adjustRightInd w:val="0"/>
        <w:rPr>
          <w:sz w:val="24"/>
          <w:szCs w:val="24"/>
        </w:rPr>
      </w:pPr>
      <w:r w:rsidRPr="002622B0">
        <w:rPr>
          <w:sz w:val="24"/>
          <w:szCs w:val="24"/>
        </w:rPr>
        <w:t xml:space="preserve">The information reported on Form EIA-111 will be </w:t>
      </w:r>
      <w:r w:rsidR="00B94858" w:rsidRPr="002622B0">
        <w:rPr>
          <w:sz w:val="24"/>
          <w:szCs w:val="24"/>
        </w:rPr>
        <w:t xml:space="preserve">considered public </w:t>
      </w:r>
      <w:r w:rsidR="00957870" w:rsidRPr="002622B0">
        <w:rPr>
          <w:sz w:val="24"/>
          <w:szCs w:val="24"/>
        </w:rPr>
        <w:t>information and</w:t>
      </w:r>
      <w:r w:rsidRPr="002622B0">
        <w:rPr>
          <w:sz w:val="24"/>
          <w:szCs w:val="24"/>
        </w:rPr>
        <w:t xml:space="preserve"> may be publicly released in identifiable form.  </w:t>
      </w:r>
    </w:p>
    <w:p w:rsidR="000318B5" w:rsidRPr="002622B0" w:rsidRDefault="000318B5" w:rsidP="00E51C05">
      <w:pPr>
        <w:rPr>
          <w:b/>
          <w:sz w:val="24"/>
          <w:szCs w:val="24"/>
        </w:rPr>
      </w:pPr>
    </w:p>
    <w:p w:rsidR="00A51914" w:rsidRPr="002622B0" w:rsidRDefault="00A51914" w:rsidP="00863403">
      <w:pPr>
        <w:pStyle w:val="Heading3"/>
        <w:rPr>
          <w:szCs w:val="24"/>
        </w:rPr>
      </w:pPr>
      <w:bookmarkStart w:id="69" w:name="_Toc78797041"/>
      <w:bookmarkStart w:id="70" w:name="_Toc81025454"/>
      <w:bookmarkStart w:id="71" w:name="_Toc318697083"/>
      <w:bookmarkStart w:id="72" w:name="_Toc524334501"/>
      <w:bookmarkStart w:id="73" w:name="_Toc524334583"/>
      <w:bookmarkStart w:id="74" w:name="_Toc524334730"/>
      <w:bookmarkStart w:id="75" w:name="_Toc524334923"/>
    </w:p>
    <w:p w:rsidR="0001347C" w:rsidRPr="002622B0" w:rsidRDefault="0001347C" w:rsidP="00863403">
      <w:pPr>
        <w:pStyle w:val="Heading3"/>
        <w:rPr>
          <w:szCs w:val="24"/>
        </w:rPr>
      </w:pPr>
      <w:bookmarkStart w:id="76" w:name="_Toc422466768"/>
      <w:r w:rsidRPr="002622B0">
        <w:rPr>
          <w:szCs w:val="24"/>
        </w:rPr>
        <w:t>1</w:t>
      </w:r>
      <w:r w:rsidR="0026339D">
        <w:rPr>
          <w:szCs w:val="24"/>
        </w:rPr>
        <w:t>2</w:t>
      </w:r>
      <w:r w:rsidRPr="002622B0">
        <w:rPr>
          <w:szCs w:val="24"/>
        </w:rPr>
        <w:t xml:space="preserve">. </w:t>
      </w:r>
      <w:bookmarkEnd w:id="69"/>
      <w:bookmarkEnd w:id="70"/>
      <w:bookmarkEnd w:id="71"/>
      <w:r w:rsidR="0026339D" w:rsidRPr="0026339D">
        <w:rPr>
          <w:szCs w:val="24"/>
        </w:rPr>
        <w:t>Justification for Questions of a Sensitive Nature</w:t>
      </w:r>
      <w:bookmarkEnd w:id="76"/>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2622B0"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2622B0">
        <w:rPr>
          <w:sz w:val="24"/>
          <w:szCs w:val="24"/>
        </w:rPr>
        <w:t>There are no questions of a sensitive nature.</w:t>
      </w:r>
    </w:p>
    <w:p w:rsidR="00A51914" w:rsidRPr="002622B0" w:rsidRDefault="00A51914"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51914" w:rsidRPr="002622B0" w:rsidRDefault="00A51914"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26938" w:rsidRPr="002622B0" w:rsidRDefault="00A26938" w:rsidP="00863403">
      <w:pPr>
        <w:pStyle w:val="Heading3"/>
        <w:rPr>
          <w:szCs w:val="24"/>
        </w:rPr>
      </w:pPr>
      <w:bookmarkStart w:id="77" w:name="_Toc318697084"/>
      <w:bookmarkStart w:id="78" w:name="_Toc422466769"/>
      <w:r w:rsidRPr="002622B0">
        <w:rPr>
          <w:szCs w:val="24"/>
        </w:rPr>
        <w:t>1</w:t>
      </w:r>
      <w:r w:rsidR="0026339D">
        <w:rPr>
          <w:szCs w:val="24"/>
        </w:rPr>
        <w:t>3</w:t>
      </w:r>
      <w:r w:rsidRPr="002622B0">
        <w:rPr>
          <w:szCs w:val="24"/>
        </w:rPr>
        <w:t xml:space="preserve">. </w:t>
      </w:r>
      <w:bookmarkEnd w:id="77"/>
      <w:r w:rsidR="0026339D" w:rsidRPr="0026339D">
        <w:rPr>
          <w:szCs w:val="24"/>
        </w:rPr>
        <w:t>Estimates of Respondent Burden (Hours and Cost)</w:t>
      </w:r>
      <w:bookmarkEnd w:id="78"/>
    </w:p>
    <w:p w:rsidR="00A26938" w:rsidRPr="002622B0"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00A26938" w:rsidRPr="002622B0" w:rsidRDefault="0008540B"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622B0">
        <w:rPr>
          <w:szCs w:val="24"/>
        </w:rPr>
        <w:t xml:space="preserve">The number of respondents for the EIA-111 can fluctuate at any given time due to </w:t>
      </w:r>
      <w:r w:rsidR="00AB517B" w:rsidRPr="002622B0">
        <w:rPr>
          <w:szCs w:val="24"/>
        </w:rPr>
        <w:t xml:space="preserve">changes in the number of </w:t>
      </w:r>
      <w:r w:rsidR="006D103E" w:rsidRPr="002622B0">
        <w:rPr>
          <w:szCs w:val="24"/>
        </w:rPr>
        <w:t>entities engaged i</w:t>
      </w:r>
      <w:r w:rsidR="00A26F28" w:rsidRPr="002622B0">
        <w:rPr>
          <w:szCs w:val="24"/>
        </w:rPr>
        <w:t>n import or export transactions</w:t>
      </w:r>
      <w:r w:rsidRPr="002622B0">
        <w:rPr>
          <w:szCs w:val="24"/>
        </w:rPr>
        <w:t xml:space="preserve">.  </w:t>
      </w:r>
      <w:r w:rsidR="00A26938" w:rsidRPr="002622B0">
        <w:rPr>
          <w:szCs w:val="24"/>
        </w:rPr>
        <w:t>The overall annual burden for thi</w:t>
      </w:r>
      <w:r w:rsidR="00137EE1" w:rsidRPr="002622B0">
        <w:rPr>
          <w:szCs w:val="24"/>
        </w:rPr>
        <w:t xml:space="preserve">s package is estimated to be </w:t>
      </w:r>
      <w:r w:rsidR="00FC6E1D">
        <w:rPr>
          <w:szCs w:val="24"/>
        </w:rPr>
        <w:t>1056</w:t>
      </w:r>
      <w:r w:rsidR="006D103E" w:rsidRPr="002622B0">
        <w:rPr>
          <w:szCs w:val="24"/>
        </w:rPr>
        <w:t xml:space="preserve"> </w:t>
      </w:r>
      <w:r w:rsidR="00A26938" w:rsidRPr="002622B0">
        <w:rPr>
          <w:szCs w:val="24"/>
        </w:rPr>
        <w:t xml:space="preserve">burden hours (Table </w:t>
      </w:r>
      <w:r w:rsidR="00703B8B" w:rsidRPr="002622B0">
        <w:rPr>
          <w:szCs w:val="24"/>
        </w:rPr>
        <w:t>1</w:t>
      </w:r>
      <w:r w:rsidR="00A26938" w:rsidRPr="002622B0">
        <w:rPr>
          <w:szCs w:val="24"/>
        </w:rPr>
        <w:t xml:space="preserve">).   </w:t>
      </w:r>
      <w:r w:rsidR="006D103E" w:rsidRPr="002622B0">
        <w:rPr>
          <w:szCs w:val="24"/>
        </w:rPr>
        <w:t>T</w:t>
      </w:r>
      <w:r w:rsidR="00A26938" w:rsidRPr="002622B0">
        <w:rPr>
          <w:szCs w:val="24"/>
        </w:rPr>
        <w:t>h</w:t>
      </w:r>
      <w:r w:rsidR="00E94845" w:rsidRPr="002622B0">
        <w:rPr>
          <w:szCs w:val="24"/>
        </w:rPr>
        <w:t xml:space="preserve">e burden estimate includes time gathering and </w:t>
      </w:r>
      <w:r w:rsidR="009C6036" w:rsidRPr="002622B0">
        <w:rPr>
          <w:szCs w:val="24"/>
        </w:rPr>
        <w:t>maintaining</w:t>
      </w:r>
      <w:r w:rsidR="00E94845" w:rsidRPr="002622B0">
        <w:rPr>
          <w:szCs w:val="24"/>
        </w:rPr>
        <w:t xml:space="preserve"> the data needed, and completing and reviewing the collection of information.</w:t>
      </w:r>
    </w:p>
    <w:p w:rsidR="002D7127" w:rsidRPr="002622B0" w:rsidRDefault="002D7127" w:rsidP="00737B2D">
      <w:pPr>
        <w:rPr>
          <w:b/>
          <w:sz w:val="24"/>
          <w:szCs w:val="24"/>
        </w:rPr>
      </w:pPr>
      <w:bookmarkStart w:id="79" w:name="_Toc307985135"/>
    </w:p>
    <w:p w:rsidR="00737B2D" w:rsidRPr="002622B0" w:rsidRDefault="00737B2D" w:rsidP="00737B2D">
      <w:pPr>
        <w:rPr>
          <w:b/>
          <w:sz w:val="24"/>
          <w:szCs w:val="24"/>
        </w:rPr>
      </w:pPr>
      <w:r w:rsidRPr="002622B0">
        <w:rPr>
          <w:b/>
          <w:sz w:val="24"/>
          <w:szCs w:val="24"/>
        </w:rPr>
        <w:t xml:space="preserve">Table </w:t>
      </w:r>
      <w:r w:rsidR="00703B8B" w:rsidRPr="002622B0">
        <w:rPr>
          <w:b/>
          <w:sz w:val="24"/>
          <w:szCs w:val="24"/>
        </w:rPr>
        <w:t>1</w:t>
      </w:r>
      <w:r w:rsidRPr="002622B0">
        <w:rPr>
          <w:b/>
          <w:sz w:val="24"/>
          <w:szCs w:val="24"/>
        </w:rPr>
        <w:t>.  Electric Power Burden Information for OMB Number 190</w:t>
      </w:r>
      <w:r w:rsidR="003C4524" w:rsidRPr="002622B0">
        <w:rPr>
          <w:b/>
          <w:sz w:val="24"/>
          <w:szCs w:val="24"/>
        </w:rPr>
        <w:t>5</w:t>
      </w:r>
      <w:r w:rsidRPr="002622B0">
        <w:rPr>
          <w:b/>
          <w:sz w:val="24"/>
          <w:szCs w:val="24"/>
        </w:rPr>
        <w:t>-</w:t>
      </w:r>
      <w:bookmarkEnd w:id="79"/>
      <w:r w:rsidR="006D103E" w:rsidRPr="002622B0">
        <w:rPr>
          <w:b/>
          <w:sz w:val="24"/>
          <w:szCs w:val="24"/>
        </w:rPr>
        <w:t>0208</w:t>
      </w:r>
    </w:p>
    <w:p w:rsidR="002E2F34" w:rsidRPr="002622B0" w:rsidRDefault="002E2F34" w:rsidP="00737B2D">
      <w:pPr>
        <w:rPr>
          <w:b/>
          <w:sz w:val="24"/>
          <w:szCs w:val="24"/>
        </w:rPr>
      </w:pPr>
    </w:p>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2"/>
        <w:gridCol w:w="1400"/>
        <w:gridCol w:w="1781"/>
        <w:gridCol w:w="1653"/>
        <w:gridCol w:w="1781"/>
      </w:tblGrid>
      <w:tr w:rsidR="00D22A0C" w:rsidRPr="002622B0" w:rsidTr="00D22A0C">
        <w:trPr>
          <w:trHeight w:val="729"/>
        </w:trPr>
        <w:tc>
          <w:tcPr>
            <w:tcW w:w="8777" w:type="dxa"/>
            <w:gridSpan w:val="5"/>
            <w:tcBorders>
              <w:bottom w:val="single" w:sz="4" w:space="0" w:color="auto"/>
            </w:tcBorders>
            <w:shd w:val="clear" w:color="auto" w:fill="B3B3B3"/>
            <w:vAlign w:val="center"/>
          </w:tcPr>
          <w:p w:rsidR="00D22A0C" w:rsidRPr="002622B0" w:rsidRDefault="00D22A0C" w:rsidP="00D22A0C">
            <w:pPr>
              <w:jc w:val="center"/>
              <w:rPr>
                <w:b/>
                <w:bCs/>
                <w:sz w:val="22"/>
                <w:szCs w:val="22"/>
              </w:rPr>
            </w:pPr>
            <w:r w:rsidRPr="002622B0">
              <w:rPr>
                <w:b/>
                <w:bCs/>
                <w:sz w:val="22"/>
                <w:szCs w:val="22"/>
              </w:rPr>
              <w:t>Form  EIA-111</w:t>
            </w:r>
            <w:r w:rsidR="00F44951" w:rsidRPr="002622B0">
              <w:rPr>
                <w:b/>
                <w:bCs/>
                <w:sz w:val="22"/>
                <w:szCs w:val="22"/>
              </w:rPr>
              <w:t>, “</w:t>
            </w:r>
            <w:r w:rsidRPr="002622B0">
              <w:rPr>
                <w:b/>
                <w:bCs/>
                <w:sz w:val="22"/>
                <w:szCs w:val="22"/>
              </w:rPr>
              <w:t>Quarterly Electricity Imports and Exports Report</w:t>
            </w:r>
            <w:r w:rsidR="00F44951" w:rsidRPr="002622B0">
              <w:rPr>
                <w:b/>
                <w:bCs/>
                <w:sz w:val="22"/>
                <w:szCs w:val="22"/>
              </w:rPr>
              <w:t>”</w:t>
            </w:r>
          </w:p>
        </w:tc>
      </w:tr>
      <w:tr w:rsidR="00D22A0C" w:rsidRPr="002622B0" w:rsidTr="00D22A0C">
        <w:trPr>
          <w:trHeight w:val="729"/>
        </w:trPr>
        <w:tc>
          <w:tcPr>
            <w:tcW w:w="2162" w:type="dxa"/>
            <w:shd w:val="clear" w:color="auto" w:fill="auto"/>
            <w:vAlign w:val="center"/>
          </w:tcPr>
          <w:p w:rsidR="00D22A0C" w:rsidRPr="002622B0" w:rsidRDefault="00D22A0C" w:rsidP="00D22A0C">
            <w:pPr>
              <w:jc w:val="center"/>
              <w:rPr>
                <w:b/>
                <w:bCs/>
                <w:sz w:val="18"/>
                <w:szCs w:val="18"/>
              </w:rPr>
            </w:pPr>
            <w:r w:rsidRPr="002622B0">
              <w:rPr>
                <w:b/>
                <w:bCs/>
                <w:sz w:val="18"/>
                <w:szCs w:val="18"/>
              </w:rPr>
              <w:t>Number of Respondents Per Quarter</w:t>
            </w:r>
          </w:p>
        </w:tc>
        <w:tc>
          <w:tcPr>
            <w:tcW w:w="1400" w:type="dxa"/>
            <w:shd w:val="clear" w:color="auto" w:fill="auto"/>
            <w:vAlign w:val="center"/>
          </w:tcPr>
          <w:p w:rsidR="00D22A0C" w:rsidRPr="002622B0" w:rsidRDefault="00D22A0C" w:rsidP="00D22A0C">
            <w:pPr>
              <w:rPr>
                <w:b/>
                <w:bCs/>
                <w:sz w:val="18"/>
                <w:szCs w:val="18"/>
              </w:rPr>
            </w:pPr>
            <w:r w:rsidRPr="002622B0">
              <w:rPr>
                <w:b/>
                <w:bCs/>
                <w:sz w:val="18"/>
                <w:szCs w:val="18"/>
              </w:rPr>
              <w:t xml:space="preserve">Burden Hours per Response </w:t>
            </w:r>
          </w:p>
        </w:tc>
        <w:tc>
          <w:tcPr>
            <w:tcW w:w="1781" w:type="dxa"/>
            <w:shd w:val="clear" w:color="auto" w:fill="auto"/>
            <w:vAlign w:val="center"/>
          </w:tcPr>
          <w:p w:rsidR="00D22A0C" w:rsidRPr="002622B0" w:rsidRDefault="00D22A0C" w:rsidP="00D22A0C">
            <w:pPr>
              <w:jc w:val="center"/>
              <w:rPr>
                <w:b/>
                <w:bCs/>
                <w:sz w:val="18"/>
                <w:szCs w:val="18"/>
              </w:rPr>
            </w:pPr>
            <w:r w:rsidRPr="002622B0">
              <w:rPr>
                <w:b/>
                <w:bCs/>
                <w:sz w:val="18"/>
                <w:szCs w:val="18"/>
              </w:rPr>
              <w:t>Number of Responses per Year</w:t>
            </w:r>
            <w:r w:rsidR="00FA76DD" w:rsidRPr="002622B0">
              <w:rPr>
                <w:b/>
                <w:bCs/>
                <w:sz w:val="18"/>
                <w:szCs w:val="18"/>
              </w:rPr>
              <w:t xml:space="preserve"> per Entity</w:t>
            </w:r>
          </w:p>
        </w:tc>
        <w:tc>
          <w:tcPr>
            <w:tcW w:w="1653" w:type="dxa"/>
            <w:shd w:val="clear" w:color="auto" w:fill="auto"/>
          </w:tcPr>
          <w:p w:rsidR="00D22A0C" w:rsidRPr="002622B0" w:rsidRDefault="00D22A0C" w:rsidP="00D22A0C">
            <w:pPr>
              <w:jc w:val="center"/>
              <w:rPr>
                <w:b/>
                <w:bCs/>
                <w:sz w:val="18"/>
                <w:szCs w:val="18"/>
              </w:rPr>
            </w:pPr>
          </w:p>
          <w:p w:rsidR="00D22A0C" w:rsidRPr="002622B0" w:rsidRDefault="00D22A0C" w:rsidP="00D22A0C">
            <w:pPr>
              <w:jc w:val="center"/>
              <w:rPr>
                <w:b/>
                <w:bCs/>
                <w:sz w:val="18"/>
                <w:szCs w:val="18"/>
              </w:rPr>
            </w:pPr>
            <w:r w:rsidRPr="002622B0">
              <w:rPr>
                <w:b/>
                <w:bCs/>
                <w:sz w:val="18"/>
                <w:szCs w:val="18"/>
              </w:rPr>
              <w:t>Annual Number of Responses</w:t>
            </w:r>
          </w:p>
        </w:tc>
        <w:tc>
          <w:tcPr>
            <w:tcW w:w="1781" w:type="dxa"/>
            <w:shd w:val="clear" w:color="auto" w:fill="auto"/>
            <w:vAlign w:val="center"/>
          </w:tcPr>
          <w:p w:rsidR="00D22A0C" w:rsidRPr="002622B0" w:rsidRDefault="00D22A0C" w:rsidP="00D22A0C">
            <w:pPr>
              <w:jc w:val="center"/>
              <w:rPr>
                <w:b/>
                <w:bCs/>
                <w:sz w:val="18"/>
                <w:szCs w:val="18"/>
              </w:rPr>
            </w:pPr>
            <w:r w:rsidRPr="002622B0">
              <w:rPr>
                <w:b/>
                <w:bCs/>
                <w:sz w:val="18"/>
                <w:szCs w:val="18"/>
              </w:rPr>
              <w:t>Annual Burden Hours</w:t>
            </w:r>
          </w:p>
        </w:tc>
      </w:tr>
      <w:tr w:rsidR="00D22A0C" w:rsidRPr="002622B0" w:rsidTr="00D22A0C">
        <w:trPr>
          <w:trHeight w:val="262"/>
        </w:trPr>
        <w:tc>
          <w:tcPr>
            <w:tcW w:w="2162" w:type="dxa"/>
            <w:shd w:val="clear" w:color="auto" w:fill="auto"/>
            <w:vAlign w:val="center"/>
          </w:tcPr>
          <w:p w:rsidR="00BB7349" w:rsidRPr="00EA22ED" w:rsidRDefault="00A26F28" w:rsidP="00A70D76">
            <w:pPr>
              <w:jc w:val="center"/>
              <w:rPr>
                <w:sz w:val="22"/>
                <w:szCs w:val="22"/>
              </w:rPr>
            </w:pPr>
            <w:r w:rsidRPr="002622B0">
              <w:rPr>
                <w:sz w:val="22"/>
                <w:szCs w:val="22"/>
              </w:rPr>
              <w:t>1</w:t>
            </w:r>
            <w:r w:rsidR="00FC6E1D">
              <w:rPr>
                <w:sz w:val="22"/>
                <w:szCs w:val="22"/>
              </w:rPr>
              <w:t>76</w:t>
            </w:r>
          </w:p>
        </w:tc>
        <w:tc>
          <w:tcPr>
            <w:tcW w:w="1400" w:type="dxa"/>
            <w:vAlign w:val="center"/>
          </w:tcPr>
          <w:p w:rsidR="00D22A0C" w:rsidRPr="00EA22ED" w:rsidRDefault="0051104B" w:rsidP="00D22A0C">
            <w:pPr>
              <w:jc w:val="center"/>
              <w:rPr>
                <w:sz w:val="22"/>
                <w:szCs w:val="22"/>
              </w:rPr>
            </w:pPr>
            <w:r w:rsidRPr="002622B0">
              <w:rPr>
                <w:sz w:val="22"/>
                <w:szCs w:val="22"/>
              </w:rPr>
              <w:t>1.5</w:t>
            </w:r>
          </w:p>
        </w:tc>
        <w:tc>
          <w:tcPr>
            <w:tcW w:w="1781" w:type="dxa"/>
            <w:shd w:val="clear" w:color="auto" w:fill="auto"/>
            <w:vAlign w:val="center"/>
          </w:tcPr>
          <w:p w:rsidR="00D22A0C" w:rsidRPr="00EA22ED" w:rsidRDefault="00D22A0C" w:rsidP="00D22A0C">
            <w:pPr>
              <w:jc w:val="center"/>
              <w:rPr>
                <w:sz w:val="22"/>
                <w:szCs w:val="22"/>
              </w:rPr>
            </w:pPr>
            <w:r w:rsidRPr="002622B0">
              <w:rPr>
                <w:sz w:val="22"/>
                <w:szCs w:val="22"/>
              </w:rPr>
              <w:t>4</w:t>
            </w:r>
          </w:p>
        </w:tc>
        <w:tc>
          <w:tcPr>
            <w:tcW w:w="1653" w:type="dxa"/>
            <w:vAlign w:val="center"/>
          </w:tcPr>
          <w:p w:rsidR="00D22A0C" w:rsidRPr="00EA22ED" w:rsidRDefault="00FC6E1D" w:rsidP="00D22A0C">
            <w:pPr>
              <w:jc w:val="center"/>
              <w:rPr>
                <w:sz w:val="22"/>
                <w:szCs w:val="22"/>
              </w:rPr>
            </w:pPr>
            <w:r>
              <w:rPr>
                <w:sz w:val="22"/>
                <w:szCs w:val="22"/>
              </w:rPr>
              <w:t>704</w:t>
            </w:r>
          </w:p>
        </w:tc>
        <w:tc>
          <w:tcPr>
            <w:tcW w:w="1781" w:type="dxa"/>
            <w:shd w:val="clear" w:color="auto" w:fill="auto"/>
            <w:vAlign w:val="center"/>
          </w:tcPr>
          <w:p w:rsidR="00D22A0C" w:rsidRPr="00EA22ED" w:rsidRDefault="00FC6E1D" w:rsidP="00A70D76">
            <w:pPr>
              <w:jc w:val="center"/>
              <w:rPr>
                <w:sz w:val="22"/>
                <w:szCs w:val="22"/>
              </w:rPr>
            </w:pPr>
            <w:r>
              <w:rPr>
                <w:sz w:val="22"/>
                <w:szCs w:val="22"/>
              </w:rPr>
              <w:t>1056</w:t>
            </w:r>
          </w:p>
        </w:tc>
      </w:tr>
    </w:tbl>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2622B0"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A26938" w:rsidRPr="002622B0"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622B0">
        <w:rPr>
          <w:szCs w:val="24"/>
        </w:rPr>
        <w:t xml:space="preserve">The </w:t>
      </w:r>
      <w:r w:rsidR="00F44951" w:rsidRPr="002622B0">
        <w:rPr>
          <w:szCs w:val="24"/>
        </w:rPr>
        <w:t xml:space="preserve">total annual </w:t>
      </w:r>
      <w:r w:rsidRPr="002622B0">
        <w:rPr>
          <w:szCs w:val="24"/>
        </w:rPr>
        <w:t xml:space="preserve">cost </w:t>
      </w:r>
      <w:r w:rsidR="00F44951" w:rsidRPr="002622B0">
        <w:rPr>
          <w:szCs w:val="24"/>
        </w:rPr>
        <w:t xml:space="preserve">of </w:t>
      </w:r>
      <w:r w:rsidRPr="002622B0">
        <w:rPr>
          <w:szCs w:val="24"/>
        </w:rPr>
        <w:t xml:space="preserve">the </w:t>
      </w:r>
      <w:r w:rsidR="00F44951" w:rsidRPr="002622B0">
        <w:rPr>
          <w:szCs w:val="24"/>
        </w:rPr>
        <w:t xml:space="preserve">surveys </w:t>
      </w:r>
      <w:r w:rsidRPr="002622B0">
        <w:rPr>
          <w:szCs w:val="24"/>
        </w:rPr>
        <w:t>is estimated to be $</w:t>
      </w:r>
      <w:r w:rsidR="002E7515">
        <w:rPr>
          <w:szCs w:val="24"/>
        </w:rPr>
        <w:t>76,000</w:t>
      </w:r>
      <w:r w:rsidR="00137EE1" w:rsidRPr="002622B0">
        <w:rPr>
          <w:szCs w:val="24"/>
        </w:rPr>
        <w:t xml:space="preserve"> (</w:t>
      </w:r>
      <w:r w:rsidRPr="002622B0">
        <w:rPr>
          <w:szCs w:val="24"/>
        </w:rPr>
        <w:t>burden hours times $</w:t>
      </w:r>
      <w:r w:rsidR="002E7515">
        <w:rPr>
          <w:szCs w:val="24"/>
        </w:rPr>
        <w:t>71.97</w:t>
      </w:r>
      <w:r w:rsidR="00A26F28" w:rsidRPr="002622B0">
        <w:rPr>
          <w:szCs w:val="24"/>
        </w:rPr>
        <w:t xml:space="preserve"> </w:t>
      </w:r>
      <w:r w:rsidRPr="002622B0">
        <w:rPr>
          <w:szCs w:val="24"/>
        </w:rPr>
        <w:t>per hour).  An average cost per hour of $</w:t>
      </w:r>
      <w:r w:rsidR="002E7515">
        <w:rPr>
          <w:szCs w:val="24"/>
        </w:rPr>
        <w:t>71.97</w:t>
      </w:r>
      <w:r w:rsidRPr="002622B0">
        <w:rPr>
          <w:szCs w:val="24"/>
        </w:rPr>
        <w:t xml:space="preserve"> is used because that is the average loaded (salar</w:t>
      </w:r>
      <w:r w:rsidR="00A83F73" w:rsidRPr="002622B0">
        <w:rPr>
          <w:szCs w:val="24"/>
        </w:rPr>
        <w:t xml:space="preserve">y plus benefits) cost for an </w:t>
      </w:r>
      <w:r w:rsidR="00CE7B46" w:rsidRPr="002622B0">
        <w:rPr>
          <w:szCs w:val="24"/>
        </w:rPr>
        <w:t xml:space="preserve">EIA </w:t>
      </w:r>
      <w:r w:rsidRPr="002622B0">
        <w:rPr>
          <w:szCs w:val="24"/>
        </w:rPr>
        <w:t xml:space="preserve">employee.  </w:t>
      </w:r>
      <w:r w:rsidR="006D103E" w:rsidRPr="002622B0">
        <w:rPr>
          <w:szCs w:val="24"/>
        </w:rPr>
        <w:t xml:space="preserve">The reporting burden on individual respondents may be significant higher or lower than the average. </w:t>
      </w:r>
      <w:r w:rsidR="00CE7B46" w:rsidRPr="002622B0">
        <w:rPr>
          <w:szCs w:val="24"/>
        </w:rPr>
        <w:t xml:space="preserve">EIA </w:t>
      </w:r>
      <w:r w:rsidRPr="002622B0">
        <w:rPr>
          <w:szCs w:val="24"/>
        </w:rPr>
        <w:t xml:space="preserve">assumes that the survey respondent workforce completing surveys is comparable with the </w:t>
      </w:r>
      <w:r w:rsidR="00CE7B46" w:rsidRPr="002622B0">
        <w:rPr>
          <w:szCs w:val="24"/>
        </w:rPr>
        <w:t xml:space="preserve">EIA </w:t>
      </w:r>
      <w:r w:rsidRPr="002622B0">
        <w:rPr>
          <w:szCs w:val="24"/>
        </w:rPr>
        <w:t xml:space="preserve">workforce. </w:t>
      </w:r>
    </w:p>
    <w:p w:rsidR="00A26938" w:rsidRPr="002622B0"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091706" w:rsidRPr="002622B0" w:rsidRDefault="00091706" w:rsidP="005460C5">
      <w:pPr>
        <w:pStyle w:val="Heading3"/>
        <w:rPr>
          <w:szCs w:val="24"/>
        </w:rPr>
      </w:pPr>
    </w:p>
    <w:p w:rsidR="00531573" w:rsidRPr="002622B0" w:rsidRDefault="0026339D" w:rsidP="005460C5">
      <w:pPr>
        <w:pStyle w:val="Heading3"/>
        <w:rPr>
          <w:szCs w:val="24"/>
        </w:rPr>
      </w:pPr>
      <w:bookmarkStart w:id="80" w:name="_Toc318697085"/>
      <w:bookmarkStart w:id="81" w:name="_Toc422466770"/>
      <w:r>
        <w:rPr>
          <w:szCs w:val="24"/>
        </w:rPr>
        <w:t>14</w:t>
      </w:r>
      <w:r w:rsidR="00531573" w:rsidRPr="002622B0">
        <w:rPr>
          <w:szCs w:val="24"/>
        </w:rPr>
        <w:t xml:space="preserve">. </w:t>
      </w:r>
      <w:bookmarkEnd w:id="80"/>
      <w:r w:rsidRPr="0026339D">
        <w:rPr>
          <w:szCs w:val="24"/>
        </w:rPr>
        <w:t>Estimates of Cost Burden to Respondents</w:t>
      </w:r>
      <w:bookmarkEnd w:id="81"/>
    </w:p>
    <w:p w:rsidR="00531573" w:rsidRPr="002622B0"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31573" w:rsidRPr="002622B0" w:rsidRDefault="00531573" w:rsidP="00777CED">
      <w:pPr>
        <w:rPr>
          <w:color w:val="000000"/>
          <w:sz w:val="24"/>
          <w:szCs w:val="24"/>
        </w:rPr>
      </w:pPr>
      <w:r w:rsidRPr="002622B0">
        <w:rPr>
          <w:sz w:val="24"/>
          <w:szCs w:val="24"/>
        </w:rPr>
        <w:t xml:space="preserve">There are </w:t>
      </w:r>
      <w:r w:rsidR="00C93FC0" w:rsidRPr="002622B0">
        <w:rPr>
          <w:sz w:val="24"/>
          <w:szCs w:val="24"/>
        </w:rPr>
        <w:t xml:space="preserve">no additional </w:t>
      </w:r>
      <w:r w:rsidRPr="002622B0">
        <w:rPr>
          <w:sz w:val="24"/>
          <w:szCs w:val="24"/>
        </w:rPr>
        <w:t xml:space="preserve">capital and start-up cost components or operations and maintenance associated with this data collection effort that is being funded by </w:t>
      </w:r>
      <w:r w:rsidR="000F000B" w:rsidRPr="002622B0">
        <w:rPr>
          <w:sz w:val="24"/>
          <w:szCs w:val="24"/>
        </w:rPr>
        <w:t>EIA</w:t>
      </w:r>
      <w:r w:rsidRPr="002622B0">
        <w:rPr>
          <w:sz w:val="24"/>
          <w:szCs w:val="24"/>
        </w:rPr>
        <w:t>.  The information is maintained in the normal course of business.  Therefore, other than the cost of burden hours, there are no additional costs for generating, maintaining, and providing the information.</w:t>
      </w:r>
      <w:r w:rsidR="00A13C1E" w:rsidRPr="002622B0">
        <w:rPr>
          <w:szCs w:val="24"/>
        </w:rPr>
        <w:t xml:space="preserve">  </w:t>
      </w:r>
      <w:r w:rsidR="00217934" w:rsidRPr="002622B0">
        <w:rPr>
          <w:sz w:val="24"/>
          <w:szCs w:val="24"/>
        </w:rPr>
        <w:t xml:space="preserve">EIA’s expectation is that the </w:t>
      </w:r>
      <w:r w:rsidR="00D214A0" w:rsidRPr="002622B0">
        <w:rPr>
          <w:color w:val="000000"/>
          <w:sz w:val="24"/>
          <w:szCs w:val="24"/>
        </w:rPr>
        <w:t xml:space="preserve">use of </w:t>
      </w:r>
      <w:r w:rsidR="00586116" w:rsidRPr="002622B0">
        <w:rPr>
          <w:color w:val="000000"/>
          <w:sz w:val="24"/>
          <w:szCs w:val="24"/>
        </w:rPr>
        <w:t xml:space="preserve">internet-based </w:t>
      </w:r>
      <w:r w:rsidR="00D214A0" w:rsidRPr="002622B0">
        <w:rPr>
          <w:color w:val="000000"/>
          <w:sz w:val="24"/>
          <w:szCs w:val="24"/>
        </w:rPr>
        <w:t xml:space="preserve">data collection, including features such as </w:t>
      </w:r>
      <w:r w:rsidR="00093EF0" w:rsidRPr="002622B0">
        <w:rPr>
          <w:color w:val="000000"/>
          <w:sz w:val="24"/>
          <w:szCs w:val="24"/>
        </w:rPr>
        <w:t>pick-</w:t>
      </w:r>
      <w:r w:rsidR="00D214A0" w:rsidRPr="002622B0">
        <w:rPr>
          <w:color w:val="000000"/>
          <w:sz w:val="24"/>
          <w:szCs w:val="24"/>
        </w:rPr>
        <w:t xml:space="preserve">lists (see 3. above) will help minimize the burden on respondents.  In addition, by improving data quality these features will reduce the need for respondents to </w:t>
      </w:r>
      <w:r w:rsidR="00A13C1E" w:rsidRPr="002622B0">
        <w:rPr>
          <w:color w:val="000000"/>
          <w:sz w:val="24"/>
          <w:szCs w:val="24"/>
        </w:rPr>
        <w:t xml:space="preserve">spend time </w:t>
      </w:r>
      <w:r w:rsidR="00D214A0" w:rsidRPr="002622B0">
        <w:rPr>
          <w:color w:val="000000"/>
          <w:sz w:val="24"/>
          <w:szCs w:val="24"/>
        </w:rPr>
        <w:t>resolv</w:t>
      </w:r>
      <w:r w:rsidR="00A13C1E" w:rsidRPr="002622B0">
        <w:rPr>
          <w:color w:val="000000"/>
          <w:sz w:val="24"/>
          <w:szCs w:val="24"/>
        </w:rPr>
        <w:t>ing</w:t>
      </w:r>
      <w:r w:rsidR="00D214A0" w:rsidRPr="002622B0">
        <w:rPr>
          <w:color w:val="000000"/>
          <w:sz w:val="24"/>
          <w:szCs w:val="24"/>
        </w:rPr>
        <w:t xml:space="preserve"> data errors with EIA.</w:t>
      </w:r>
    </w:p>
    <w:p w:rsidR="00207CE3" w:rsidRPr="002622B0" w:rsidRDefault="00207CE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777CED" w:rsidRPr="002622B0" w:rsidRDefault="00777CED"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31573" w:rsidRPr="002622B0" w:rsidRDefault="0026339D" w:rsidP="005460C5">
      <w:pPr>
        <w:pStyle w:val="Heading3"/>
        <w:rPr>
          <w:szCs w:val="24"/>
        </w:rPr>
      </w:pPr>
      <w:bookmarkStart w:id="82" w:name="_Toc524334503"/>
      <w:bookmarkStart w:id="83" w:name="_Toc524334585"/>
      <w:bookmarkStart w:id="84" w:name="_Toc524334732"/>
      <w:bookmarkStart w:id="85" w:name="_Toc524334925"/>
      <w:bookmarkStart w:id="86" w:name="_Toc318697086"/>
      <w:bookmarkStart w:id="87" w:name="_Toc422466771"/>
      <w:r>
        <w:rPr>
          <w:szCs w:val="24"/>
        </w:rPr>
        <w:t>15</w:t>
      </w:r>
      <w:r w:rsidR="00531573" w:rsidRPr="002622B0">
        <w:rPr>
          <w:szCs w:val="24"/>
        </w:rPr>
        <w:t xml:space="preserve">. </w:t>
      </w:r>
      <w:bookmarkEnd w:id="82"/>
      <w:bookmarkEnd w:id="83"/>
      <w:bookmarkEnd w:id="84"/>
      <w:bookmarkEnd w:id="85"/>
      <w:bookmarkEnd w:id="86"/>
      <w:r w:rsidRPr="0026339D">
        <w:rPr>
          <w:szCs w:val="24"/>
        </w:rPr>
        <w:t>Estimates of Annual Cost to the Government</w:t>
      </w:r>
      <w:bookmarkEnd w:id="87"/>
    </w:p>
    <w:p w:rsidR="00B5569E" w:rsidRPr="002622B0" w:rsidRDefault="00B5569E" w:rsidP="00B5569E"/>
    <w:p w:rsidR="00531573" w:rsidRPr="002622B0" w:rsidRDefault="00531573" w:rsidP="00B5569E">
      <w:pPr>
        <w:rPr>
          <w:sz w:val="24"/>
          <w:szCs w:val="24"/>
        </w:rPr>
      </w:pPr>
      <w:r w:rsidRPr="002622B0">
        <w:rPr>
          <w:sz w:val="24"/>
          <w:szCs w:val="24"/>
        </w:rPr>
        <w:t xml:space="preserve">The annual cost is estimated at </w:t>
      </w:r>
      <w:r w:rsidR="00A26F28" w:rsidRPr="002622B0">
        <w:rPr>
          <w:sz w:val="24"/>
          <w:szCs w:val="24"/>
        </w:rPr>
        <w:t>$</w:t>
      </w:r>
      <w:r w:rsidR="002E7515">
        <w:rPr>
          <w:sz w:val="24"/>
          <w:szCs w:val="24"/>
        </w:rPr>
        <w:t>120,910</w:t>
      </w:r>
      <w:r w:rsidR="00A26F28" w:rsidRPr="002622B0">
        <w:rPr>
          <w:sz w:val="24"/>
          <w:szCs w:val="24"/>
        </w:rPr>
        <w:t xml:space="preserve"> </w:t>
      </w:r>
      <w:r w:rsidRPr="002622B0">
        <w:rPr>
          <w:sz w:val="24"/>
          <w:szCs w:val="24"/>
        </w:rPr>
        <w:t>in FY 201</w:t>
      </w:r>
      <w:r w:rsidR="00677FF5">
        <w:rPr>
          <w:sz w:val="24"/>
          <w:szCs w:val="24"/>
        </w:rPr>
        <w:t>5</w:t>
      </w:r>
      <w:r w:rsidRPr="002622B0">
        <w:rPr>
          <w:sz w:val="24"/>
          <w:szCs w:val="24"/>
        </w:rPr>
        <w:t xml:space="preserve">.  </w:t>
      </w:r>
      <w:r w:rsidR="007D3B12" w:rsidRPr="002622B0">
        <w:rPr>
          <w:sz w:val="24"/>
          <w:szCs w:val="24"/>
        </w:rPr>
        <w:t xml:space="preserve">This </w:t>
      </w:r>
      <w:r w:rsidR="00074EA7" w:rsidRPr="002622B0">
        <w:rPr>
          <w:sz w:val="24"/>
          <w:szCs w:val="24"/>
        </w:rPr>
        <w:t xml:space="preserve">cost </w:t>
      </w:r>
      <w:r w:rsidR="007D3B12" w:rsidRPr="002622B0">
        <w:rPr>
          <w:sz w:val="24"/>
          <w:szCs w:val="24"/>
        </w:rPr>
        <w:t xml:space="preserve">estimate includes personnel, maintenance, collection, and processing by EIA.  </w:t>
      </w:r>
      <w:r w:rsidRPr="002622B0">
        <w:rPr>
          <w:sz w:val="24"/>
          <w:szCs w:val="24"/>
        </w:rPr>
        <w:t xml:space="preserve">Regulatory analysis and support are outside </w:t>
      </w:r>
      <w:r w:rsidR="003C08F8" w:rsidRPr="002622B0">
        <w:rPr>
          <w:sz w:val="24"/>
          <w:szCs w:val="24"/>
        </w:rPr>
        <w:t>the scope of this survey.</w:t>
      </w:r>
    </w:p>
    <w:p w:rsidR="00A51914" w:rsidRPr="002622B0" w:rsidRDefault="00A51914" w:rsidP="00B5569E">
      <w:pPr>
        <w:rPr>
          <w:sz w:val="24"/>
          <w:szCs w:val="24"/>
        </w:rPr>
      </w:pPr>
    </w:p>
    <w:p w:rsidR="00DD50F6" w:rsidRPr="002622B0" w:rsidRDefault="00DD50F6" w:rsidP="00DD50F6">
      <w:pPr>
        <w:rPr>
          <w:sz w:val="24"/>
          <w:szCs w:val="24"/>
        </w:rPr>
      </w:pPr>
      <w:r w:rsidRPr="002622B0">
        <w:rPr>
          <w:sz w:val="24"/>
        </w:rPr>
        <w:t xml:space="preserve">The estimate of </w:t>
      </w:r>
      <w:r w:rsidR="00A26F28" w:rsidRPr="002622B0">
        <w:rPr>
          <w:sz w:val="24"/>
        </w:rPr>
        <w:t>$</w:t>
      </w:r>
      <w:r w:rsidR="002E7515">
        <w:rPr>
          <w:sz w:val="24"/>
        </w:rPr>
        <w:t>120,910</w:t>
      </w:r>
      <w:r w:rsidR="00A26F28" w:rsidRPr="002622B0">
        <w:rPr>
          <w:sz w:val="24"/>
        </w:rPr>
        <w:t xml:space="preserve"> </w:t>
      </w:r>
      <w:r w:rsidRPr="002622B0">
        <w:rPr>
          <w:sz w:val="24"/>
        </w:rPr>
        <w:t>is 80% of one full time equivalent (FTE) EIA employee.</w:t>
      </w:r>
      <w:r w:rsidRPr="002622B0">
        <w:rPr>
          <w:rStyle w:val="FootnoteReference"/>
          <w:sz w:val="24"/>
        </w:rPr>
        <w:footnoteReference w:id="2"/>
      </w:r>
      <w:r w:rsidRPr="002622B0">
        <w:rPr>
          <w:sz w:val="24"/>
        </w:rPr>
        <w:t xml:space="preserve">  The 80% assumption is based on experience with other EIA electricity surveys, the anticipated frame size of about 1</w:t>
      </w:r>
      <w:r w:rsidR="00677FF5">
        <w:rPr>
          <w:sz w:val="24"/>
        </w:rPr>
        <w:t>76</w:t>
      </w:r>
      <w:r w:rsidRPr="002622B0">
        <w:rPr>
          <w:sz w:val="24"/>
        </w:rPr>
        <w:t xml:space="preserve"> respondents, and the frequency of data collection.  </w:t>
      </w:r>
      <w:r w:rsidR="00A13C1E" w:rsidRPr="002622B0">
        <w:rPr>
          <w:sz w:val="24"/>
        </w:rPr>
        <w:t xml:space="preserve">The estimate also reflects the expected benefits from the use of </w:t>
      </w:r>
      <w:r w:rsidR="00586116" w:rsidRPr="002622B0">
        <w:rPr>
          <w:sz w:val="24"/>
        </w:rPr>
        <w:t xml:space="preserve">internet-based </w:t>
      </w:r>
      <w:r w:rsidR="00A13C1E" w:rsidRPr="002622B0">
        <w:rPr>
          <w:sz w:val="24"/>
        </w:rPr>
        <w:t xml:space="preserve">data </w:t>
      </w:r>
      <w:r w:rsidR="00A26F28" w:rsidRPr="002622B0">
        <w:rPr>
          <w:sz w:val="24"/>
        </w:rPr>
        <w:t>collection</w:t>
      </w:r>
      <w:r w:rsidR="002E7515">
        <w:rPr>
          <w:sz w:val="24"/>
        </w:rPr>
        <w:t>,</w:t>
      </w:r>
      <w:r w:rsidR="00A26F28" w:rsidRPr="002622B0">
        <w:rPr>
          <w:sz w:val="24"/>
        </w:rPr>
        <w:t>;</w:t>
      </w:r>
      <w:r w:rsidR="00907BC2" w:rsidRPr="002622B0">
        <w:rPr>
          <w:sz w:val="24"/>
        </w:rPr>
        <w:t xml:space="preserve"> </w:t>
      </w:r>
      <w:r w:rsidR="00A13C1E" w:rsidRPr="002622B0">
        <w:rPr>
          <w:color w:val="000000"/>
          <w:sz w:val="24"/>
          <w:szCs w:val="24"/>
        </w:rPr>
        <w:t xml:space="preserve">including features such as </w:t>
      </w:r>
      <w:r w:rsidR="00093EF0" w:rsidRPr="002622B0">
        <w:rPr>
          <w:color w:val="000000"/>
          <w:sz w:val="24"/>
          <w:szCs w:val="24"/>
        </w:rPr>
        <w:t>pick-</w:t>
      </w:r>
      <w:r w:rsidR="00A13C1E" w:rsidRPr="002622B0">
        <w:rPr>
          <w:color w:val="000000"/>
          <w:sz w:val="24"/>
          <w:szCs w:val="24"/>
        </w:rPr>
        <w:t>lists (see 3. above).  The internet</w:t>
      </w:r>
      <w:r w:rsidR="00586116" w:rsidRPr="002622B0">
        <w:rPr>
          <w:color w:val="000000"/>
          <w:sz w:val="24"/>
          <w:szCs w:val="24"/>
        </w:rPr>
        <w:t>-based</w:t>
      </w:r>
      <w:r w:rsidR="00A26F28" w:rsidRPr="002622B0">
        <w:rPr>
          <w:color w:val="000000"/>
          <w:sz w:val="24"/>
          <w:szCs w:val="24"/>
        </w:rPr>
        <w:t xml:space="preserve"> </w:t>
      </w:r>
      <w:r w:rsidR="00A13C1E" w:rsidRPr="002622B0">
        <w:rPr>
          <w:color w:val="000000"/>
          <w:sz w:val="24"/>
          <w:szCs w:val="24"/>
        </w:rPr>
        <w:t>collection systems have, in EIA’s experience, improved the speed and quality of data submissions</w:t>
      </w:r>
      <w:r w:rsidR="00907BC2" w:rsidRPr="002622B0">
        <w:rPr>
          <w:color w:val="000000"/>
          <w:sz w:val="24"/>
          <w:szCs w:val="24"/>
        </w:rPr>
        <w:t xml:space="preserve"> and reduced the number of personnel needed to operate a survey.</w:t>
      </w:r>
      <w:r w:rsidR="00A13C1E" w:rsidRPr="002622B0">
        <w:rPr>
          <w:color w:val="000000"/>
          <w:sz w:val="24"/>
          <w:szCs w:val="24"/>
        </w:rPr>
        <w:t xml:space="preserve"> </w:t>
      </w:r>
      <w:r w:rsidR="00A13C1E" w:rsidRPr="002622B0">
        <w:rPr>
          <w:sz w:val="24"/>
        </w:rPr>
        <w:t xml:space="preserve"> </w:t>
      </w:r>
    </w:p>
    <w:p w:rsidR="008F6533" w:rsidRPr="002622B0" w:rsidRDefault="008F6533" w:rsidP="008F6533"/>
    <w:p w:rsidR="00BE57DC" w:rsidRPr="002622B0" w:rsidRDefault="00BE57DC" w:rsidP="008F6533"/>
    <w:p w:rsidR="00531573" w:rsidRPr="0026339D" w:rsidRDefault="0026339D" w:rsidP="005460C5">
      <w:pPr>
        <w:pStyle w:val="Heading3"/>
        <w:rPr>
          <w:szCs w:val="24"/>
        </w:rPr>
      </w:pPr>
      <w:bookmarkStart w:id="88" w:name="_Toc309722617"/>
      <w:bookmarkStart w:id="89" w:name="_Toc318697087"/>
      <w:bookmarkStart w:id="90" w:name="_Toc422466772"/>
      <w:r>
        <w:rPr>
          <w:szCs w:val="24"/>
        </w:rPr>
        <w:t>16</w:t>
      </w:r>
      <w:r w:rsidR="00531573" w:rsidRPr="0026339D">
        <w:rPr>
          <w:szCs w:val="24"/>
        </w:rPr>
        <w:t>. Changes in Burden</w:t>
      </w:r>
      <w:bookmarkEnd w:id="88"/>
      <w:bookmarkEnd w:id="89"/>
      <w:r>
        <w:rPr>
          <w:szCs w:val="24"/>
        </w:rPr>
        <w:t xml:space="preserve"> to Respondents</w:t>
      </w:r>
      <w:bookmarkEnd w:id="90"/>
    </w:p>
    <w:p w:rsidR="00531573" w:rsidRPr="0026339D"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B7740A" w:rsidRPr="0026339D" w:rsidRDefault="00531573" w:rsidP="005861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r w:rsidRPr="0026339D">
        <w:rPr>
          <w:sz w:val="24"/>
          <w:szCs w:val="24"/>
        </w:rPr>
        <w:t xml:space="preserve">The </w:t>
      </w:r>
      <w:r w:rsidR="002E2F34" w:rsidRPr="0026339D">
        <w:rPr>
          <w:sz w:val="24"/>
          <w:szCs w:val="24"/>
        </w:rPr>
        <w:t xml:space="preserve">total </w:t>
      </w:r>
      <w:r w:rsidR="000103BE" w:rsidRPr="0026339D">
        <w:rPr>
          <w:sz w:val="24"/>
          <w:szCs w:val="24"/>
        </w:rPr>
        <w:t xml:space="preserve">annual </w:t>
      </w:r>
      <w:r w:rsidR="00E32942" w:rsidRPr="0026339D">
        <w:rPr>
          <w:sz w:val="24"/>
          <w:szCs w:val="24"/>
        </w:rPr>
        <w:t xml:space="preserve">burden for the proposed Form EIA-111 is </w:t>
      </w:r>
      <w:r w:rsidR="00677FF5">
        <w:rPr>
          <w:sz w:val="24"/>
          <w:szCs w:val="24"/>
        </w:rPr>
        <w:t>1056</w:t>
      </w:r>
      <w:r w:rsidR="000103BE" w:rsidRPr="0026339D">
        <w:rPr>
          <w:sz w:val="24"/>
          <w:szCs w:val="24"/>
        </w:rPr>
        <w:t xml:space="preserve"> hours</w:t>
      </w:r>
      <w:r w:rsidR="00204981" w:rsidRPr="0026339D">
        <w:rPr>
          <w:sz w:val="24"/>
          <w:szCs w:val="24"/>
        </w:rPr>
        <w:t xml:space="preserve"> (OMB Number 190</w:t>
      </w:r>
      <w:r w:rsidR="00912BB5" w:rsidRPr="0026339D">
        <w:rPr>
          <w:sz w:val="24"/>
          <w:szCs w:val="24"/>
        </w:rPr>
        <w:t>5</w:t>
      </w:r>
      <w:r w:rsidR="00204981" w:rsidRPr="0026339D">
        <w:rPr>
          <w:sz w:val="24"/>
          <w:szCs w:val="24"/>
        </w:rPr>
        <w:t>-</w:t>
      </w:r>
      <w:r w:rsidR="00586116" w:rsidRPr="0026339D">
        <w:rPr>
          <w:sz w:val="24"/>
          <w:szCs w:val="24"/>
        </w:rPr>
        <w:t>0208</w:t>
      </w:r>
      <w:r w:rsidR="00204981" w:rsidRPr="0026339D">
        <w:rPr>
          <w:sz w:val="24"/>
          <w:szCs w:val="24"/>
        </w:rPr>
        <w:t xml:space="preserve">).  The proposed burden </w:t>
      </w:r>
      <w:r w:rsidR="00B7740A" w:rsidRPr="0026339D">
        <w:rPr>
          <w:sz w:val="24"/>
          <w:szCs w:val="24"/>
        </w:rPr>
        <w:t>per response</w:t>
      </w:r>
      <w:r w:rsidR="00204981" w:rsidRPr="0026339D">
        <w:rPr>
          <w:sz w:val="24"/>
          <w:szCs w:val="24"/>
        </w:rPr>
        <w:t xml:space="preserve"> is </w:t>
      </w:r>
      <w:r w:rsidR="00B7740A" w:rsidRPr="0026339D">
        <w:rPr>
          <w:sz w:val="24"/>
          <w:szCs w:val="24"/>
        </w:rPr>
        <w:t>1.5</w:t>
      </w:r>
      <w:r w:rsidR="00204981" w:rsidRPr="0026339D">
        <w:rPr>
          <w:sz w:val="24"/>
          <w:szCs w:val="24"/>
        </w:rPr>
        <w:t xml:space="preserve"> hours</w:t>
      </w:r>
      <w:r w:rsidR="000103BE" w:rsidRPr="0026339D">
        <w:rPr>
          <w:sz w:val="24"/>
          <w:szCs w:val="24"/>
        </w:rPr>
        <w:t xml:space="preserve">, </w:t>
      </w:r>
      <w:r w:rsidR="00777CED" w:rsidRPr="0026339D">
        <w:rPr>
          <w:sz w:val="24"/>
          <w:szCs w:val="24"/>
        </w:rPr>
        <w:t>which is</w:t>
      </w:r>
      <w:r w:rsidR="000103BE" w:rsidRPr="0026339D">
        <w:rPr>
          <w:sz w:val="24"/>
          <w:szCs w:val="24"/>
        </w:rPr>
        <w:t xml:space="preserve"> the </w:t>
      </w:r>
      <w:r w:rsidR="00777CED" w:rsidRPr="0026339D">
        <w:rPr>
          <w:sz w:val="24"/>
          <w:szCs w:val="24"/>
        </w:rPr>
        <w:t xml:space="preserve">same as the </w:t>
      </w:r>
      <w:r w:rsidR="00586116" w:rsidRPr="0026339D">
        <w:rPr>
          <w:sz w:val="24"/>
          <w:szCs w:val="24"/>
        </w:rPr>
        <w:t>current EIA-111</w:t>
      </w:r>
      <w:r w:rsidR="00E32942" w:rsidRPr="0026339D">
        <w:rPr>
          <w:sz w:val="24"/>
          <w:szCs w:val="24"/>
        </w:rPr>
        <w:t xml:space="preserve"> survey</w:t>
      </w:r>
      <w:r w:rsidR="00204981" w:rsidRPr="0026339D">
        <w:rPr>
          <w:sz w:val="24"/>
          <w:szCs w:val="24"/>
        </w:rPr>
        <w:t xml:space="preserve">.  </w:t>
      </w:r>
      <w:bookmarkEnd w:id="72"/>
      <w:bookmarkEnd w:id="73"/>
      <w:bookmarkEnd w:id="74"/>
      <w:bookmarkEnd w:id="75"/>
      <w:r w:rsidR="00B7740A" w:rsidRPr="0026339D">
        <w:rPr>
          <w:sz w:val="24"/>
          <w:szCs w:val="24"/>
        </w:rPr>
        <w:t xml:space="preserve">The EIA-111 clearance anticipates about </w:t>
      </w:r>
      <w:r w:rsidR="00677FF5">
        <w:rPr>
          <w:sz w:val="24"/>
          <w:szCs w:val="24"/>
        </w:rPr>
        <w:t>176</w:t>
      </w:r>
      <w:r w:rsidR="00B7740A" w:rsidRPr="0026339D">
        <w:rPr>
          <w:sz w:val="24"/>
          <w:szCs w:val="24"/>
        </w:rPr>
        <w:t xml:space="preserve"> respondents</w:t>
      </w:r>
      <w:r w:rsidR="00586116" w:rsidRPr="0026339D">
        <w:rPr>
          <w:sz w:val="24"/>
          <w:szCs w:val="24"/>
        </w:rPr>
        <w:t xml:space="preserve"> based </w:t>
      </w:r>
      <w:r w:rsidR="00FA2A9B">
        <w:rPr>
          <w:sz w:val="24"/>
          <w:szCs w:val="24"/>
        </w:rPr>
        <w:t xml:space="preserve">on </w:t>
      </w:r>
      <w:r w:rsidR="00586116" w:rsidRPr="0026339D">
        <w:rPr>
          <w:sz w:val="24"/>
          <w:szCs w:val="24"/>
        </w:rPr>
        <w:t>experience with the current survey collection</w:t>
      </w:r>
      <w:r w:rsidR="00677FF5">
        <w:rPr>
          <w:sz w:val="24"/>
          <w:szCs w:val="24"/>
        </w:rPr>
        <w:t>. This is compared to 158</w:t>
      </w:r>
      <w:r w:rsidR="00777CED" w:rsidRPr="0026339D">
        <w:rPr>
          <w:sz w:val="24"/>
          <w:szCs w:val="24"/>
        </w:rPr>
        <w:t xml:space="preserve"> </w:t>
      </w:r>
      <w:r w:rsidR="00FA2A9B">
        <w:rPr>
          <w:sz w:val="24"/>
          <w:szCs w:val="24"/>
        </w:rPr>
        <w:t xml:space="preserve">respondents </w:t>
      </w:r>
      <w:r w:rsidR="00777CED" w:rsidRPr="0026339D">
        <w:rPr>
          <w:sz w:val="24"/>
          <w:szCs w:val="24"/>
        </w:rPr>
        <w:t>for the current survey.</w:t>
      </w:r>
      <w:r w:rsidR="00B7740A" w:rsidRPr="0026339D">
        <w:rPr>
          <w:sz w:val="24"/>
          <w:szCs w:val="24"/>
        </w:rPr>
        <w:t xml:space="preserve"> </w:t>
      </w:r>
    </w:p>
    <w:p w:rsidR="00B7740A" w:rsidRPr="0026339D" w:rsidRDefault="00B7740A" w:rsidP="00B7740A">
      <w:pPr>
        <w:rPr>
          <w:strike/>
          <w:sz w:val="24"/>
          <w:szCs w:val="24"/>
        </w:rPr>
      </w:pPr>
    </w:p>
    <w:p w:rsidR="00677FF5" w:rsidRDefault="00677FF5" w:rsidP="00B7740A">
      <w:pPr>
        <w:rPr>
          <w:sz w:val="24"/>
          <w:szCs w:val="24"/>
        </w:rPr>
      </w:pPr>
      <w:r>
        <w:rPr>
          <w:sz w:val="24"/>
          <w:szCs w:val="24"/>
        </w:rPr>
        <w:t xml:space="preserve">The increase in the respondent frame is primarily due to the proposed addition of a new schedule </w:t>
      </w:r>
      <w:r w:rsidR="00FA2A9B">
        <w:rPr>
          <w:sz w:val="24"/>
          <w:szCs w:val="24"/>
        </w:rPr>
        <w:t xml:space="preserve">to </w:t>
      </w:r>
      <w:r>
        <w:rPr>
          <w:sz w:val="24"/>
          <w:szCs w:val="24"/>
        </w:rPr>
        <w:t>collect metered flow on transfer facilities.</w:t>
      </w:r>
    </w:p>
    <w:p w:rsidR="00677FF5" w:rsidRDefault="00677FF5" w:rsidP="00B7740A">
      <w:pPr>
        <w:rPr>
          <w:sz w:val="24"/>
          <w:szCs w:val="24"/>
        </w:rPr>
      </w:pPr>
    </w:p>
    <w:p w:rsidR="00A26F28" w:rsidRPr="0026339D" w:rsidRDefault="00B7740A" w:rsidP="00B7740A">
      <w:pPr>
        <w:rPr>
          <w:sz w:val="24"/>
          <w:szCs w:val="24"/>
        </w:rPr>
      </w:pPr>
      <w:r w:rsidRPr="0026339D">
        <w:rPr>
          <w:sz w:val="24"/>
          <w:szCs w:val="24"/>
        </w:rPr>
        <w:t>Changes to the respondent frame occur for criteria-based and for company-specific reasons.   Examples of criteria-based reasons include the issuance or retirement of presidential permits and export authorizations.  Examples of company-specific reasons include restructurings that either consolidate respondents or separate them.   Companies may create subsidiaries that manage the operation of different presidential permits or export authorizations.  Alternatively, they may bring these subsidiaries back into a single reporting entity.  EIA encourages companies to align their reporting procedures with their company structures to facilitate the least burdensome and mo</w:t>
      </w:r>
      <w:r w:rsidR="00A26F28" w:rsidRPr="0026339D">
        <w:rPr>
          <w:sz w:val="24"/>
          <w:szCs w:val="24"/>
        </w:rPr>
        <w:t>st accurate submittal of data.</w:t>
      </w:r>
    </w:p>
    <w:p w:rsidR="00B7740A" w:rsidRPr="0026339D" w:rsidRDefault="00B7740A" w:rsidP="00B7740A">
      <w:pPr>
        <w:rPr>
          <w:sz w:val="24"/>
          <w:szCs w:val="24"/>
        </w:rPr>
      </w:pPr>
      <w:r w:rsidRPr="0026339D">
        <w:rPr>
          <w:sz w:val="24"/>
          <w:szCs w:val="24"/>
        </w:rPr>
        <w:t> </w:t>
      </w:r>
      <w:r w:rsidR="00586116" w:rsidRPr="0026339D" w:rsidDel="00586116">
        <w:rPr>
          <w:sz w:val="24"/>
          <w:szCs w:val="24"/>
        </w:rPr>
        <w:t xml:space="preserve"> </w:t>
      </w:r>
    </w:p>
    <w:p w:rsidR="00B7740A" w:rsidRPr="0026339D" w:rsidRDefault="00B7740A" w:rsidP="00B7740A">
      <w:pPr>
        <w:rPr>
          <w:sz w:val="24"/>
          <w:szCs w:val="24"/>
        </w:rPr>
      </w:pPr>
      <w:r w:rsidRPr="0026339D">
        <w:rPr>
          <w:sz w:val="24"/>
          <w:szCs w:val="24"/>
        </w:rPr>
        <w:t xml:space="preserve">The EIA-111 requires the following entities to respond:  (1) entities importing power into the U.S., (2) entities </w:t>
      </w:r>
      <w:r w:rsidR="00677FF5">
        <w:rPr>
          <w:sz w:val="24"/>
          <w:szCs w:val="24"/>
        </w:rPr>
        <w:t>exporting power out of the U.S.</w:t>
      </w:r>
      <w:r w:rsidRPr="0026339D">
        <w:rPr>
          <w:sz w:val="24"/>
          <w:szCs w:val="24"/>
        </w:rPr>
        <w:t>, (</w:t>
      </w:r>
      <w:r w:rsidR="00586116" w:rsidRPr="0026339D">
        <w:rPr>
          <w:sz w:val="24"/>
          <w:szCs w:val="24"/>
        </w:rPr>
        <w:t>3</w:t>
      </w:r>
      <w:r w:rsidRPr="0026339D">
        <w:rPr>
          <w:sz w:val="24"/>
          <w:szCs w:val="24"/>
        </w:rPr>
        <w:t>) U.S. Border Balancing Authorities that are directly interconnected with foreign electricity systems, and (</w:t>
      </w:r>
      <w:r w:rsidR="00586116" w:rsidRPr="0026339D">
        <w:rPr>
          <w:sz w:val="24"/>
          <w:szCs w:val="24"/>
        </w:rPr>
        <w:t>4</w:t>
      </w:r>
      <w:r w:rsidRPr="0026339D">
        <w:rPr>
          <w:sz w:val="24"/>
          <w:szCs w:val="24"/>
        </w:rPr>
        <w:t xml:space="preserve">) </w:t>
      </w:r>
      <w:r w:rsidR="00BB5B96" w:rsidRPr="00BB5B96">
        <w:rPr>
          <w:sz w:val="24"/>
          <w:szCs w:val="24"/>
        </w:rPr>
        <w:t xml:space="preserve">Presidential Permit holders that own or operate </w:t>
      </w:r>
      <w:r w:rsidRPr="0026339D">
        <w:rPr>
          <w:sz w:val="24"/>
          <w:szCs w:val="24"/>
        </w:rPr>
        <w:t xml:space="preserve">international electricity transmission lines.  </w:t>
      </w:r>
    </w:p>
    <w:p w:rsidR="00B7740A" w:rsidRPr="0026339D" w:rsidRDefault="00B7740A" w:rsidP="002E2F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51914" w:rsidRPr="0026339D" w:rsidRDefault="00A51914" w:rsidP="005460C5">
      <w:pPr>
        <w:pStyle w:val="Heading3"/>
        <w:rPr>
          <w:szCs w:val="24"/>
        </w:rPr>
      </w:pPr>
      <w:bookmarkStart w:id="91" w:name="_Toc524334505"/>
      <w:bookmarkStart w:id="92" w:name="_Toc524334587"/>
      <w:bookmarkStart w:id="93" w:name="_Toc524334734"/>
      <w:bookmarkStart w:id="94" w:name="_Toc524334927"/>
      <w:bookmarkStart w:id="95" w:name="_Toc309722618"/>
      <w:bookmarkStart w:id="96" w:name="_Toc318697088"/>
    </w:p>
    <w:p w:rsidR="0001347C" w:rsidRPr="0026339D" w:rsidRDefault="0026339D" w:rsidP="005460C5">
      <w:pPr>
        <w:pStyle w:val="Heading3"/>
        <w:rPr>
          <w:szCs w:val="24"/>
        </w:rPr>
      </w:pPr>
      <w:bookmarkStart w:id="97" w:name="_Toc422466773"/>
      <w:r>
        <w:rPr>
          <w:szCs w:val="24"/>
        </w:rPr>
        <w:t>17</w:t>
      </w:r>
      <w:r w:rsidR="00B12517">
        <w:rPr>
          <w:szCs w:val="24"/>
        </w:rPr>
        <w:t xml:space="preserve">. Data Collection and </w:t>
      </w:r>
      <w:r w:rsidR="003510DA" w:rsidRPr="0026339D">
        <w:rPr>
          <w:szCs w:val="24"/>
        </w:rPr>
        <w:t>Publicatio</w:t>
      </w:r>
      <w:bookmarkEnd w:id="91"/>
      <w:bookmarkEnd w:id="92"/>
      <w:bookmarkEnd w:id="93"/>
      <w:bookmarkEnd w:id="94"/>
      <w:bookmarkEnd w:id="95"/>
      <w:bookmarkEnd w:id="96"/>
      <w:r w:rsidR="00B12517">
        <w:rPr>
          <w:szCs w:val="24"/>
        </w:rPr>
        <w:t>n</w:t>
      </w:r>
      <w:bookmarkEnd w:id="97"/>
    </w:p>
    <w:p w:rsidR="0001347C" w:rsidRPr="0026339D"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26339D"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26339D">
        <w:rPr>
          <w:sz w:val="24"/>
          <w:szCs w:val="24"/>
        </w:rPr>
        <w:t>The data collected on th</w:t>
      </w:r>
      <w:r w:rsidR="00FE38F3" w:rsidRPr="0026339D">
        <w:rPr>
          <w:sz w:val="24"/>
          <w:szCs w:val="24"/>
        </w:rPr>
        <w:t>is form will be</w:t>
      </w:r>
      <w:r w:rsidRPr="0026339D">
        <w:rPr>
          <w:sz w:val="24"/>
          <w:szCs w:val="24"/>
        </w:rPr>
        <w:t xml:space="preserve"> released in EIA reports and </w:t>
      </w:r>
      <w:r w:rsidR="00FE38F3" w:rsidRPr="0026339D">
        <w:rPr>
          <w:sz w:val="24"/>
          <w:szCs w:val="24"/>
        </w:rPr>
        <w:t xml:space="preserve">they </w:t>
      </w:r>
      <w:r w:rsidR="006D0AF9" w:rsidRPr="0026339D">
        <w:rPr>
          <w:sz w:val="24"/>
          <w:szCs w:val="24"/>
        </w:rPr>
        <w:t xml:space="preserve">will be made </w:t>
      </w:r>
      <w:r w:rsidRPr="0026339D">
        <w:rPr>
          <w:sz w:val="24"/>
          <w:szCs w:val="24"/>
        </w:rPr>
        <w:t xml:space="preserve">available on </w:t>
      </w:r>
      <w:r w:rsidR="00D36722" w:rsidRPr="0026339D">
        <w:rPr>
          <w:sz w:val="24"/>
          <w:szCs w:val="24"/>
        </w:rPr>
        <w:t xml:space="preserve">the </w:t>
      </w:r>
      <w:r w:rsidRPr="0026339D">
        <w:rPr>
          <w:sz w:val="24"/>
          <w:szCs w:val="24"/>
        </w:rPr>
        <w:t xml:space="preserve">EIA website.  </w:t>
      </w:r>
    </w:p>
    <w:p w:rsidR="0051653D" w:rsidRPr="0026339D" w:rsidRDefault="0051653D"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6B58F3" w:rsidRPr="0026339D" w:rsidRDefault="006B58F3" w:rsidP="005460C5">
      <w:pPr>
        <w:pStyle w:val="Heading3"/>
        <w:rPr>
          <w:szCs w:val="24"/>
        </w:rPr>
      </w:pPr>
      <w:bookmarkStart w:id="98" w:name="_Toc524334506"/>
      <w:bookmarkStart w:id="99" w:name="_Toc524334588"/>
      <w:bookmarkStart w:id="100" w:name="_Toc524334735"/>
      <w:bookmarkStart w:id="101" w:name="_Toc524334928"/>
    </w:p>
    <w:p w:rsidR="0001347C" w:rsidRPr="0026339D" w:rsidRDefault="0026339D" w:rsidP="005460C5">
      <w:pPr>
        <w:pStyle w:val="Heading3"/>
        <w:rPr>
          <w:szCs w:val="24"/>
        </w:rPr>
      </w:pPr>
      <w:bookmarkStart w:id="102" w:name="_Toc422466774"/>
      <w:bookmarkStart w:id="103" w:name="_Toc318697089"/>
      <w:r>
        <w:rPr>
          <w:szCs w:val="24"/>
        </w:rPr>
        <w:t>18</w:t>
      </w:r>
      <w:r w:rsidR="003510DA" w:rsidRPr="0026339D">
        <w:rPr>
          <w:szCs w:val="24"/>
        </w:rPr>
        <w:t xml:space="preserve">. </w:t>
      </w:r>
      <w:r w:rsidR="00B12517">
        <w:rPr>
          <w:szCs w:val="24"/>
        </w:rPr>
        <w:t xml:space="preserve">Display of </w:t>
      </w:r>
      <w:r w:rsidR="00B12517" w:rsidRPr="0026339D">
        <w:rPr>
          <w:szCs w:val="24"/>
        </w:rPr>
        <w:t xml:space="preserve">Expiration Date and </w:t>
      </w:r>
      <w:r w:rsidR="003510DA" w:rsidRPr="0026339D">
        <w:rPr>
          <w:szCs w:val="24"/>
        </w:rPr>
        <w:t>OMB Number</w:t>
      </w:r>
      <w:bookmarkEnd w:id="102"/>
      <w:r w:rsidR="003510DA" w:rsidRPr="0026339D">
        <w:rPr>
          <w:szCs w:val="24"/>
        </w:rPr>
        <w:t xml:space="preserve"> </w:t>
      </w:r>
      <w:bookmarkEnd w:id="98"/>
      <w:bookmarkEnd w:id="99"/>
      <w:bookmarkEnd w:id="100"/>
      <w:bookmarkEnd w:id="101"/>
      <w:bookmarkEnd w:id="103"/>
    </w:p>
    <w:p w:rsidR="0001347C" w:rsidRPr="0026339D"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561F04"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26339D">
        <w:rPr>
          <w:sz w:val="24"/>
          <w:szCs w:val="24"/>
        </w:rPr>
        <w:t xml:space="preserve">The OMB number </w:t>
      </w:r>
      <w:r w:rsidR="00586116" w:rsidRPr="0026339D">
        <w:rPr>
          <w:sz w:val="24"/>
          <w:szCs w:val="24"/>
        </w:rPr>
        <w:t xml:space="preserve">(OMB Number 1905-0208) </w:t>
      </w:r>
      <w:r w:rsidRPr="0026339D">
        <w:rPr>
          <w:sz w:val="24"/>
          <w:szCs w:val="24"/>
        </w:rPr>
        <w:t>and expira</w:t>
      </w:r>
      <w:r w:rsidR="00087FF5" w:rsidRPr="0026339D">
        <w:rPr>
          <w:sz w:val="24"/>
          <w:szCs w:val="24"/>
        </w:rPr>
        <w:t xml:space="preserve">tion date </w:t>
      </w:r>
      <w:r w:rsidR="004D75F8" w:rsidRPr="0026339D">
        <w:rPr>
          <w:sz w:val="24"/>
          <w:szCs w:val="24"/>
        </w:rPr>
        <w:t xml:space="preserve">will be </w:t>
      </w:r>
      <w:r w:rsidR="00087FF5" w:rsidRPr="0026339D">
        <w:rPr>
          <w:sz w:val="24"/>
          <w:szCs w:val="24"/>
        </w:rPr>
        <w:t xml:space="preserve">displayed on the </w:t>
      </w:r>
      <w:r w:rsidRPr="0026339D">
        <w:rPr>
          <w:sz w:val="24"/>
          <w:szCs w:val="24"/>
        </w:rPr>
        <w:t xml:space="preserve">form. </w:t>
      </w:r>
    </w:p>
    <w:p w:rsidR="00C37F42" w:rsidRDefault="00C37F42"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C37F42" w:rsidRDefault="00C37F42">
      <w:pPr>
        <w:rPr>
          <w:sz w:val="24"/>
          <w:szCs w:val="24"/>
        </w:rPr>
      </w:pPr>
      <w:r>
        <w:rPr>
          <w:sz w:val="24"/>
          <w:szCs w:val="24"/>
        </w:rPr>
        <w:br w:type="page"/>
      </w:r>
    </w:p>
    <w:p w:rsidR="00C37F42" w:rsidRPr="0011243D" w:rsidRDefault="00C37F42" w:rsidP="00C37F42">
      <w:pPr>
        <w:autoSpaceDE w:val="0"/>
        <w:autoSpaceDN w:val="0"/>
        <w:adjustRightInd w:val="0"/>
        <w:spacing w:line="276" w:lineRule="atLeast"/>
        <w:jc w:val="center"/>
        <w:rPr>
          <w:color w:val="000000"/>
          <w:sz w:val="24"/>
          <w:szCs w:val="23"/>
        </w:rPr>
      </w:pPr>
      <w:bookmarkStart w:id="104" w:name="_Toc524334516"/>
      <w:bookmarkStart w:id="105" w:name="_Toc524334598"/>
      <w:bookmarkStart w:id="106" w:name="_Toc524334745"/>
      <w:bookmarkStart w:id="107" w:name="_Toc524334938"/>
      <w:bookmarkStart w:id="108" w:name="_Toc81279014"/>
      <w:bookmarkStart w:id="109" w:name="_Toc81279658"/>
      <w:r>
        <w:rPr>
          <w:b/>
          <w:sz w:val="28"/>
          <w:szCs w:val="28"/>
        </w:rPr>
        <w:t>Appendix A</w:t>
      </w:r>
    </w:p>
    <w:p w:rsidR="00C37F42" w:rsidRPr="006A5A18" w:rsidRDefault="00C37F42" w:rsidP="00C37F42">
      <w:pPr>
        <w:ind w:right="-720"/>
        <w:jc w:val="center"/>
        <w:outlineLvl w:val="0"/>
        <w:rPr>
          <w:b/>
          <w:sz w:val="24"/>
          <w:szCs w:val="24"/>
        </w:rPr>
      </w:pPr>
    </w:p>
    <w:p w:rsidR="00C37F42" w:rsidRDefault="00C37F42" w:rsidP="00C37F42">
      <w:pPr>
        <w:ind w:right="-720"/>
        <w:jc w:val="center"/>
        <w:outlineLvl w:val="0"/>
        <w:rPr>
          <w:b/>
          <w:sz w:val="28"/>
          <w:szCs w:val="28"/>
        </w:rPr>
      </w:pPr>
      <w:r w:rsidRPr="006A5A18">
        <w:rPr>
          <w:b/>
          <w:sz w:val="28"/>
          <w:szCs w:val="28"/>
        </w:rPr>
        <w:t xml:space="preserve">Summary of Comments </w:t>
      </w:r>
      <w:r>
        <w:rPr>
          <w:b/>
          <w:sz w:val="28"/>
          <w:szCs w:val="28"/>
        </w:rPr>
        <w:t xml:space="preserve">Received in </w:t>
      </w:r>
      <w:r w:rsidRPr="006A5A18">
        <w:rPr>
          <w:b/>
          <w:sz w:val="28"/>
          <w:szCs w:val="28"/>
        </w:rPr>
        <w:t>Response to</w:t>
      </w:r>
      <w:r>
        <w:rPr>
          <w:b/>
          <w:sz w:val="28"/>
          <w:szCs w:val="28"/>
        </w:rPr>
        <w:t xml:space="preserve"> the </w:t>
      </w:r>
    </w:p>
    <w:p w:rsidR="00C37F42" w:rsidRPr="006A5A18" w:rsidRDefault="00C37F42" w:rsidP="00C37F42">
      <w:pPr>
        <w:ind w:right="-720"/>
        <w:jc w:val="center"/>
        <w:outlineLvl w:val="0"/>
        <w:rPr>
          <w:b/>
          <w:sz w:val="28"/>
          <w:szCs w:val="28"/>
        </w:rPr>
      </w:pPr>
      <w:r w:rsidRPr="006A5A18">
        <w:rPr>
          <w:b/>
          <w:sz w:val="28"/>
          <w:szCs w:val="28"/>
        </w:rPr>
        <w:t>Federal Register Notice (Vol.</w:t>
      </w:r>
      <w:r>
        <w:rPr>
          <w:b/>
          <w:sz w:val="28"/>
          <w:szCs w:val="28"/>
        </w:rPr>
        <w:t xml:space="preserve"> 80</w:t>
      </w:r>
      <w:r w:rsidRPr="006A5A18">
        <w:rPr>
          <w:b/>
          <w:sz w:val="28"/>
          <w:szCs w:val="28"/>
        </w:rPr>
        <w:t xml:space="preserve">. No. </w:t>
      </w:r>
      <w:r>
        <w:rPr>
          <w:b/>
          <w:sz w:val="28"/>
          <w:szCs w:val="28"/>
        </w:rPr>
        <w:t>23</w:t>
      </w:r>
      <w:r w:rsidRPr="006A5A18">
        <w:rPr>
          <w:b/>
          <w:sz w:val="28"/>
          <w:szCs w:val="28"/>
        </w:rPr>
        <w:t>)</w:t>
      </w:r>
    </w:p>
    <w:p w:rsidR="00C37F42" w:rsidRDefault="00C37F42" w:rsidP="00C37F42">
      <w:pPr>
        <w:ind w:right="-720"/>
        <w:jc w:val="center"/>
        <w:outlineLvl w:val="0"/>
        <w:rPr>
          <w:b/>
          <w:sz w:val="28"/>
          <w:szCs w:val="28"/>
        </w:rPr>
      </w:pPr>
      <w:r w:rsidRPr="006A5A18">
        <w:rPr>
          <w:b/>
          <w:sz w:val="28"/>
          <w:szCs w:val="28"/>
        </w:rPr>
        <w:t xml:space="preserve">Published </w:t>
      </w:r>
      <w:r>
        <w:rPr>
          <w:b/>
          <w:sz w:val="28"/>
          <w:szCs w:val="28"/>
        </w:rPr>
        <w:t>February 4, 2015</w:t>
      </w:r>
    </w:p>
    <w:p w:rsidR="00C37F42" w:rsidRDefault="005A4772" w:rsidP="00C37F42">
      <w:pPr>
        <w:ind w:right="-720"/>
        <w:jc w:val="center"/>
        <w:outlineLvl w:val="0"/>
        <w:rPr>
          <w:b/>
          <w:sz w:val="28"/>
          <w:szCs w:val="28"/>
        </w:rPr>
      </w:pPr>
      <w:r>
        <w:rPr>
          <w:b/>
          <w:sz w:val="28"/>
          <w:szCs w:val="28"/>
        </w:rPr>
        <w:t>(With EIA Responses)</w:t>
      </w:r>
    </w:p>
    <w:p w:rsidR="005A4772" w:rsidRDefault="005A4772" w:rsidP="00C37F42">
      <w:pPr>
        <w:ind w:right="-720"/>
        <w:jc w:val="center"/>
        <w:outlineLvl w:val="0"/>
        <w:rPr>
          <w:b/>
          <w:sz w:val="28"/>
          <w:szCs w:val="28"/>
        </w:rPr>
      </w:pPr>
    </w:p>
    <w:p w:rsidR="00C37F42" w:rsidRDefault="00C37F42" w:rsidP="00C37F42">
      <w:pPr>
        <w:ind w:right="-720"/>
        <w:jc w:val="center"/>
        <w:outlineLvl w:val="0"/>
        <w:rPr>
          <w:b/>
          <w:sz w:val="28"/>
          <w:szCs w:val="28"/>
        </w:rPr>
      </w:pPr>
    </w:p>
    <w:p w:rsidR="00C37F42" w:rsidRPr="006A5A18" w:rsidRDefault="00C37F42" w:rsidP="00C37F42">
      <w:pPr>
        <w:ind w:right="-720"/>
        <w:outlineLvl w:val="0"/>
        <w:rPr>
          <w:b/>
          <w:sz w:val="28"/>
          <w:szCs w:val="28"/>
        </w:rPr>
      </w:pPr>
      <w:r>
        <w:rPr>
          <w:b/>
          <w:sz w:val="28"/>
          <w:szCs w:val="28"/>
        </w:rPr>
        <w:t>Introduction</w:t>
      </w:r>
    </w:p>
    <w:p w:rsidR="00C37F42" w:rsidRPr="006A5A18" w:rsidRDefault="00C37F42" w:rsidP="00C37F42">
      <w:pPr>
        <w:ind w:right="-720"/>
        <w:jc w:val="center"/>
        <w:outlineLvl w:val="0"/>
        <w:rPr>
          <w:b/>
          <w:sz w:val="28"/>
          <w:szCs w:val="28"/>
        </w:rPr>
      </w:pPr>
    </w:p>
    <w:p w:rsidR="00C37F42" w:rsidRDefault="00C37F42" w:rsidP="00C37F42">
      <w:pPr>
        <w:rPr>
          <w:sz w:val="24"/>
          <w:szCs w:val="24"/>
        </w:rPr>
      </w:pPr>
      <w:r>
        <w:rPr>
          <w:sz w:val="24"/>
          <w:szCs w:val="24"/>
        </w:rPr>
        <w:t>On February 4, 201</w:t>
      </w:r>
      <w:r w:rsidR="005A4772">
        <w:rPr>
          <w:sz w:val="24"/>
          <w:szCs w:val="24"/>
        </w:rPr>
        <w:t>5</w:t>
      </w:r>
      <w:r>
        <w:rPr>
          <w:sz w:val="24"/>
          <w:szCs w:val="24"/>
        </w:rPr>
        <w:t xml:space="preserve">, a request for comments from interested persons was solicited in the Federal Register Notice that proposed approval for </w:t>
      </w:r>
      <w:r w:rsidRPr="00D3706E">
        <w:rPr>
          <w:sz w:val="24"/>
          <w:szCs w:val="24"/>
        </w:rPr>
        <w:t>a three year</w:t>
      </w:r>
      <w:r>
        <w:rPr>
          <w:sz w:val="24"/>
          <w:szCs w:val="24"/>
        </w:rPr>
        <w:t xml:space="preserve"> </w:t>
      </w:r>
      <w:r w:rsidRPr="00D3706E">
        <w:rPr>
          <w:sz w:val="24"/>
          <w:szCs w:val="24"/>
        </w:rPr>
        <w:t xml:space="preserve">collection </w:t>
      </w:r>
      <w:r>
        <w:rPr>
          <w:sz w:val="24"/>
          <w:szCs w:val="24"/>
        </w:rPr>
        <w:t>for</w:t>
      </w:r>
      <w:r w:rsidRPr="00D3706E">
        <w:rPr>
          <w:sz w:val="24"/>
          <w:szCs w:val="24"/>
        </w:rPr>
        <w:t xml:space="preserve"> Form EIA-111, </w:t>
      </w:r>
      <w:r>
        <w:rPr>
          <w:sz w:val="24"/>
          <w:szCs w:val="24"/>
        </w:rPr>
        <w:t>“</w:t>
      </w:r>
      <w:r w:rsidRPr="00D3706E">
        <w:rPr>
          <w:sz w:val="24"/>
          <w:szCs w:val="24"/>
        </w:rPr>
        <w:t>Quarterly Electricity Imports and Exports Report.</w:t>
      </w:r>
      <w:r>
        <w:rPr>
          <w:sz w:val="24"/>
          <w:szCs w:val="24"/>
        </w:rPr>
        <w:t>”</w:t>
      </w:r>
      <w:r w:rsidRPr="00D3706E">
        <w:rPr>
          <w:sz w:val="24"/>
          <w:szCs w:val="24"/>
        </w:rPr>
        <w:t xml:space="preserve">  The comments received and </w:t>
      </w:r>
      <w:r>
        <w:rPr>
          <w:sz w:val="24"/>
          <w:szCs w:val="24"/>
        </w:rPr>
        <w:t xml:space="preserve">EIA’s </w:t>
      </w:r>
      <w:r w:rsidRPr="00D3706E">
        <w:rPr>
          <w:sz w:val="24"/>
          <w:szCs w:val="24"/>
        </w:rPr>
        <w:t xml:space="preserve">responses are summarized </w:t>
      </w:r>
      <w:r>
        <w:rPr>
          <w:sz w:val="24"/>
          <w:szCs w:val="24"/>
        </w:rPr>
        <w:t>below</w:t>
      </w:r>
      <w:r w:rsidRPr="00D3706E">
        <w:rPr>
          <w:sz w:val="24"/>
          <w:szCs w:val="24"/>
        </w:rPr>
        <w:t xml:space="preserve">.  </w:t>
      </w:r>
    </w:p>
    <w:p w:rsidR="00C37F42" w:rsidRDefault="00C37F42" w:rsidP="00C37F42">
      <w:pPr>
        <w:rPr>
          <w:sz w:val="24"/>
          <w:szCs w:val="24"/>
        </w:rPr>
      </w:pPr>
    </w:p>
    <w:p w:rsidR="00C37F42" w:rsidRPr="00FF5E89" w:rsidRDefault="00C37F42" w:rsidP="00C37F42">
      <w:pPr>
        <w:autoSpaceDE w:val="0"/>
        <w:autoSpaceDN w:val="0"/>
        <w:adjustRightInd w:val="0"/>
        <w:rPr>
          <w:color w:val="000000"/>
          <w:sz w:val="24"/>
          <w:szCs w:val="24"/>
        </w:rPr>
      </w:pPr>
    </w:p>
    <w:p w:rsidR="00C37F42" w:rsidRDefault="00C37F42" w:rsidP="00C37F42">
      <w:pPr>
        <w:rPr>
          <w:b/>
          <w:sz w:val="24"/>
          <w:szCs w:val="24"/>
        </w:rPr>
      </w:pPr>
      <w:bookmarkStart w:id="110" w:name="_Toc307985137"/>
      <w:r w:rsidRPr="00600CB9">
        <w:rPr>
          <w:b/>
          <w:sz w:val="24"/>
          <w:szCs w:val="24"/>
        </w:rPr>
        <w:t>Table</w:t>
      </w:r>
      <w:r>
        <w:rPr>
          <w:b/>
          <w:sz w:val="24"/>
          <w:szCs w:val="24"/>
        </w:rPr>
        <w:t xml:space="preserve"> A</w:t>
      </w:r>
      <w:r w:rsidRPr="00600CB9">
        <w:rPr>
          <w:b/>
          <w:sz w:val="24"/>
          <w:szCs w:val="24"/>
        </w:rPr>
        <w:t xml:space="preserve"> </w:t>
      </w:r>
      <w:r w:rsidRPr="00600CB9">
        <w:rPr>
          <w:b/>
          <w:sz w:val="24"/>
          <w:szCs w:val="24"/>
        </w:rPr>
        <w:fldChar w:fldCharType="begin"/>
      </w:r>
      <w:r w:rsidRPr="00600CB9">
        <w:rPr>
          <w:b/>
          <w:sz w:val="24"/>
          <w:szCs w:val="24"/>
        </w:rPr>
        <w:instrText xml:space="preserve"> SEQ Table \* ARABIC </w:instrText>
      </w:r>
      <w:r w:rsidRPr="00600CB9">
        <w:rPr>
          <w:b/>
          <w:sz w:val="24"/>
          <w:szCs w:val="24"/>
        </w:rPr>
        <w:fldChar w:fldCharType="separate"/>
      </w:r>
      <w:r w:rsidR="00001A0B">
        <w:rPr>
          <w:b/>
          <w:noProof/>
          <w:sz w:val="24"/>
          <w:szCs w:val="24"/>
        </w:rPr>
        <w:t>1</w:t>
      </w:r>
      <w:r w:rsidRPr="00600CB9">
        <w:rPr>
          <w:b/>
          <w:sz w:val="24"/>
          <w:szCs w:val="24"/>
        </w:rPr>
        <w:fldChar w:fldCharType="end"/>
      </w:r>
      <w:r w:rsidRPr="00600CB9">
        <w:rPr>
          <w:b/>
          <w:sz w:val="24"/>
          <w:szCs w:val="24"/>
        </w:rPr>
        <w:t xml:space="preserve">. </w:t>
      </w:r>
      <w:r>
        <w:rPr>
          <w:b/>
          <w:sz w:val="24"/>
          <w:szCs w:val="24"/>
        </w:rPr>
        <w:t>List of Entities Providing Comments</w:t>
      </w:r>
      <w:bookmarkEnd w:id="110"/>
    </w:p>
    <w:p w:rsidR="00C37F42" w:rsidRDefault="00C37F42" w:rsidP="00C37F42">
      <w:pPr>
        <w:rPr>
          <w:b/>
          <w:sz w:val="24"/>
          <w:szCs w:val="24"/>
        </w:rPr>
      </w:pPr>
    </w:p>
    <w:p w:rsidR="00C37F42" w:rsidRPr="00600CB9" w:rsidRDefault="00C37F42" w:rsidP="00C37F42">
      <w:pPr>
        <w:rPr>
          <w:b/>
          <w:sz w:val="24"/>
          <w:szCs w:val="24"/>
        </w:rPr>
      </w:pPr>
      <w:r w:rsidRPr="00DC15EB">
        <w:rPr>
          <w:b/>
          <w:bCs/>
          <w:sz w:val="24"/>
          <w:u w:val="single"/>
        </w:rPr>
        <w:t>Name of Respondents</w:t>
      </w:r>
    </w:p>
    <w:p w:rsidR="00C37F42" w:rsidRDefault="00C37F42" w:rsidP="00C37F42">
      <w:pPr>
        <w:pStyle w:val="BodyText"/>
        <w:rPr>
          <w:szCs w:val="24"/>
        </w:rPr>
      </w:pPr>
      <w:r>
        <w:rPr>
          <w:szCs w:val="24"/>
        </w:rPr>
        <w:t>Avista Corporation</w:t>
      </w:r>
    </w:p>
    <w:p w:rsidR="00C37F42" w:rsidRDefault="00C37F42" w:rsidP="00C37F42">
      <w:pPr>
        <w:pStyle w:val="BodyText"/>
        <w:rPr>
          <w:szCs w:val="24"/>
        </w:rPr>
      </w:pPr>
      <w:r>
        <w:rPr>
          <w:bCs/>
        </w:rPr>
        <w:t>Intercom Energy, Inc.</w:t>
      </w:r>
    </w:p>
    <w:p w:rsidR="00C37F42" w:rsidRDefault="00C37F42" w:rsidP="00C37F42">
      <w:pPr>
        <w:pStyle w:val="BodyText"/>
        <w:rPr>
          <w:szCs w:val="24"/>
        </w:rPr>
      </w:pPr>
      <w:r w:rsidRPr="00AC2A9E">
        <w:rPr>
          <w:bCs/>
        </w:rPr>
        <w:t>New York Independent System Operator</w:t>
      </w:r>
      <w:r>
        <w:rPr>
          <w:bCs/>
        </w:rPr>
        <w:t xml:space="preserve"> (NYISO)</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rPr>
          <w:sz w:val="24"/>
          <w:szCs w:val="24"/>
        </w:rPr>
      </w:pPr>
      <w:r>
        <w:rPr>
          <w:szCs w:val="24"/>
        </w:rPr>
        <w:br w:type="page"/>
      </w:r>
    </w:p>
    <w:p w:rsidR="00C37F42" w:rsidRDefault="00C37F42" w:rsidP="00C37F42">
      <w:pPr>
        <w:pStyle w:val="BodyText"/>
        <w:rPr>
          <w:szCs w:val="24"/>
        </w:rPr>
      </w:pPr>
      <w:r>
        <w:rPr>
          <w:szCs w:val="24"/>
        </w:rPr>
        <w:t>C</w:t>
      </w:r>
      <w:r w:rsidRPr="008B1B9E">
        <w:rPr>
          <w:szCs w:val="24"/>
        </w:rPr>
        <w:t xml:space="preserve">omments </w:t>
      </w:r>
      <w:r>
        <w:rPr>
          <w:szCs w:val="24"/>
        </w:rPr>
        <w:t>provided to EIA are grouped into the following categories:</w:t>
      </w:r>
    </w:p>
    <w:p w:rsidR="00C37F42" w:rsidRDefault="00C37F42" w:rsidP="00C37F42">
      <w:pPr>
        <w:pStyle w:val="BodyText"/>
        <w:rPr>
          <w:szCs w:val="24"/>
        </w:rPr>
      </w:pPr>
    </w:p>
    <w:p w:rsidR="00C37F42" w:rsidRDefault="00C37F42" w:rsidP="00C37F42">
      <w:pPr>
        <w:pStyle w:val="BodyText"/>
        <w:numPr>
          <w:ilvl w:val="0"/>
          <w:numId w:val="58"/>
        </w:numPr>
        <w:rPr>
          <w:szCs w:val="24"/>
        </w:rPr>
      </w:pPr>
      <w:r>
        <w:rPr>
          <w:szCs w:val="24"/>
        </w:rPr>
        <w:t>W</w:t>
      </w:r>
      <w:r w:rsidRPr="00C42B6A">
        <w:rPr>
          <w:szCs w:val="24"/>
        </w:rPr>
        <w:t>hether the proposed collection of information is necessary for the proper performance of the functions of the agency, including whether the information shall have practical utility</w:t>
      </w:r>
    </w:p>
    <w:p w:rsidR="00C37F42" w:rsidRDefault="00C37F42" w:rsidP="00C37F42">
      <w:pPr>
        <w:pStyle w:val="BodyText"/>
        <w:numPr>
          <w:ilvl w:val="0"/>
          <w:numId w:val="58"/>
        </w:numPr>
        <w:rPr>
          <w:szCs w:val="24"/>
        </w:rPr>
      </w:pPr>
      <w:r>
        <w:rPr>
          <w:szCs w:val="24"/>
        </w:rPr>
        <w:t>T</w:t>
      </w:r>
      <w:r w:rsidRPr="00C42B6A">
        <w:rPr>
          <w:szCs w:val="24"/>
        </w:rPr>
        <w:t>he accuracy of the agency’s estimate of the burden of the proposed collection of information, including the validity of the methodology and assumptions used</w:t>
      </w:r>
      <w:r>
        <w:rPr>
          <w:szCs w:val="24"/>
        </w:rPr>
        <w:t xml:space="preserve"> </w:t>
      </w:r>
    </w:p>
    <w:p w:rsidR="00C37F42" w:rsidRDefault="00C37F42" w:rsidP="00C37F42">
      <w:pPr>
        <w:pStyle w:val="BodyText"/>
        <w:numPr>
          <w:ilvl w:val="0"/>
          <w:numId w:val="58"/>
        </w:numPr>
        <w:rPr>
          <w:szCs w:val="24"/>
        </w:rPr>
      </w:pPr>
      <w:r>
        <w:rPr>
          <w:szCs w:val="24"/>
        </w:rPr>
        <w:t>W</w:t>
      </w:r>
      <w:r w:rsidRPr="00C42B6A">
        <w:rPr>
          <w:szCs w:val="24"/>
        </w:rPr>
        <w:t>ays to enhance the quality, utility, and clarity of the information to be collected</w:t>
      </w:r>
      <w:r>
        <w:rPr>
          <w:szCs w:val="24"/>
        </w:rPr>
        <w:t xml:space="preserve"> </w:t>
      </w:r>
    </w:p>
    <w:p w:rsidR="00C37F42" w:rsidRPr="00DF39B7" w:rsidRDefault="00C37F42" w:rsidP="00C37F42">
      <w:pPr>
        <w:pStyle w:val="BodyText"/>
        <w:numPr>
          <w:ilvl w:val="0"/>
          <w:numId w:val="58"/>
        </w:numPr>
        <w:rPr>
          <w:szCs w:val="24"/>
        </w:rPr>
      </w:pPr>
      <w:r>
        <w:rPr>
          <w:szCs w:val="24"/>
        </w:rPr>
        <w:t>W</w:t>
      </w:r>
      <w:r w:rsidRPr="00DF39B7">
        <w:rPr>
          <w:szCs w:val="24"/>
        </w:rPr>
        <w:t>ays to minimize the burden of the collection of information on respondents, including through the use of automated collection techniques or other forms of information technology</w:t>
      </w:r>
    </w:p>
    <w:p w:rsidR="00C37F42" w:rsidRDefault="00C37F42" w:rsidP="00C37F42">
      <w:pPr>
        <w:pStyle w:val="BodyText"/>
        <w:rPr>
          <w:szCs w:val="24"/>
        </w:rPr>
      </w:pPr>
    </w:p>
    <w:p w:rsidR="00C37F42" w:rsidRPr="008B1B9E" w:rsidRDefault="00C37F42" w:rsidP="00C37F42">
      <w:pPr>
        <w:pStyle w:val="BodyText"/>
        <w:rPr>
          <w:szCs w:val="24"/>
        </w:rPr>
      </w:pPr>
      <w:r>
        <w:rPr>
          <w:szCs w:val="24"/>
        </w:rPr>
        <w:t>The comments shown below incorporate minor editing for clarity.</w:t>
      </w:r>
    </w:p>
    <w:p w:rsidR="00C37F42" w:rsidRDefault="00C37F42" w:rsidP="00C37F42">
      <w:pPr>
        <w:pStyle w:val="BodyText"/>
        <w:rPr>
          <w:szCs w:val="24"/>
        </w:rPr>
      </w:pPr>
    </w:p>
    <w:p w:rsidR="00C37F42" w:rsidRDefault="00C37F42" w:rsidP="00C37F42">
      <w:pPr>
        <w:pStyle w:val="BodyText"/>
        <w:rPr>
          <w:szCs w:val="24"/>
        </w:rPr>
      </w:pPr>
    </w:p>
    <w:p w:rsidR="002557DA" w:rsidRDefault="002557DA" w:rsidP="00C37F42">
      <w:pPr>
        <w:pStyle w:val="BodyText"/>
        <w:rPr>
          <w:b/>
          <w:szCs w:val="24"/>
          <w:u w:val="single"/>
        </w:rPr>
      </w:pPr>
    </w:p>
    <w:p w:rsidR="00C37F42" w:rsidRPr="00E22C50" w:rsidRDefault="00C37F42" w:rsidP="00C37F42">
      <w:pPr>
        <w:pStyle w:val="BodyText"/>
        <w:rPr>
          <w:b/>
          <w:szCs w:val="24"/>
          <w:u w:val="single"/>
        </w:rPr>
      </w:pPr>
      <w:r>
        <w:rPr>
          <w:b/>
          <w:szCs w:val="24"/>
          <w:u w:val="single"/>
        </w:rPr>
        <w:t>Necessity of the proposed information collection</w:t>
      </w:r>
    </w:p>
    <w:p w:rsidR="00C37F42" w:rsidRDefault="00C37F42" w:rsidP="00C37F42">
      <w:pPr>
        <w:pStyle w:val="ListParagraph"/>
        <w:ind w:left="0"/>
        <w:rPr>
          <w:rFonts w:ascii="Times New Roman" w:hAnsi="Times New Roman" w:cs="Arial"/>
          <w:b/>
          <w:sz w:val="24"/>
          <w:szCs w:val="24"/>
        </w:rPr>
      </w:pPr>
    </w:p>
    <w:p w:rsidR="00C37F42" w:rsidRDefault="00C37F42" w:rsidP="00C37F42">
      <w:pPr>
        <w:pStyle w:val="ListParagraph"/>
        <w:ind w:left="0"/>
        <w:rPr>
          <w:rFonts w:ascii="Arial" w:hAnsi="Arial" w:cs="Arial"/>
          <w:sz w:val="20"/>
          <w:szCs w:val="20"/>
        </w:rPr>
      </w:pPr>
      <w:r w:rsidRPr="005D7243">
        <w:rPr>
          <w:rFonts w:ascii="Times New Roman" w:hAnsi="Times New Roman" w:cs="Arial"/>
          <w:b/>
          <w:sz w:val="24"/>
          <w:szCs w:val="24"/>
        </w:rPr>
        <w:t>Comment</w:t>
      </w:r>
      <w:r>
        <w:rPr>
          <w:rFonts w:ascii="Times New Roman" w:hAnsi="Times New Roman" w:cs="Arial"/>
          <w:b/>
          <w:sz w:val="24"/>
          <w:szCs w:val="24"/>
        </w:rPr>
        <w:t>s</w:t>
      </w:r>
      <w:r w:rsidRPr="005D7243">
        <w:rPr>
          <w:rFonts w:ascii="Times New Roman" w:hAnsi="Times New Roman" w:cs="Arial"/>
          <w:b/>
          <w:sz w:val="24"/>
          <w:szCs w:val="24"/>
        </w:rPr>
        <w:t>:</w:t>
      </w:r>
    </w:p>
    <w:p w:rsidR="00C37F42" w:rsidRDefault="00C37F42" w:rsidP="00C37F42">
      <w:pPr>
        <w:pStyle w:val="ListParagraph"/>
        <w:ind w:left="0"/>
        <w:rPr>
          <w:rFonts w:ascii="Arial" w:hAnsi="Arial" w:cs="Arial"/>
          <w:sz w:val="20"/>
          <w:szCs w:val="20"/>
        </w:rPr>
      </w:pPr>
    </w:p>
    <w:p w:rsidR="00C37F42" w:rsidRDefault="00C37F42" w:rsidP="00C37F42">
      <w:pPr>
        <w:pStyle w:val="BodyText"/>
        <w:rPr>
          <w:rFonts w:eastAsia="Calibri" w:cs="Arial"/>
        </w:rPr>
      </w:pPr>
      <w:r w:rsidRPr="009249A5">
        <w:rPr>
          <w:rFonts w:eastAsia="Calibri" w:cs="Arial"/>
        </w:rPr>
        <w:t>We found the new form EIA</w:t>
      </w:r>
      <w:r w:rsidRPr="009249A5">
        <w:rPr>
          <w:rFonts w:ascii="Cambria Math" w:eastAsia="Calibri" w:hAnsi="Cambria Math" w:cs="Cambria Math"/>
        </w:rPr>
        <w:t>‐</w:t>
      </w:r>
      <w:r w:rsidRPr="009249A5">
        <w:rPr>
          <w:rFonts w:eastAsia="Calibri" w:cs="Arial"/>
        </w:rPr>
        <w:t>111 very appropriate for the 2015 survey purposes</w:t>
      </w:r>
      <w:r>
        <w:rPr>
          <w:rFonts w:eastAsia="Calibri" w:cs="Arial"/>
        </w:rPr>
        <w:t>.</w:t>
      </w:r>
    </w:p>
    <w:p w:rsidR="00C37F42" w:rsidRDefault="00C37F42" w:rsidP="00C37F42">
      <w:pPr>
        <w:pStyle w:val="BodyText"/>
        <w:rPr>
          <w:b/>
        </w:rPr>
      </w:pPr>
    </w:p>
    <w:p w:rsidR="00C37F42" w:rsidRDefault="005A4772" w:rsidP="00C37F42">
      <w:pPr>
        <w:pStyle w:val="BodyText"/>
      </w:pPr>
      <w:r>
        <w:rPr>
          <w:b/>
        </w:rPr>
        <w:t>EIA Response:</w:t>
      </w:r>
      <w:r w:rsidR="00C37F42">
        <w:t xml:space="preserve"> </w:t>
      </w:r>
    </w:p>
    <w:p w:rsidR="00C37F42" w:rsidRDefault="00C37F42" w:rsidP="00C37F42">
      <w:pPr>
        <w:rPr>
          <w:sz w:val="24"/>
        </w:rPr>
      </w:pPr>
    </w:p>
    <w:p w:rsidR="00C37F42" w:rsidRDefault="00C37F42" w:rsidP="00C37F42">
      <w:pPr>
        <w:rPr>
          <w:sz w:val="24"/>
        </w:rPr>
      </w:pPr>
      <w:r>
        <w:rPr>
          <w:sz w:val="24"/>
        </w:rPr>
        <w:t>None</w:t>
      </w:r>
    </w:p>
    <w:p w:rsidR="00C37F42" w:rsidRDefault="00C37F42" w:rsidP="00C37F42">
      <w:pPr>
        <w:pStyle w:val="BodyText"/>
        <w:rPr>
          <w:b/>
          <w:szCs w:val="24"/>
        </w:rPr>
      </w:pPr>
    </w:p>
    <w:p w:rsidR="00C37F42" w:rsidRDefault="00C37F42" w:rsidP="00C37F42">
      <w:pPr>
        <w:pStyle w:val="BodyText"/>
        <w:rPr>
          <w:szCs w:val="24"/>
        </w:rPr>
      </w:pPr>
    </w:p>
    <w:p w:rsidR="00C37F42" w:rsidRDefault="00C37F42" w:rsidP="00C37F42">
      <w:pPr>
        <w:pStyle w:val="BodyText"/>
        <w:rPr>
          <w:b/>
          <w:szCs w:val="24"/>
        </w:rPr>
      </w:pPr>
    </w:p>
    <w:p w:rsidR="00C37F42" w:rsidRDefault="00C37F42" w:rsidP="00C37F42">
      <w:pPr>
        <w:pStyle w:val="BodyText"/>
        <w:rPr>
          <w:b/>
          <w:szCs w:val="24"/>
          <w:u w:val="single"/>
        </w:rPr>
      </w:pPr>
      <w:r w:rsidRPr="003F0D32">
        <w:rPr>
          <w:b/>
          <w:szCs w:val="24"/>
          <w:u w:val="single"/>
        </w:rPr>
        <w:t xml:space="preserve">The accuracy of the agency’s </w:t>
      </w:r>
      <w:r>
        <w:rPr>
          <w:b/>
          <w:szCs w:val="24"/>
          <w:u w:val="single"/>
        </w:rPr>
        <w:t>burden estimate</w:t>
      </w:r>
    </w:p>
    <w:p w:rsidR="00C37F42" w:rsidRPr="00BE424F" w:rsidRDefault="00C37F42" w:rsidP="00C37F42">
      <w:pPr>
        <w:pStyle w:val="BodyText"/>
        <w:rPr>
          <w:b/>
          <w:szCs w:val="24"/>
        </w:rPr>
      </w:pPr>
    </w:p>
    <w:p w:rsidR="00C37F42" w:rsidRPr="00BE424F" w:rsidRDefault="00C37F42" w:rsidP="00C37F42">
      <w:pPr>
        <w:pStyle w:val="BodyText"/>
        <w:rPr>
          <w:szCs w:val="24"/>
        </w:rPr>
      </w:pPr>
      <w:r w:rsidRPr="00BE424F">
        <w:rPr>
          <w:b/>
          <w:szCs w:val="24"/>
        </w:rPr>
        <w:t>Comment</w:t>
      </w:r>
      <w:r>
        <w:rPr>
          <w:b/>
          <w:szCs w:val="24"/>
        </w:rPr>
        <w:t>s</w:t>
      </w:r>
      <w:r w:rsidRPr="00BE424F">
        <w:rPr>
          <w:b/>
          <w:szCs w:val="24"/>
        </w:rPr>
        <w:t>:</w:t>
      </w:r>
      <w:r w:rsidRPr="00BE424F">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None</w:t>
      </w:r>
    </w:p>
    <w:p w:rsidR="00C37F42" w:rsidRPr="00BE424F" w:rsidRDefault="00C37F42" w:rsidP="00C37F42">
      <w:pPr>
        <w:pStyle w:val="BodyText"/>
        <w:rPr>
          <w:szCs w:val="24"/>
        </w:rPr>
      </w:pPr>
    </w:p>
    <w:p w:rsidR="00C37F42" w:rsidRDefault="00C37F42" w:rsidP="00C37F42">
      <w:pPr>
        <w:pStyle w:val="BodyText"/>
        <w:rPr>
          <w:b/>
          <w:szCs w:val="24"/>
        </w:rPr>
      </w:pPr>
    </w:p>
    <w:p w:rsidR="00C37F42" w:rsidRDefault="00C37F42" w:rsidP="00C37F42">
      <w:pPr>
        <w:pStyle w:val="BodyText"/>
        <w:rPr>
          <w:b/>
          <w:szCs w:val="24"/>
        </w:rPr>
      </w:pPr>
    </w:p>
    <w:p w:rsidR="00C37F42" w:rsidRPr="003102AF" w:rsidRDefault="00C37F42" w:rsidP="00C37F42">
      <w:pPr>
        <w:pStyle w:val="BodyText"/>
        <w:rPr>
          <w:b/>
          <w:szCs w:val="24"/>
          <w:u w:val="single"/>
        </w:rPr>
      </w:pPr>
      <w:r w:rsidRPr="003102AF">
        <w:rPr>
          <w:b/>
          <w:szCs w:val="24"/>
          <w:u w:val="single"/>
        </w:rPr>
        <w:t>Ways to enhance the information collection</w:t>
      </w:r>
    </w:p>
    <w:p w:rsidR="00C37F42" w:rsidRDefault="00C37F42" w:rsidP="00C37F42">
      <w:pPr>
        <w:pStyle w:val="BodyText"/>
        <w:rPr>
          <w:b/>
          <w:szCs w:val="24"/>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Default="00C37F42" w:rsidP="00C37F42">
      <w:pPr>
        <w:pStyle w:val="BodyText"/>
        <w:rPr>
          <w:szCs w:val="24"/>
        </w:rPr>
      </w:pPr>
      <w:r>
        <w:rPr>
          <w:szCs w:val="24"/>
        </w:rPr>
        <w:t>W</w:t>
      </w:r>
      <w:r w:rsidRPr="00245A10">
        <w:rPr>
          <w:szCs w:val="24"/>
        </w:rPr>
        <w:t xml:space="preserve">hy is it that the survey asks for the transfer facility for </w:t>
      </w:r>
      <w:r>
        <w:rPr>
          <w:szCs w:val="24"/>
        </w:rPr>
        <w:t>[Implemented Interchange]</w:t>
      </w:r>
      <w:r w:rsidRPr="00245A10">
        <w:rPr>
          <w:szCs w:val="24"/>
        </w:rPr>
        <w:t xml:space="preserve"> but only asks for a lump sum</w:t>
      </w:r>
      <w:r>
        <w:rPr>
          <w:szCs w:val="24"/>
        </w:rPr>
        <w:t xml:space="preserve"> </w:t>
      </w:r>
      <w:r w:rsidRPr="00245A10">
        <w:rPr>
          <w:szCs w:val="24"/>
        </w:rPr>
        <w:t>for Actuals? After all, Balancing Authorities have at their disposal (for NERC reporting purposes) the metered data for each of the tie lines. You can’t necessarily</w:t>
      </w:r>
      <w:r>
        <w:rPr>
          <w:szCs w:val="24"/>
        </w:rPr>
        <w:t xml:space="preserve"> </w:t>
      </w:r>
      <w:r w:rsidRPr="00245A10">
        <w:rPr>
          <w:szCs w:val="24"/>
        </w:rPr>
        <w:t>designate the transfer facility for a transaction schedule (as we know with the NY&gt;Ontario interface) but you can get a clear picture of what is actually flowing over each</w:t>
      </w:r>
      <w:r>
        <w:rPr>
          <w:szCs w:val="24"/>
        </w:rPr>
        <w:t xml:space="preserve"> </w:t>
      </w:r>
      <w:r w:rsidRPr="00245A10">
        <w:rPr>
          <w:szCs w:val="24"/>
        </w:rPr>
        <w:t>of the tie lines to that Balancing Authority.</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 xml:space="preserve">The proposed change to this information collection of adding a new schedule: </w:t>
      </w:r>
      <w:r w:rsidRPr="00245A10">
        <w:rPr>
          <w:b/>
          <w:szCs w:val="24"/>
        </w:rPr>
        <w:t>Metered Flow on Transfer Facilities</w:t>
      </w:r>
      <w:r>
        <w:rPr>
          <w:szCs w:val="24"/>
        </w:rPr>
        <w:t xml:space="preserve"> will allow the collection of metered flow data over each tie line.</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Pr="009249A5" w:rsidRDefault="00C37F42" w:rsidP="00C37F42">
      <w:pPr>
        <w:pStyle w:val="BodyText"/>
        <w:rPr>
          <w:szCs w:val="24"/>
        </w:rPr>
      </w:pPr>
      <w:r w:rsidRPr="009249A5">
        <w:rPr>
          <w:szCs w:val="24"/>
        </w:rPr>
        <w:t>In section “E</w:t>
      </w:r>
      <w:r>
        <w:rPr>
          <w:szCs w:val="24"/>
        </w:rPr>
        <w:t>xports from the U.S. to Canada o</w:t>
      </w:r>
      <w:r w:rsidRPr="009249A5">
        <w:rPr>
          <w:szCs w:val="24"/>
        </w:rPr>
        <w:t>r Mexico” your question says:</w:t>
      </w:r>
    </w:p>
    <w:p w:rsidR="00C37F42" w:rsidRDefault="00C37F42" w:rsidP="00C37F42">
      <w:pPr>
        <w:pStyle w:val="BodyText"/>
        <w:rPr>
          <w:szCs w:val="24"/>
        </w:rPr>
      </w:pPr>
      <w:r w:rsidRPr="009249A5">
        <w:rPr>
          <w:szCs w:val="24"/>
        </w:rPr>
        <w:t>“Did the entity have any IMPORTS this quarter?” …. W</w:t>
      </w:r>
      <w:r>
        <w:rPr>
          <w:szCs w:val="24"/>
        </w:rPr>
        <w:t>e believe it should say EXPORTS.</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EIA has made this correction to the web form.</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Pr="009249A5" w:rsidRDefault="00C37F42" w:rsidP="00C37F42">
      <w:pPr>
        <w:pStyle w:val="BodyText"/>
        <w:rPr>
          <w:szCs w:val="24"/>
        </w:rPr>
      </w:pPr>
      <w:r w:rsidRPr="009249A5">
        <w:rPr>
          <w:szCs w:val="24"/>
        </w:rPr>
        <w:t>The EIA should allow CSV files, in addition to the XML file format, for upload to the Portal to provide enhanced utility for respondents.</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color w:val="FF0000"/>
          <w:szCs w:val="24"/>
        </w:rPr>
      </w:pPr>
    </w:p>
    <w:p w:rsidR="00C37F42" w:rsidRDefault="00C37F42" w:rsidP="00C37F42">
      <w:pPr>
        <w:pStyle w:val="BodyText"/>
        <w:rPr>
          <w:szCs w:val="24"/>
        </w:rPr>
      </w:pPr>
      <w:r>
        <w:rPr>
          <w:szCs w:val="24"/>
        </w:rPr>
        <w:t>Currently, the EIA-111 survey can only be submitted via web form. EIA plans in the future to allow respondents to submit the EIA-111 survey electronically using xml and csv file formats.</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Default="00C37F42" w:rsidP="00C37F42">
      <w:pPr>
        <w:pStyle w:val="BodyText"/>
        <w:rPr>
          <w:szCs w:val="24"/>
        </w:rPr>
      </w:pPr>
      <w:r w:rsidRPr="009249A5">
        <w:rPr>
          <w:szCs w:val="24"/>
        </w:rPr>
        <w:t>The EIA should allow more than one individual with access to the Portal to enter data for an open campaign to enhance the utility of the submission process.</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Currently, once one individual starts entering data for an open campaign they are the only one that can continue and complete entering data. This is a limitation of the software we are using for the web form. EIA will investigate ways to provide the requested functionality.</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Default="00C37F42" w:rsidP="00C37F42">
      <w:pPr>
        <w:pStyle w:val="BodyText"/>
        <w:rPr>
          <w:szCs w:val="24"/>
        </w:rPr>
      </w:pPr>
      <w:r w:rsidRPr="00882CCC">
        <w:rPr>
          <w:szCs w:val="24"/>
        </w:rPr>
        <w:t>The EIA should allow individuals within the same organization the ability to view the submission data for that organization within the Portal.</w:t>
      </w:r>
    </w:p>
    <w:p w:rsidR="00C37F42" w:rsidRDefault="00C37F42" w:rsidP="00C37F42">
      <w:pPr>
        <w:pStyle w:val="BodyText"/>
        <w:rPr>
          <w:color w:val="FF0000"/>
          <w:szCs w:val="24"/>
        </w:rPr>
      </w:pPr>
    </w:p>
    <w:p w:rsidR="002557DA" w:rsidRDefault="002557DA">
      <w:pPr>
        <w:rPr>
          <w:b/>
          <w:sz w:val="24"/>
          <w:szCs w:val="24"/>
        </w:rPr>
      </w:pPr>
      <w:r>
        <w:rPr>
          <w:b/>
          <w:szCs w:val="24"/>
        </w:rPr>
        <w:br w:type="page"/>
      </w: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EIA is working to enhance the reporting capability of its collection web portal to allow multiple contacts within a company to view and print submitted forms.</w:t>
      </w:r>
    </w:p>
    <w:p w:rsidR="00C37F42" w:rsidRDefault="00C37F42" w:rsidP="00C37F42">
      <w:pPr>
        <w:pStyle w:val="BodyText"/>
        <w:rPr>
          <w:szCs w:val="24"/>
        </w:rPr>
      </w:pPr>
    </w:p>
    <w:p w:rsidR="00C37F42" w:rsidRPr="009249A5" w:rsidRDefault="00C37F42" w:rsidP="00C37F42">
      <w:pPr>
        <w:pStyle w:val="BodyText"/>
        <w:rPr>
          <w:szCs w:val="24"/>
        </w:rPr>
      </w:pPr>
    </w:p>
    <w:p w:rsidR="00C37F42" w:rsidRDefault="00C37F42" w:rsidP="00C37F42">
      <w:pPr>
        <w:pStyle w:val="BodyText"/>
        <w:rPr>
          <w:b/>
          <w:szCs w:val="24"/>
        </w:rPr>
      </w:pPr>
      <w:r w:rsidRPr="008B1B9E">
        <w:rPr>
          <w:b/>
          <w:szCs w:val="24"/>
        </w:rPr>
        <w:t>Comment</w:t>
      </w:r>
      <w:r>
        <w:rPr>
          <w:b/>
          <w:szCs w:val="24"/>
        </w:rPr>
        <w:t>s</w:t>
      </w:r>
      <w:r w:rsidRPr="008B1B9E">
        <w:rPr>
          <w:b/>
          <w:szCs w:val="24"/>
        </w:rPr>
        <w:t>:</w:t>
      </w:r>
    </w:p>
    <w:p w:rsidR="00C37F42" w:rsidRDefault="00C37F42" w:rsidP="00C37F42">
      <w:pPr>
        <w:pStyle w:val="BodyText"/>
        <w:rPr>
          <w:szCs w:val="24"/>
        </w:rPr>
      </w:pPr>
    </w:p>
    <w:p w:rsidR="00C37F42" w:rsidRDefault="00C37F42" w:rsidP="00C37F42">
      <w:pPr>
        <w:pStyle w:val="BodyText"/>
        <w:rPr>
          <w:szCs w:val="24"/>
        </w:rPr>
      </w:pPr>
      <w:r>
        <w:rPr>
          <w:szCs w:val="24"/>
        </w:rPr>
        <w:t>There should</w:t>
      </w:r>
      <w:r w:rsidRPr="00E36077">
        <w:rPr>
          <w:szCs w:val="24"/>
        </w:rPr>
        <w:t xml:space="preserve"> be an option for the user to</w:t>
      </w:r>
      <w:r>
        <w:rPr>
          <w:szCs w:val="24"/>
        </w:rPr>
        <w:t xml:space="preserve"> </w:t>
      </w:r>
      <w:r w:rsidRPr="00E36077">
        <w:rPr>
          <w:szCs w:val="24"/>
        </w:rPr>
        <w:t>print a copy of the report which was submitted</w:t>
      </w:r>
      <w:r>
        <w:rPr>
          <w:szCs w:val="24"/>
        </w:rPr>
        <w:t>.</w:t>
      </w:r>
      <w:r w:rsidRPr="00E36077">
        <w:rPr>
          <w:szCs w:val="24"/>
        </w:rPr>
        <w:t xml:space="preserve"> The Campaign Member Detail page in the portal should allow the user to</w:t>
      </w:r>
      <w:r>
        <w:rPr>
          <w:szCs w:val="24"/>
        </w:rPr>
        <w:t xml:space="preserve"> </w:t>
      </w:r>
      <w:r w:rsidRPr="00E36077">
        <w:rPr>
          <w:szCs w:val="24"/>
        </w:rPr>
        <w:t>view the reports which were previously submitted. Currently, there is no</w:t>
      </w:r>
      <w:r>
        <w:rPr>
          <w:szCs w:val="24"/>
        </w:rPr>
        <w:t xml:space="preserve"> </w:t>
      </w:r>
      <w:r w:rsidRPr="00E36077">
        <w:rPr>
          <w:szCs w:val="24"/>
        </w:rPr>
        <w:t>option that I can find, which allows previously submitted reports to be</w:t>
      </w:r>
      <w:r>
        <w:rPr>
          <w:szCs w:val="24"/>
        </w:rPr>
        <w:t xml:space="preserve"> </w:t>
      </w:r>
      <w:r w:rsidRPr="00E36077">
        <w:rPr>
          <w:szCs w:val="24"/>
        </w:rPr>
        <w:t>viewed by the user. This becomes troublesome if you haven’t taken screen</w:t>
      </w:r>
      <w:r>
        <w:rPr>
          <w:szCs w:val="24"/>
        </w:rPr>
        <w:t xml:space="preserve"> </w:t>
      </w:r>
      <w:r w:rsidRPr="00E36077">
        <w:rPr>
          <w:szCs w:val="24"/>
        </w:rPr>
        <w:t>shots of the report as you are entering it prior to submission.</w:t>
      </w:r>
    </w:p>
    <w:p w:rsidR="00C37F42" w:rsidRDefault="00C37F42" w:rsidP="00C37F42">
      <w:pPr>
        <w:pStyle w:val="BodyText"/>
        <w:rPr>
          <w:szCs w:val="24"/>
        </w:rPr>
      </w:pPr>
    </w:p>
    <w:p w:rsidR="00C37F42" w:rsidRDefault="00C37F42" w:rsidP="00C37F42">
      <w:pPr>
        <w:pStyle w:val="BodyText"/>
        <w:rPr>
          <w:szCs w:val="24"/>
        </w:rPr>
      </w:pPr>
      <w:r w:rsidRPr="000A2A7B">
        <w:rPr>
          <w:szCs w:val="24"/>
        </w:rPr>
        <w:t>The EIA should configure the reports available within the Portal in a transactional format to increase the usefulness and clarity of the reports. The EIA should allow selection of the reporting period as a report parameter to enhance the usefulness and clarity of the reports. The EIA should allow submissions made in error to be deleted by the respondent to increase the clarity and quality of the reports.</w:t>
      </w:r>
    </w:p>
    <w:p w:rsidR="00C37F42" w:rsidRDefault="00C37F42" w:rsidP="00C37F42">
      <w:pPr>
        <w:pStyle w:val="BodyText"/>
        <w:rPr>
          <w:color w:val="FF0000"/>
          <w:szCs w:val="24"/>
        </w:rPr>
      </w:pPr>
    </w:p>
    <w:p w:rsidR="00C37F42" w:rsidRDefault="005A4772" w:rsidP="00C37F42">
      <w:pPr>
        <w:pStyle w:val="BodyText"/>
        <w:rPr>
          <w:b/>
          <w:szCs w:val="24"/>
        </w:rPr>
      </w:pPr>
      <w:r>
        <w:rPr>
          <w:b/>
          <w:szCs w:val="24"/>
        </w:rPr>
        <w:t>EIA Response:</w:t>
      </w:r>
    </w:p>
    <w:p w:rsidR="00C37F42" w:rsidRDefault="00C37F42" w:rsidP="00C37F42">
      <w:pPr>
        <w:pStyle w:val="BodyText"/>
        <w:rPr>
          <w:b/>
          <w:szCs w:val="24"/>
        </w:rPr>
      </w:pPr>
    </w:p>
    <w:p w:rsidR="00C37F42" w:rsidRDefault="00C37F42" w:rsidP="00C37F42">
      <w:pPr>
        <w:pStyle w:val="BodyText"/>
        <w:rPr>
          <w:szCs w:val="24"/>
        </w:rPr>
      </w:pPr>
      <w:r>
        <w:rPr>
          <w:szCs w:val="24"/>
        </w:rPr>
        <w:t xml:space="preserve">EIA is working to enhance the reporting capability of its collection web portal </w:t>
      </w:r>
      <w:r w:rsidRPr="000A2A7B">
        <w:rPr>
          <w:szCs w:val="24"/>
        </w:rPr>
        <w:t>to increase the usefulness and clarity of the reports.</w:t>
      </w:r>
    </w:p>
    <w:p w:rsidR="00C37F42" w:rsidRDefault="00C37F42" w:rsidP="00C37F42">
      <w:pPr>
        <w:pStyle w:val="BodyText"/>
        <w:rPr>
          <w:b/>
          <w:szCs w:val="24"/>
        </w:rPr>
      </w:pPr>
    </w:p>
    <w:p w:rsidR="00C37F42" w:rsidRDefault="00C37F42" w:rsidP="00C37F42">
      <w:pPr>
        <w:pStyle w:val="BodyText"/>
        <w:rPr>
          <w:color w:val="FF0000"/>
          <w:szCs w:val="24"/>
        </w:rPr>
      </w:pPr>
    </w:p>
    <w:bookmarkEnd w:id="104"/>
    <w:bookmarkEnd w:id="105"/>
    <w:bookmarkEnd w:id="106"/>
    <w:bookmarkEnd w:id="107"/>
    <w:bookmarkEnd w:id="108"/>
    <w:bookmarkEnd w:id="109"/>
    <w:p w:rsidR="002557DA" w:rsidRDefault="002557DA" w:rsidP="00C37F42">
      <w:pPr>
        <w:ind w:right="-720"/>
        <w:rPr>
          <w:b/>
          <w:szCs w:val="24"/>
          <w:u w:val="single"/>
        </w:rPr>
      </w:pPr>
    </w:p>
    <w:p w:rsidR="00C37F42" w:rsidRDefault="00C37F42" w:rsidP="00C37F42">
      <w:pPr>
        <w:ind w:right="-720"/>
        <w:rPr>
          <w:b/>
          <w:sz w:val="24"/>
          <w:szCs w:val="24"/>
          <w:u w:val="single"/>
        </w:rPr>
      </w:pPr>
      <w:r w:rsidRPr="003102AF">
        <w:rPr>
          <w:b/>
          <w:szCs w:val="24"/>
          <w:u w:val="single"/>
        </w:rPr>
        <w:t>W</w:t>
      </w:r>
      <w:r w:rsidRPr="003102AF">
        <w:rPr>
          <w:b/>
          <w:sz w:val="24"/>
          <w:szCs w:val="24"/>
          <w:u w:val="single"/>
        </w:rPr>
        <w:t>ays to minimize burden</w:t>
      </w:r>
    </w:p>
    <w:p w:rsidR="00C37F42" w:rsidRDefault="00C37F42" w:rsidP="00C37F42">
      <w:pPr>
        <w:ind w:right="-720"/>
        <w:rPr>
          <w:b/>
          <w:sz w:val="24"/>
          <w:szCs w:val="24"/>
          <w:u w:val="single"/>
        </w:rPr>
      </w:pP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Default="00C37F42" w:rsidP="00C37F42">
      <w:pPr>
        <w:pStyle w:val="BodyText"/>
        <w:rPr>
          <w:szCs w:val="24"/>
        </w:rPr>
      </w:pPr>
      <w:r w:rsidRPr="00245A10">
        <w:rPr>
          <w:szCs w:val="24"/>
        </w:rPr>
        <w:t>There really needs to be some type of me</w:t>
      </w:r>
      <w:r>
        <w:rPr>
          <w:szCs w:val="24"/>
        </w:rPr>
        <w:t xml:space="preserve">chanism to allow the individual </w:t>
      </w:r>
      <w:r w:rsidRPr="00245A10">
        <w:rPr>
          <w:szCs w:val="24"/>
        </w:rPr>
        <w:t>filing the report to edit their data for any given campaign up to the point of</w:t>
      </w:r>
      <w:r>
        <w:rPr>
          <w:szCs w:val="24"/>
        </w:rPr>
        <w:t xml:space="preserve"> </w:t>
      </w:r>
      <w:r w:rsidRPr="00245A10">
        <w:rPr>
          <w:szCs w:val="24"/>
        </w:rPr>
        <w:t>the deadline. Having to submit a case and then re-enter all values for the</w:t>
      </w:r>
      <w:r>
        <w:rPr>
          <w:szCs w:val="24"/>
        </w:rPr>
        <w:t xml:space="preserve"> </w:t>
      </w:r>
      <w:r w:rsidRPr="00245A10">
        <w:rPr>
          <w:szCs w:val="24"/>
        </w:rPr>
        <w:t>entire quarter is quite time consuming if you simply needed to correct one</w:t>
      </w:r>
      <w:r>
        <w:rPr>
          <w:szCs w:val="24"/>
        </w:rPr>
        <w:t xml:space="preserve"> </w:t>
      </w:r>
      <w:r w:rsidRPr="00245A10">
        <w:rPr>
          <w:szCs w:val="24"/>
        </w:rPr>
        <w:t>data entry. Every effort is made to have the data verified but mistakes do</w:t>
      </w:r>
      <w:r>
        <w:rPr>
          <w:szCs w:val="24"/>
        </w:rPr>
        <w:t xml:space="preserve"> </w:t>
      </w:r>
      <w:r w:rsidRPr="00245A10">
        <w:rPr>
          <w:szCs w:val="24"/>
        </w:rPr>
        <w:t>occur.</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The ability to save a data entry session and return to it later is a functionality on our list of improvements.</w:t>
      </w:r>
    </w:p>
    <w:p w:rsidR="00C37F42" w:rsidRDefault="00C37F42" w:rsidP="00C37F42">
      <w:pPr>
        <w:pStyle w:val="BodyText"/>
        <w:rPr>
          <w:szCs w:val="24"/>
        </w:rPr>
      </w:pPr>
    </w:p>
    <w:p w:rsidR="00C37F42" w:rsidRDefault="00C37F42" w:rsidP="00C37F42">
      <w:pPr>
        <w:pStyle w:val="BodyText"/>
        <w:rPr>
          <w:szCs w:val="24"/>
        </w:rPr>
      </w:pPr>
    </w:p>
    <w:p w:rsidR="002557DA" w:rsidRDefault="002557DA">
      <w:pPr>
        <w:rPr>
          <w:b/>
          <w:sz w:val="24"/>
          <w:szCs w:val="24"/>
        </w:rPr>
      </w:pPr>
      <w:r>
        <w:rPr>
          <w:b/>
          <w:szCs w:val="24"/>
        </w:rPr>
        <w:br w:type="page"/>
      </w:r>
    </w:p>
    <w:p w:rsidR="00C37F42" w:rsidRDefault="00C37F42" w:rsidP="00C37F42">
      <w:pPr>
        <w:pStyle w:val="BodyText"/>
        <w:rPr>
          <w:szCs w:val="24"/>
        </w:rPr>
      </w:pPr>
      <w:r w:rsidRPr="008B1B9E">
        <w:rPr>
          <w:b/>
          <w:szCs w:val="24"/>
        </w:rPr>
        <w:t>Comment:</w:t>
      </w:r>
    </w:p>
    <w:p w:rsidR="00C37F42" w:rsidRDefault="00C37F42" w:rsidP="00C37F42">
      <w:pPr>
        <w:pStyle w:val="BodyText"/>
        <w:rPr>
          <w:szCs w:val="24"/>
        </w:rPr>
      </w:pPr>
    </w:p>
    <w:p w:rsidR="00C37F42" w:rsidRDefault="00C37F42" w:rsidP="00C37F42">
      <w:pPr>
        <w:pStyle w:val="BodyText"/>
        <w:rPr>
          <w:szCs w:val="24"/>
        </w:rPr>
      </w:pPr>
      <w:r w:rsidRPr="00E36077">
        <w:rPr>
          <w:szCs w:val="24"/>
        </w:rPr>
        <w:t>The emails and phone calls from EIA regarding the upcoming deadlines are time consuming. Each time we receive a phone call, we have to go back</w:t>
      </w:r>
      <w:r>
        <w:rPr>
          <w:szCs w:val="24"/>
        </w:rPr>
        <w:t xml:space="preserve"> </w:t>
      </w:r>
      <w:r w:rsidRPr="00E36077">
        <w:rPr>
          <w:szCs w:val="24"/>
        </w:rPr>
        <w:t>and double check that the report was in fact submitted. This takes</w:t>
      </w:r>
      <w:r>
        <w:rPr>
          <w:szCs w:val="24"/>
        </w:rPr>
        <w:t xml:space="preserve"> </w:t>
      </w:r>
      <w:r w:rsidRPr="00E36077">
        <w:rPr>
          <w:szCs w:val="24"/>
        </w:rPr>
        <w:t>unnecessary time. I guess I could liken it to filing your taxes, you as the</w:t>
      </w:r>
      <w:r>
        <w:rPr>
          <w:szCs w:val="24"/>
        </w:rPr>
        <w:t xml:space="preserve"> </w:t>
      </w:r>
      <w:r w:rsidRPr="00E36077">
        <w:rPr>
          <w:szCs w:val="24"/>
        </w:rPr>
        <w:t>individual are aware of the deadline and the assumption should be made that</w:t>
      </w:r>
      <w:r>
        <w:rPr>
          <w:szCs w:val="24"/>
        </w:rPr>
        <w:t xml:space="preserve"> </w:t>
      </w:r>
      <w:r w:rsidRPr="00E36077">
        <w:rPr>
          <w:szCs w:val="24"/>
        </w:rPr>
        <w:t>you will adhere to it without the reminders….or the reminders of the</w:t>
      </w:r>
      <w:r>
        <w:rPr>
          <w:szCs w:val="24"/>
        </w:rPr>
        <w:t xml:space="preserve"> </w:t>
      </w:r>
      <w:r w:rsidRPr="00E36077">
        <w:rPr>
          <w:szCs w:val="24"/>
        </w:rPr>
        <w:t>upcoming deadline after you have already submitted the campaign in</w:t>
      </w:r>
      <w:r>
        <w:rPr>
          <w:szCs w:val="24"/>
        </w:rPr>
        <w:t xml:space="preserve"> </w:t>
      </w:r>
      <w:r w:rsidRPr="00E36077">
        <w:rPr>
          <w:szCs w:val="24"/>
        </w:rPr>
        <w:t>question.</w:t>
      </w:r>
    </w:p>
    <w:p w:rsidR="00C37F42" w:rsidRDefault="00C37F42" w:rsidP="00C37F42">
      <w:pPr>
        <w:pStyle w:val="BodyText"/>
        <w:rPr>
          <w:color w:val="FF0000"/>
          <w:szCs w:val="24"/>
        </w:rPr>
      </w:pPr>
    </w:p>
    <w:p w:rsidR="00C37F42" w:rsidRDefault="005A4772" w:rsidP="00C37F42">
      <w:pPr>
        <w:pStyle w:val="BodyText"/>
        <w:rPr>
          <w:szCs w:val="24"/>
        </w:rPr>
      </w:pPr>
      <w:r>
        <w:rPr>
          <w:b/>
          <w:szCs w:val="24"/>
        </w:rPr>
        <w:t>EIA Response:</w:t>
      </w:r>
      <w:r w:rsidR="00C37F42" w:rsidRPr="008B1B9E">
        <w:rPr>
          <w:szCs w:val="24"/>
        </w:rPr>
        <w:t xml:space="preserve">  </w:t>
      </w:r>
    </w:p>
    <w:p w:rsidR="00C37F42" w:rsidRDefault="00C37F42" w:rsidP="00C37F42">
      <w:pPr>
        <w:pStyle w:val="BodyText"/>
        <w:rPr>
          <w:szCs w:val="24"/>
        </w:rPr>
      </w:pPr>
    </w:p>
    <w:p w:rsidR="00C37F42" w:rsidRDefault="00C37F42" w:rsidP="00C37F42">
      <w:pPr>
        <w:pStyle w:val="BodyText"/>
        <w:rPr>
          <w:szCs w:val="24"/>
        </w:rPr>
      </w:pPr>
      <w:r>
        <w:rPr>
          <w:szCs w:val="24"/>
        </w:rPr>
        <w:t>EIA will review its communications procedures.</w:t>
      </w:r>
    </w:p>
    <w:p w:rsidR="00C37F42" w:rsidRDefault="00C37F42" w:rsidP="00C37F42">
      <w:pPr>
        <w:pStyle w:val="BodyText"/>
        <w:rPr>
          <w:szCs w:val="24"/>
        </w:rPr>
      </w:pPr>
    </w:p>
    <w:p w:rsidR="00C37F42" w:rsidRPr="00583461" w:rsidRDefault="00C37F42"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sectPr w:rsidR="00C37F42" w:rsidRPr="00583461" w:rsidSect="003D0187">
      <w:headerReference w:type="default" r:id="rId19"/>
      <w:footerReference w:type="even" r:id="rId20"/>
      <w:headerReference w:type="first" r:id="rId21"/>
      <w:footerReference w:type="first" r:id="rId22"/>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9F" w:rsidRDefault="00CE409F">
      <w:r>
        <w:separator/>
      </w:r>
    </w:p>
  </w:endnote>
  <w:endnote w:type="continuationSeparator" w:id="0">
    <w:p w:rsidR="00CE409F" w:rsidRDefault="00CE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C6" w:rsidRDefault="00E51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776913"/>
      <w:docPartObj>
        <w:docPartGallery w:val="Page Numbers (Bottom of Page)"/>
        <w:docPartUnique/>
      </w:docPartObj>
    </w:sdtPr>
    <w:sdtEndPr/>
    <w:sdtContent>
      <w:p w:rsidR="002B2D4D" w:rsidRPr="002B2D4D" w:rsidRDefault="002B2D4D" w:rsidP="002B2D4D">
        <w:pPr>
          <w:tabs>
            <w:tab w:val="center" w:pos="4320"/>
            <w:tab w:val="right" w:pos="8640"/>
          </w:tabs>
        </w:pPr>
        <w:r w:rsidRPr="002B2D4D">
          <w:t xml:space="preserve">                       </w:t>
        </w:r>
        <w:r w:rsidRPr="002B2D4D">
          <w:rPr>
            <w:rFonts w:eastAsiaTheme="minorHAnsi" w:cstheme="minorBidi"/>
            <w:szCs w:val="22"/>
          </w:rPr>
          <w:t xml:space="preserve">2015 “Quarterly Electricity Imports and Exports Report” Supporting Statement, Part </w:t>
        </w:r>
        <w:r w:rsidR="00E518C6">
          <w:rPr>
            <w:rFonts w:eastAsiaTheme="minorHAnsi" w:cstheme="minorBidi"/>
            <w:szCs w:val="22"/>
          </w:rPr>
          <w:t>A</w:t>
        </w:r>
        <w:bookmarkStart w:id="0" w:name="_GoBack"/>
        <w:bookmarkEnd w:id="0"/>
        <w:r w:rsidR="002557DA">
          <w:rPr>
            <w:rFonts w:eastAsiaTheme="minorHAnsi" w:cstheme="minorBidi"/>
            <w:szCs w:val="22"/>
          </w:rPr>
          <w:t xml:space="preserve">        </w:t>
        </w:r>
        <w:r w:rsidRPr="002B2D4D">
          <w:rPr>
            <w:rFonts w:eastAsiaTheme="minorHAnsi" w:cstheme="minorBidi"/>
            <w:szCs w:val="22"/>
          </w:rPr>
          <w:t xml:space="preserve">  Page | </w:t>
        </w:r>
        <w:r w:rsidR="00712E56">
          <w:rPr>
            <w:rFonts w:eastAsiaTheme="minorHAnsi" w:cstheme="minorBidi"/>
            <w:szCs w:val="22"/>
          </w:rPr>
          <w:fldChar w:fldCharType="begin"/>
        </w:r>
        <w:r w:rsidR="00712E56">
          <w:rPr>
            <w:rFonts w:eastAsiaTheme="minorHAnsi" w:cstheme="minorBidi"/>
            <w:szCs w:val="22"/>
          </w:rPr>
          <w:instrText xml:space="preserve"> PAGE   \* MERGEFORMAT </w:instrText>
        </w:r>
        <w:r w:rsidR="00712E56">
          <w:rPr>
            <w:rFonts w:eastAsiaTheme="minorHAnsi" w:cstheme="minorBidi"/>
            <w:szCs w:val="22"/>
          </w:rPr>
          <w:fldChar w:fldCharType="separate"/>
        </w:r>
        <w:r w:rsidR="00E518C6">
          <w:rPr>
            <w:rFonts w:eastAsiaTheme="minorHAnsi" w:cstheme="minorBidi"/>
            <w:noProof/>
            <w:szCs w:val="22"/>
          </w:rPr>
          <w:t>1</w:t>
        </w:r>
        <w:r w:rsidR="00712E56">
          <w:rPr>
            <w:rFonts w:eastAsiaTheme="minorHAnsi" w:cstheme="minorBidi"/>
            <w:szCs w:val="22"/>
          </w:rPr>
          <w:fldChar w:fldCharType="end"/>
        </w:r>
        <w:r w:rsidRPr="002B2D4D">
          <w:t xml:space="preserve"> </w:t>
        </w:r>
      </w:p>
    </w:sdtContent>
  </w:sdt>
  <w:p w:rsidR="002B2D4D" w:rsidRDefault="002B2D4D">
    <w:pPr>
      <w:ind w:right="360"/>
    </w:pPr>
    <w:r w:rsidDel="002B2D4D">
      <w:t xml:space="preserve"> </w:t>
    </w:r>
  </w:p>
  <w:p w:rsidR="00644504" w:rsidRDefault="002B2D4D" w:rsidP="003D41E8">
    <w:pPr>
      <w:tabs>
        <w:tab w:val="left" w:pos="1965"/>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C6" w:rsidRDefault="00E518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0A" w:rsidRDefault="0078760A" w:rsidP="00A35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60A" w:rsidRDefault="0078760A" w:rsidP="00C72294">
    <w:pPr>
      <w:pStyle w:val="Footer"/>
      <w:ind w:right="360"/>
    </w:pPr>
  </w:p>
  <w:p w:rsidR="008D4B19" w:rsidRDefault="008D4B1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523329"/>
      <w:docPartObj>
        <w:docPartGallery w:val="Page Numbers (Bottom of Page)"/>
        <w:docPartUnique/>
      </w:docPartObj>
    </w:sdtPr>
    <w:sdtEndPr/>
    <w:sdtContent>
      <w:p w:rsidR="002F7068" w:rsidRPr="002B2D4D" w:rsidRDefault="002F7068" w:rsidP="002F7068">
        <w:pPr>
          <w:tabs>
            <w:tab w:val="center" w:pos="4320"/>
            <w:tab w:val="right" w:pos="8640"/>
          </w:tabs>
        </w:pPr>
        <w:r w:rsidRPr="002B2D4D">
          <w:t xml:space="preserve">                       </w:t>
        </w:r>
        <w:r w:rsidRPr="002B2D4D">
          <w:rPr>
            <w:rFonts w:eastAsiaTheme="minorHAnsi" w:cstheme="minorBidi"/>
            <w:szCs w:val="22"/>
          </w:rPr>
          <w:t>2015 “Quarterly Electricity Imports and Exports Report” Supporting Statement, Part B</w:t>
        </w:r>
        <w:r>
          <w:rPr>
            <w:rFonts w:eastAsiaTheme="minorHAnsi" w:cstheme="minorBidi"/>
            <w:szCs w:val="22"/>
          </w:rPr>
          <w:t xml:space="preserve">        </w:t>
        </w:r>
        <w:r w:rsidRPr="002B2D4D">
          <w:rPr>
            <w:rFonts w:eastAsiaTheme="minorHAnsi" w:cstheme="minorBidi"/>
            <w:szCs w:val="22"/>
          </w:rPr>
          <w:t xml:space="preserve">  Page | </w:t>
        </w:r>
        <w:r>
          <w:rPr>
            <w:rFonts w:eastAsiaTheme="minorHAnsi" w:cstheme="minorBidi"/>
            <w:szCs w:val="22"/>
          </w:rPr>
          <w:fldChar w:fldCharType="begin"/>
        </w:r>
        <w:r>
          <w:rPr>
            <w:rFonts w:eastAsiaTheme="minorHAnsi" w:cstheme="minorBidi"/>
            <w:szCs w:val="22"/>
          </w:rPr>
          <w:instrText xml:space="preserve"> PAGE   \* MERGEFORMAT </w:instrText>
        </w:r>
        <w:r>
          <w:rPr>
            <w:rFonts w:eastAsiaTheme="minorHAnsi" w:cstheme="minorBidi"/>
            <w:szCs w:val="22"/>
          </w:rPr>
          <w:fldChar w:fldCharType="separate"/>
        </w:r>
        <w:r w:rsidR="00E518C6">
          <w:rPr>
            <w:rFonts w:eastAsiaTheme="minorHAnsi" w:cstheme="minorBidi"/>
            <w:noProof/>
            <w:szCs w:val="22"/>
          </w:rPr>
          <w:t>2</w:t>
        </w:r>
        <w:r>
          <w:rPr>
            <w:rFonts w:eastAsiaTheme="minorHAnsi" w:cstheme="minorBidi"/>
            <w:szCs w:val="22"/>
          </w:rPr>
          <w:fldChar w:fldCharType="end"/>
        </w:r>
        <w:r w:rsidRPr="002B2D4D">
          <w:t xml:space="preserve"> </w:t>
        </w:r>
      </w:p>
    </w:sdtContent>
  </w:sdt>
  <w:p w:rsidR="008101E9" w:rsidRDefault="00712E56">
    <w:pPr>
      <w:pStyle w:val="Footer"/>
    </w:pPr>
    <w:r w:rsidRPr="00712E56" w:rsidDel="002B2D4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9F" w:rsidRDefault="00CE409F">
      <w:r>
        <w:separator/>
      </w:r>
    </w:p>
  </w:footnote>
  <w:footnote w:type="continuationSeparator" w:id="0">
    <w:p w:rsidR="00CE409F" w:rsidRDefault="00CE409F">
      <w:r>
        <w:continuationSeparator/>
      </w:r>
    </w:p>
  </w:footnote>
  <w:footnote w:id="1">
    <w:p w:rsidR="0078760A" w:rsidRDefault="0078760A">
      <w:pPr>
        <w:pStyle w:val="FootnoteText"/>
      </w:pPr>
      <w:r w:rsidRPr="00736BD9">
        <w:rPr>
          <w:rStyle w:val="FootnoteReference"/>
        </w:rPr>
        <w:footnoteRef/>
      </w:r>
      <w:r w:rsidRPr="00736BD9">
        <w:t xml:space="preserve"> Pick-lists are sometimes referred to as “drop-down” lists because of the typical appearance of the list in a software application.</w:t>
      </w:r>
    </w:p>
  </w:footnote>
  <w:footnote w:id="2">
    <w:p w:rsidR="0078760A" w:rsidRDefault="0078760A" w:rsidP="00DD50F6">
      <w:pPr>
        <w:pStyle w:val="FootnoteText"/>
      </w:pPr>
      <w:r>
        <w:rPr>
          <w:rStyle w:val="FootnoteReference"/>
        </w:rPr>
        <w:footnoteRef/>
      </w:r>
      <w:r>
        <w:t xml:space="preserve"> The current estimate of the hourly rate for an EIA employee is</w:t>
      </w:r>
      <w:r w:rsidRPr="00B928C4">
        <w:t xml:space="preserve"> </w:t>
      </w:r>
      <w:r w:rsidR="00A26F28">
        <w:t>$</w:t>
      </w:r>
      <w:r w:rsidR="002E7515">
        <w:t>71.97</w:t>
      </w:r>
      <w:r w:rsidRPr="00B928C4">
        <w:t>/hour</w:t>
      </w:r>
      <w:r>
        <w:t xml:space="preserve">.  Assuming 2,100 hours per </w:t>
      </w:r>
      <w:r w:rsidRPr="00B928C4">
        <w:t>year</w:t>
      </w:r>
      <w:r>
        <w:t xml:space="preserve"> the annual cost </w:t>
      </w:r>
      <w:r w:rsidRPr="00B928C4">
        <w:t xml:space="preserve">is </w:t>
      </w:r>
      <w:r w:rsidR="00A26F28" w:rsidRPr="00A26F28">
        <w:t>$</w:t>
      </w:r>
      <w:r w:rsidR="002E7515">
        <w:t>151,137</w:t>
      </w:r>
      <w:r>
        <w:t xml:space="preserve">, of which </w:t>
      </w:r>
      <w:r w:rsidRPr="00B928C4">
        <w:t>80</w:t>
      </w:r>
      <w:r w:rsidRPr="00A26F28">
        <w:t>% is $</w:t>
      </w:r>
      <w:r w:rsidR="002E7515">
        <w:t>120,910</w:t>
      </w:r>
      <w:r w:rsidRPr="00B928C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C6" w:rsidRDefault="00E51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C6" w:rsidRDefault="00E51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C6" w:rsidRDefault="00E518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66" w:rsidRDefault="00FF11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0A" w:rsidRDefault="0078760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
    <w:nsid w:val="04D33CA1"/>
    <w:multiLevelType w:val="hybridMultilevel"/>
    <w:tmpl w:val="7D20B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1354BF"/>
    <w:multiLevelType w:val="hybridMultilevel"/>
    <w:tmpl w:val="FA1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F3102"/>
    <w:multiLevelType w:val="hybridMultilevel"/>
    <w:tmpl w:val="C37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82003"/>
    <w:multiLevelType w:val="hybridMultilevel"/>
    <w:tmpl w:val="B3E4E856"/>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6451A"/>
    <w:multiLevelType w:val="hybridMultilevel"/>
    <w:tmpl w:val="61D6DD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23B1A31"/>
    <w:multiLevelType w:val="hybridMultilevel"/>
    <w:tmpl w:val="E7D6A064"/>
    <w:lvl w:ilvl="0" w:tplc="D89A094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A5B486CA">
      <w:start w:val="1"/>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5E2"/>
    <w:multiLevelType w:val="hybridMultilevel"/>
    <w:tmpl w:val="EF041B9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D97B34"/>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9">
    <w:nsid w:val="1FB92AB9"/>
    <w:multiLevelType w:val="multilevel"/>
    <w:tmpl w:val="5FD24E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12C3BC1"/>
    <w:multiLevelType w:val="hybridMultilevel"/>
    <w:tmpl w:val="696A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E64687"/>
    <w:multiLevelType w:val="hybridMultilevel"/>
    <w:tmpl w:val="B7F6CE1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082778"/>
    <w:multiLevelType w:val="hybridMultilevel"/>
    <w:tmpl w:val="238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6304E"/>
    <w:multiLevelType w:val="hybridMultilevel"/>
    <w:tmpl w:val="A642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521872"/>
    <w:multiLevelType w:val="hybridMultilevel"/>
    <w:tmpl w:val="EFAC5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FC72B61"/>
    <w:multiLevelType w:val="hybridMultilevel"/>
    <w:tmpl w:val="CDB2D6F8"/>
    <w:lvl w:ilvl="0" w:tplc="82C08DF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3145D6"/>
    <w:multiLevelType w:val="hybridMultilevel"/>
    <w:tmpl w:val="5948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F1A23"/>
    <w:multiLevelType w:val="hybridMultilevel"/>
    <w:tmpl w:val="AA10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265DB"/>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2">
    <w:nsid w:val="38E5587E"/>
    <w:multiLevelType w:val="hybridMultilevel"/>
    <w:tmpl w:val="4E4E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C596C"/>
    <w:multiLevelType w:val="hybridMultilevel"/>
    <w:tmpl w:val="1604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25CB6"/>
    <w:multiLevelType w:val="hybridMultilevel"/>
    <w:tmpl w:val="107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8F6FF8"/>
    <w:multiLevelType w:val="hybridMultilevel"/>
    <w:tmpl w:val="BA02576C"/>
    <w:lvl w:ilvl="0" w:tplc="DC86979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7A7FD1"/>
    <w:multiLevelType w:val="hybridMultilevel"/>
    <w:tmpl w:val="9FFAA2D8"/>
    <w:lvl w:ilvl="0" w:tplc="04090011">
      <w:start w:val="1"/>
      <w:numFmt w:val="decimal"/>
      <w:lvlText w:val="%1)"/>
      <w:lvlJc w:val="left"/>
      <w:pPr>
        <w:tabs>
          <w:tab w:val="num" w:pos="1350"/>
        </w:tabs>
        <w:ind w:left="1350"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7">
    <w:nsid w:val="3EA50971"/>
    <w:multiLevelType w:val="hybridMultilevel"/>
    <w:tmpl w:val="CE84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EC01B53"/>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3F3C1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2BC6DD4"/>
    <w:multiLevelType w:val="hybridMultilevel"/>
    <w:tmpl w:val="D00C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1F2C1B"/>
    <w:multiLevelType w:val="hybridMultilevel"/>
    <w:tmpl w:val="6412A2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331704B"/>
    <w:multiLevelType w:val="hybridMultilevel"/>
    <w:tmpl w:val="7CE49F4E"/>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nsid w:val="43F3028E"/>
    <w:multiLevelType w:val="hybridMultilevel"/>
    <w:tmpl w:val="27786E66"/>
    <w:lvl w:ilvl="0" w:tplc="29D89B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4DF6899"/>
    <w:multiLevelType w:val="hybridMultilevel"/>
    <w:tmpl w:val="1FC05432"/>
    <w:lvl w:ilvl="0" w:tplc="04090011">
      <w:start w:val="1"/>
      <w:numFmt w:val="decimal"/>
      <w:lvlText w:val="%1)"/>
      <w:lvlJc w:val="left"/>
      <w:pPr>
        <w:tabs>
          <w:tab w:val="num" w:pos="1440"/>
        </w:tabs>
        <w:ind w:left="1440" w:hanging="360"/>
      </w:p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49D77F05"/>
    <w:multiLevelType w:val="hybridMultilevel"/>
    <w:tmpl w:val="1D4AE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AB358C"/>
    <w:multiLevelType w:val="hybridMultilevel"/>
    <w:tmpl w:val="125EE74A"/>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7">
    <w:nsid w:val="508256C3"/>
    <w:multiLevelType w:val="hybridMultilevel"/>
    <w:tmpl w:val="803CEBD4"/>
    <w:lvl w:ilvl="0" w:tplc="15B873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13828B8"/>
    <w:multiLevelType w:val="hybridMultilevel"/>
    <w:tmpl w:val="C5922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EE7E0B"/>
    <w:multiLevelType w:val="hybridMultilevel"/>
    <w:tmpl w:val="8D36D652"/>
    <w:lvl w:ilvl="0" w:tplc="2CA665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B80482C">
      <w:start w:val="1"/>
      <w:numFmt w:val="decimal"/>
      <w:lvlText w:val="(%3)"/>
      <w:lvlJc w:val="left"/>
      <w:pPr>
        <w:tabs>
          <w:tab w:val="num" w:pos="1980"/>
        </w:tabs>
        <w:ind w:left="1980" w:hanging="360"/>
      </w:pPr>
      <w:rPr>
        <w:rFonts w:hint="default"/>
      </w:rPr>
    </w:lvl>
    <w:lvl w:ilvl="3" w:tplc="1AE29856">
      <w:start w:val="3"/>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5AF41ACB"/>
    <w:multiLevelType w:val="hybridMultilevel"/>
    <w:tmpl w:val="14C2B700"/>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2">
    <w:nsid w:val="5B6A4942"/>
    <w:multiLevelType w:val="multilevel"/>
    <w:tmpl w:val="FB048E7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3">
    <w:nsid w:val="5D79232D"/>
    <w:multiLevelType w:val="hybridMultilevel"/>
    <w:tmpl w:val="3A52D770"/>
    <w:lvl w:ilvl="0" w:tplc="FB06C14E">
      <w:start w:val="1"/>
      <w:numFmt w:val="bullet"/>
      <w:lvlText w:val=""/>
      <w:lvlJc w:val="left"/>
      <w:pPr>
        <w:tabs>
          <w:tab w:val="num" w:pos="720"/>
        </w:tabs>
        <w:ind w:left="720" w:hanging="360"/>
      </w:pPr>
      <w:rPr>
        <w:rFonts w:ascii="Symbol" w:hAnsi="Symbol" w:hint="default"/>
        <w:color w:val="00000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5DE85C2A"/>
    <w:multiLevelType w:val="hybridMultilevel"/>
    <w:tmpl w:val="6C1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8F631A"/>
    <w:multiLevelType w:val="hybridMultilevel"/>
    <w:tmpl w:val="34561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FA5726"/>
    <w:multiLevelType w:val="hybridMultilevel"/>
    <w:tmpl w:val="27F2F78A"/>
    <w:lvl w:ilvl="0" w:tplc="9BE2A5D0">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6413670C"/>
    <w:multiLevelType w:val="hybridMultilevel"/>
    <w:tmpl w:val="FB048E7A"/>
    <w:lvl w:ilvl="0" w:tplc="6A6870D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8">
    <w:nsid w:val="64C22445"/>
    <w:multiLevelType w:val="hybridMultilevel"/>
    <w:tmpl w:val="28DE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9604A7"/>
    <w:multiLevelType w:val="hybridMultilevel"/>
    <w:tmpl w:val="BF4A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A402A0"/>
    <w:multiLevelType w:val="hybridMultilevel"/>
    <w:tmpl w:val="F9EC6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A43DAC"/>
    <w:multiLevelType w:val="hybridMultilevel"/>
    <w:tmpl w:val="6D3ADF34"/>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nsid w:val="75C67691"/>
    <w:multiLevelType w:val="hybridMultilevel"/>
    <w:tmpl w:val="C7C204DA"/>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4">
    <w:nsid w:val="776E7A12"/>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5">
    <w:nsid w:val="7C534AB3"/>
    <w:multiLevelType w:val="hybridMultilevel"/>
    <w:tmpl w:val="CC403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C6D3DCB"/>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7E514303"/>
    <w:multiLevelType w:val="multilevel"/>
    <w:tmpl w:val="1FC05432"/>
    <w:lvl w:ilvl="0">
      <w:start w:val="1"/>
      <w:numFmt w:val="decimal"/>
      <w:lvlText w:val="%1)"/>
      <w:lvlJc w:val="left"/>
      <w:pPr>
        <w:tabs>
          <w:tab w:val="num" w:pos="1368"/>
        </w:tabs>
        <w:ind w:left="1368"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F3278CC"/>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40"/>
  </w:num>
  <w:num w:numId="2">
    <w:abstractNumId w:val="17"/>
  </w:num>
  <w:num w:numId="3">
    <w:abstractNumId w:val="6"/>
  </w:num>
  <w:num w:numId="4">
    <w:abstractNumId w:val="13"/>
  </w:num>
  <w:num w:numId="5">
    <w:abstractNumId w:val="14"/>
  </w:num>
  <w:num w:numId="6">
    <w:abstractNumId w:val="46"/>
  </w:num>
  <w:num w:numId="7">
    <w:abstractNumId w:val="1"/>
  </w:num>
  <w:num w:numId="8">
    <w:abstractNumId w:val="15"/>
  </w:num>
  <w:num w:numId="9">
    <w:abstractNumId w:val="43"/>
  </w:num>
  <w:num w:numId="10">
    <w:abstractNumId w:val="34"/>
  </w:num>
  <w:num w:numId="11">
    <w:abstractNumId w:val="26"/>
  </w:num>
  <w:num w:numId="12">
    <w:abstractNumId w:val="52"/>
  </w:num>
  <w:num w:numId="13">
    <w:abstractNumId w:val="7"/>
  </w:num>
  <w:num w:numId="14">
    <w:abstractNumId w:val="27"/>
  </w:num>
  <w:num w:numId="15">
    <w:abstractNumId w:val="55"/>
  </w:num>
  <w:num w:numId="16">
    <w:abstractNumId w:val="35"/>
  </w:num>
  <w:num w:numId="17">
    <w:abstractNumId w:val="51"/>
  </w:num>
  <w:num w:numId="18">
    <w:abstractNumId w:val="30"/>
  </w:num>
  <w:num w:numId="19">
    <w:abstractNumId w:val="10"/>
  </w:num>
  <w:num w:numId="20">
    <w:abstractNumId w:val="11"/>
  </w:num>
  <w:num w:numId="21">
    <w:abstractNumId w:val="16"/>
  </w:num>
  <w:num w:numId="22">
    <w:abstractNumId w:val="37"/>
  </w:num>
  <w:num w:numId="23">
    <w:abstractNumId w:val="33"/>
  </w:num>
  <w:num w:numId="24">
    <w:abstractNumId w:val="31"/>
  </w:num>
  <w:num w:numId="25">
    <w:abstractNumId w:val="9"/>
  </w:num>
  <w:num w:numId="26">
    <w:abstractNumId w:val="28"/>
  </w:num>
  <w:num w:numId="27">
    <w:abstractNumId w:val="47"/>
  </w:num>
  <w:num w:numId="28">
    <w:abstractNumId w:val="56"/>
  </w:num>
  <w:num w:numId="29">
    <w:abstractNumId w:val="42"/>
  </w:num>
  <w:num w:numId="30">
    <w:abstractNumId w:val="25"/>
  </w:num>
  <w:num w:numId="31">
    <w:abstractNumId w:val="57"/>
  </w:num>
  <w:num w:numId="32">
    <w:abstractNumId w:val="4"/>
  </w:num>
  <w:num w:numId="33">
    <w:abstractNumId w:val="21"/>
  </w:num>
  <w:num w:numId="34">
    <w:abstractNumId w:val="41"/>
  </w:num>
  <w:num w:numId="35">
    <w:abstractNumId w:val="54"/>
  </w:num>
  <w:num w:numId="36">
    <w:abstractNumId w:val="36"/>
  </w:num>
  <w:num w:numId="37">
    <w:abstractNumId w:val="58"/>
  </w:num>
  <w:num w:numId="38">
    <w:abstractNumId w:val="53"/>
  </w:num>
  <w:num w:numId="39">
    <w:abstractNumId w:val="8"/>
  </w:num>
  <w:num w:numId="40">
    <w:abstractNumId w:val="3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38"/>
  </w:num>
  <w:num w:numId="44">
    <w:abstractNumId w:val="3"/>
  </w:num>
  <w:num w:numId="45">
    <w:abstractNumId w:val="45"/>
  </w:num>
  <w:num w:numId="46">
    <w:abstractNumId w:val="44"/>
  </w:num>
  <w:num w:numId="47">
    <w:abstractNumId w:val="12"/>
  </w:num>
  <w:num w:numId="48">
    <w:abstractNumId w:val="20"/>
  </w:num>
  <w:num w:numId="49">
    <w:abstractNumId w:val="18"/>
  </w:num>
  <w:num w:numId="50">
    <w:abstractNumId w:val="39"/>
  </w:num>
  <w:num w:numId="51">
    <w:abstractNumId w:val="48"/>
  </w:num>
  <w:num w:numId="52">
    <w:abstractNumId w:val="22"/>
  </w:num>
  <w:num w:numId="53">
    <w:abstractNumId w:val="19"/>
  </w:num>
  <w:num w:numId="54">
    <w:abstractNumId w:val="24"/>
  </w:num>
  <w:num w:numId="55">
    <w:abstractNumId w:val="49"/>
  </w:num>
  <w:num w:numId="56">
    <w:abstractNumId w:val="23"/>
  </w:num>
  <w:num w:numId="57">
    <w:abstractNumId w:val="29"/>
  </w:num>
  <w:num w:numId="58">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78"/>
    <w:rsid w:val="000003B9"/>
    <w:rsid w:val="0000050D"/>
    <w:rsid w:val="00001A0B"/>
    <w:rsid w:val="00002786"/>
    <w:rsid w:val="00002DDA"/>
    <w:rsid w:val="00003435"/>
    <w:rsid w:val="00003A0F"/>
    <w:rsid w:val="00004CB5"/>
    <w:rsid w:val="00005DE6"/>
    <w:rsid w:val="00006825"/>
    <w:rsid w:val="000078DA"/>
    <w:rsid w:val="00007EE4"/>
    <w:rsid w:val="000103BE"/>
    <w:rsid w:val="000104BD"/>
    <w:rsid w:val="00010560"/>
    <w:rsid w:val="00010F0E"/>
    <w:rsid w:val="00011705"/>
    <w:rsid w:val="00011B70"/>
    <w:rsid w:val="000120F1"/>
    <w:rsid w:val="00012335"/>
    <w:rsid w:val="00012377"/>
    <w:rsid w:val="0001347C"/>
    <w:rsid w:val="00013530"/>
    <w:rsid w:val="00013581"/>
    <w:rsid w:val="00013859"/>
    <w:rsid w:val="00014634"/>
    <w:rsid w:val="00014C56"/>
    <w:rsid w:val="00016655"/>
    <w:rsid w:val="00017BB3"/>
    <w:rsid w:val="00017D82"/>
    <w:rsid w:val="00020F4A"/>
    <w:rsid w:val="00021A4F"/>
    <w:rsid w:val="00023353"/>
    <w:rsid w:val="00023429"/>
    <w:rsid w:val="00023CB9"/>
    <w:rsid w:val="00023E1E"/>
    <w:rsid w:val="00026153"/>
    <w:rsid w:val="00027C6B"/>
    <w:rsid w:val="000317DE"/>
    <w:rsid w:val="000318B5"/>
    <w:rsid w:val="00031DBC"/>
    <w:rsid w:val="00037410"/>
    <w:rsid w:val="000378E1"/>
    <w:rsid w:val="00037A46"/>
    <w:rsid w:val="000407EC"/>
    <w:rsid w:val="00040AC5"/>
    <w:rsid w:val="000413DD"/>
    <w:rsid w:val="00041EE2"/>
    <w:rsid w:val="0004248D"/>
    <w:rsid w:val="000429D5"/>
    <w:rsid w:val="00043344"/>
    <w:rsid w:val="000444AA"/>
    <w:rsid w:val="00045664"/>
    <w:rsid w:val="00045779"/>
    <w:rsid w:val="00045796"/>
    <w:rsid w:val="0004736E"/>
    <w:rsid w:val="00047C87"/>
    <w:rsid w:val="00047DE6"/>
    <w:rsid w:val="00047F9B"/>
    <w:rsid w:val="00050889"/>
    <w:rsid w:val="000516BB"/>
    <w:rsid w:val="00051DC1"/>
    <w:rsid w:val="00053079"/>
    <w:rsid w:val="0005442D"/>
    <w:rsid w:val="000549E0"/>
    <w:rsid w:val="00055E99"/>
    <w:rsid w:val="00056759"/>
    <w:rsid w:val="000575F5"/>
    <w:rsid w:val="00057633"/>
    <w:rsid w:val="000579F7"/>
    <w:rsid w:val="00060799"/>
    <w:rsid w:val="0006101F"/>
    <w:rsid w:val="00061D00"/>
    <w:rsid w:val="000622D3"/>
    <w:rsid w:val="000622FA"/>
    <w:rsid w:val="000623B7"/>
    <w:rsid w:val="00062E6A"/>
    <w:rsid w:val="00065040"/>
    <w:rsid w:val="00065452"/>
    <w:rsid w:val="000657A2"/>
    <w:rsid w:val="0006793C"/>
    <w:rsid w:val="00067F9A"/>
    <w:rsid w:val="00071EB4"/>
    <w:rsid w:val="00074EA7"/>
    <w:rsid w:val="00075132"/>
    <w:rsid w:val="000760FB"/>
    <w:rsid w:val="0007628D"/>
    <w:rsid w:val="00077CA9"/>
    <w:rsid w:val="00080DF6"/>
    <w:rsid w:val="00081496"/>
    <w:rsid w:val="000818BC"/>
    <w:rsid w:val="0008270C"/>
    <w:rsid w:val="00084C73"/>
    <w:rsid w:val="0008540B"/>
    <w:rsid w:val="00085916"/>
    <w:rsid w:val="00085BC9"/>
    <w:rsid w:val="00087FF5"/>
    <w:rsid w:val="00091706"/>
    <w:rsid w:val="00091730"/>
    <w:rsid w:val="00091EFE"/>
    <w:rsid w:val="000922E2"/>
    <w:rsid w:val="000923CD"/>
    <w:rsid w:val="00093EF0"/>
    <w:rsid w:val="00095676"/>
    <w:rsid w:val="0009667A"/>
    <w:rsid w:val="00097881"/>
    <w:rsid w:val="000A08CE"/>
    <w:rsid w:val="000A0C71"/>
    <w:rsid w:val="000A1F77"/>
    <w:rsid w:val="000A3069"/>
    <w:rsid w:val="000A4F99"/>
    <w:rsid w:val="000A5671"/>
    <w:rsid w:val="000A571D"/>
    <w:rsid w:val="000A689A"/>
    <w:rsid w:val="000A78CC"/>
    <w:rsid w:val="000A7F24"/>
    <w:rsid w:val="000B031A"/>
    <w:rsid w:val="000B03E4"/>
    <w:rsid w:val="000B03FB"/>
    <w:rsid w:val="000B0FA6"/>
    <w:rsid w:val="000B146A"/>
    <w:rsid w:val="000B168C"/>
    <w:rsid w:val="000B2576"/>
    <w:rsid w:val="000B41CF"/>
    <w:rsid w:val="000B4D71"/>
    <w:rsid w:val="000B581C"/>
    <w:rsid w:val="000B5DF8"/>
    <w:rsid w:val="000B70BD"/>
    <w:rsid w:val="000B752F"/>
    <w:rsid w:val="000B7ECE"/>
    <w:rsid w:val="000C0CA5"/>
    <w:rsid w:val="000C11EA"/>
    <w:rsid w:val="000C15F4"/>
    <w:rsid w:val="000C221A"/>
    <w:rsid w:val="000C246D"/>
    <w:rsid w:val="000C284F"/>
    <w:rsid w:val="000C2BCD"/>
    <w:rsid w:val="000C3729"/>
    <w:rsid w:val="000C3E92"/>
    <w:rsid w:val="000C3F9D"/>
    <w:rsid w:val="000C5D2A"/>
    <w:rsid w:val="000C6BC4"/>
    <w:rsid w:val="000C7C9B"/>
    <w:rsid w:val="000D0283"/>
    <w:rsid w:val="000D1C0F"/>
    <w:rsid w:val="000D2E31"/>
    <w:rsid w:val="000D30BC"/>
    <w:rsid w:val="000D3DD9"/>
    <w:rsid w:val="000D5400"/>
    <w:rsid w:val="000D56A2"/>
    <w:rsid w:val="000D5F6F"/>
    <w:rsid w:val="000D685E"/>
    <w:rsid w:val="000D7B02"/>
    <w:rsid w:val="000E16AA"/>
    <w:rsid w:val="000E215B"/>
    <w:rsid w:val="000E39E3"/>
    <w:rsid w:val="000E5DCF"/>
    <w:rsid w:val="000E6897"/>
    <w:rsid w:val="000E6ECB"/>
    <w:rsid w:val="000F000B"/>
    <w:rsid w:val="000F1C7C"/>
    <w:rsid w:val="000F2D20"/>
    <w:rsid w:val="000F3349"/>
    <w:rsid w:val="000F5442"/>
    <w:rsid w:val="000F56D3"/>
    <w:rsid w:val="000F6768"/>
    <w:rsid w:val="000F7825"/>
    <w:rsid w:val="00100FA9"/>
    <w:rsid w:val="00101654"/>
    <w:rsid w:val="00102ED8"/>
    <w:rsid w:val="00106E25"/>
    <w:rsid w:val="001107A5"/>
    <w:rsid w:val="00110AE5"/>
    <w:rsid w:val="0011243D"/>
    <w:rsid w:val="00116C57"/>
    <w:rsid w:val="00117A60"/>
    <w:rsid w:val="0012041C"/>
    <w:rsid w:val="00120D49"/>
    <w:rsid w:val="001218C1"/>
    <w:rsid w:val="0012286D"/>
    <w:rsid w:val="00122872"/>
    <w:rsid w:val="00123DC3"/>
    <w:rsid w:val="00125169"/>
    <w:rsid w:val="0012540E"/>
    <w:rsid w:val="00125FC6"/>
    <w:rsid w:val="001273C6"/>
    <w:rsid w:val="00127546"/>
    <w:rsid w:val="00130D8E"/>
    <w:rsid w:val="00130ECB"/>
    <w:rsid w:val="001328CD"/>
    <w:rsid w:val="00133154"/>
    <w:rsid w:val="00135152"/>
    <w:rsid w:val="00136359"/>
    <w:rsid w:val="001365DD"/>
    <w:rsid w:val="00136F8A"/>
    <w:rsid w:val="00137EE1"/>
    <w:rsid w:val="00140C15"/>
    <w:rsid w:val="0014156D"/>
    <w:rsid w:val="001419DA"/>
    <w:rsid w:val="00141FF9"/>
    <w:rsid w:val="00142E90"/>
    <w:rsid w:val="00143457"/>
    <w:rsid w:val="00143749"/>
    <w:rsid w:val="00143955"/>
    <w:rsid w:val="001455E6"/>
    <w:rsid w:val="001456DD"/>
    <w:rsid w:val="00146193"/>
    <w:rsid w:val="00147002"/>
    <w:rsid w:val="0014718A"/>
    <w:rsid w:val="00147449"/>
    <w:rsid w:val="00150064"/>
    <w:rsid w:val="00150D3A"/>
    <w:rsid w:val="00151427"/>
    <w:rsid w:val="00151574"/>
    <w:rsid w:val="00152D7B"/>
    <w:rsid w:val="00153979"/>
    <w:rsid w:val="00154533"/>
    <w:rsid w:val="001550D4"/>
    <w:rsid w:val="00155855"/>
    <w:rsid w:val="00155C60"/>
    <w:rsid w:val="0015621E"/>
    <w:rsid w:val="00156A8C"/>
    <w:rsid w:val="00157A1D"/>
    <w:rsid w:val="00157DD4"/>
    <w:rsid w:val="001600BF"/>
    <w:rsid w:val="0016010C"/>
    <w:rsid w:val="00160B1D"/>
    <w:rsid w:val="00161FAE"/>
    <w:rsid w:val="00162145"/>
    <w:rsid w:val="001634D4"/>
    <w:rsid w:val="00164B6A"/>
    <w:rsid w:val="00165228"/>
    <w:rsid w:val="001658A6"/>
    <w:rsid w:val="00165987"/>
    <w:rsid w:val="001668C5"/>
    <w:rsid w:val="0016782D"/>
    <w:rsid w:val="001703B8"/>
    <w:rsid w:val="00171ABE"/>
    <w:rsid w:val="0017270F"/>
    <w:rsid w:val="00173DB5"/>
    <w:rsid w:val="00177AAD"/>
    <w:rsid w:val="00180740"/>
    <w:rsid w:val="00182909"/>
    <w:rsid w:val="001832D7"/>
    <w:rsid w:val="001835EF"/>
    <w:rsid w:val="001835F5"/>
    <w:rsid w:val="00185A40"/>
    <w:rsid w:val="00185EAB"/>
    <w:rsid w:val="00187057"/>
    <w:rsid w:val="00190564"/>
    <w:rsid w:val="001916A5"/>
    <w:rsid w:val="00192C8D"/>
    <w:rsid w:val="00193CD9"/>
    <w:rsid w:val="00193D72"/>
    <w:rsid w:val="00194627"/>
    <w:rsid w:val="001960E2"/>
    <w:rsid w:val="00197D1C"/>
    <w:rsid w:val="001A0FA7"/>
    <w:rsid w:val="001A1E96"/>
    <w:rsid w:val="001A215F"/>
    <w:rsid w:val="001A30D1"/>
    <w:rsid w:val="001A5D38"/>
    <w:rsid w:val="001A643C"/>
    <w:rsid w:val="001A7EB2"/>
    <w:rsid w:val="001B0439"/>
    <w:rsid w:val="001B0FD7"/>
    <w:rsid w:val="001B26E9"/>
    <w:rsid w:val="001B3BA4"/>
    <w:rsid w:val="001B4E31"/>
    <w:rsid w:val="001B56C5"/>
    <w:rsid w:val="001B67FD"/>
    <w:rsid w:val="001B6C63"/>
    <w:rsid w:val="001B7FB8"/>
    <w:rsid w:val="001C09E7"/>
    <w:rsid w:val="001C1D06"/>
    <w:rsid w:val="001C274D"/>
    <w:rsid w:val="001C2E19"/>
    <w:rsid w:val="001C3C06"/>
    <w:rsid w:val="001C4594"/>
    <w:rsid w:val="001C4AA0"/>
    <w:rsid w:val="001C64DD"/>
    <w:rsid w:val="001C6B94"/>
    <w:rsid w:val="001C78B5"/>
    <w:rsid w:val="001C7B25"/>
    <w:rsid w:val="001C7CE3"/>
    <w:rsid w:val="001C7FA5"/>
    <w:rsid w:val="001D0EE6"/>
    <w:rsid w:val="001D0EE8"/>
    <w:rsid w:val="001D32F6"/>
    <w:rsid w:val="001D3C29"/>
    <w:rsid w:val="001D4D39"/>
    <w:rsid w:val="001D5385"/>
    <w:rsid w:val="001D53FA"/>
    <w:rsid w:val="001E14DC"/>
    <w:rsid w:val="001E2AD4"/>
    <w:rsid w:val="001E4145"/>
    <w:rsid w:val="001E44A5"/>
    <w:rsid w:val="001E4E99"/>
    <w:rsid w:val="001E5DEF"/>
    <w:rsid w:val="001E6256"/>
    <w:rsid w:val="001E7181"/>
    <w:rsid w:val="001E75C4"/>
    <w:rsid w:val="001F077B"/>
    <w:rsid w:val="001F0C7A"/>
    <w:rsid w:val="001F1F6A"/>
    <w:rsid w:val="001F40A7"/>
    <w:rsid w:val="001F7F61"/>
    <w:rsid w:val="002000CB"/>
    <w:rsid w:val="002004AC"/>
    <w:rsid w:val="002023CA"/>
    <w:rsid w:val="00202A99"/>
    <w:rsid w:val="00202F1A"/>
    <w:rsid w:val="00204310"/>
    <w:rsid w:val="0020446D"/>
    <w:rsid w:val="002047C9"/>
    <w:rsid w:val="00204981"/>
    <w:rsid w:val="00207CE3"/>
    <w:rsid w:val="00210267"/>
    <w:rsid w:val="00211A7D"/>
    <w:rsid w:val="002121BD"/>
    <w:rsid w:val="00212F39"/>
    <w:rsid w:val="00214128"/>
    <w:rsid w:val="002145FE"/>
    <w:rsid w:val="0021595F"/>
    <w:rsid w:val="002167B6"/>
    <w:rsid w:val="00217934"/>
    <w:rsid w:val="002209E0"/>
    <w:rsid w:val="00222972"/>
    <w:rsid w:val="0022526C"/>
    <w:rsid w:val="0022703C"/>
    <w:rsid w:val="002274AC"/>
    <w:rsid w:val="00227CFF"/>
    <w:rsid w:val="002307DB"/>
    <w:rsid w:val="00230905"/>
    <w:rsid w:val="00230A96"/>
    <w:rsid w:val="00230ABE"/>
    <w:rsid w:val="00230BA2"/>
    <w:rsid w:val="002332F3"/>
    <w:rsid w:val="00233BE2"/>
    <w:rsid w:val="00235652"/>
    <w:rsid w:val="00235A1B"/>
    <w:rsid w:val="00240F72"/>
    <w:rsid w:val="00241214"/>
    <w:rsid w:val="0024138C"/>
    <w:rsid w:val="0024200E"/>
    <w:rsid w:val="00242FD3"/>
    <w:rsid w:val="00243651"/>
    <w:rsid w:val="002444DF"/>
    <w:rsid w:val="00247A73"/>
    <w:rsid w:val="00247E70"/>
    <w:rsid w:val="00250B65"/>
    <w:rsid w:val="002515DE"/>
    <w:rsid w:val="00252397"/>
    <w:rsid w:val="00252474"/>
    <w:rsid w:val="00252D41"/>
    <w:rsid w:val="002557DA"/>
    <w:rsid w:val="002559F2"/>
    <w:rsid w:val="00255AEA"/>
    <w:rsid w:val="00255E7A"/>
    <w:rsid w:val="0025601B"/>
    <w:rsid w:val="0025631E"/>
    <w:rsid w:val="002563DE"/>
    <w:rsid w:val="0025661B"/>
    <w:rsid w:val="0025775F"/>
    <w:rsid w:val="00257EA0"/>
    <w:rsid w:val="00260A1F"/>
    <w:rsid w:val="00261811"/>
    <w:rsid w:val="00261E87"/>
    <w:rsid w:val="002622B0"/>
    <w:rsid w:val="00262481"/>
    <w:rsid w:val="0026248C"/>
    <w:rsid w:val="0026272D"/>
    <w:rsid w:val="0026283F"/>
    <w:rsid w:val="00262AAA"/>
    <w:rsid w:val="0026339D"/>
    <w:rsid w:val="00263927"/>
    <w:rsid w:val="00264031"/>
    <w:rsid w:val="002648C3"/>
    <w:rsid w:val="0026566A"/>
    <w:rsid w:val="002715E2"/>
    <w:rsid w:val="00271DBA"/>
    <w:rsid w:val="00272D7A"/>
    <w:rsid w:val="00273031"/>
    <w:rsid w:val="00273B31"/>
    <w:rsid w:val="00274893"/>
    <w:rsid w:val="0027511B"/>
    <w:rsid w:val="00275F60"/>
    <w:rsid w:val="00277478"/>
    <w:rsid w:val="00280256"/>
    <w:rsid w:val="002804FC"/>
    <w:rsid w:val="0028203D"/>
    <w:rsid w:val="00282934"/>
    <w:rsid w:val="00283A5F"/>
    <w:rsid w:val="00283FAD"/>
    <w:rsid w:val="0028523F"/>
    <w:rsid w:val="002875DF"/>
    <w:rsid w:val="00287AA0"/>
    <w:rsid w:val="00291063"/>
    <w:rsid w:val="002931E4"/>
    <w:rsid w:val="002938B6"/>
    <w:rsid w:val="0029426F"/>
    <w:rsid w:val="002946B2"/>
    <w:rsid w:val="002947C6"/>
    <w:rsid w:val="00294DE3"/>
    <w:rsid w:val="00295A75"/>
    <w:rsid w:val="00295B06"/>
    <w:rsid w:val="00296909"/>
    <w:rsid w:val="00296A6A"/>
    <w:rsid w:val="0029711E"/>
    <w:rsid w:val="0029772A"/>
    <w:rsid w:val="002A054E"/>
    <w:rsid w:val="002A1279"/>
    <w:rsid w:val="002A1B6A"/>
    <w:rsid w:val="002A3BCB"/>
    <w:rsid w:val="002A5091"/>
    <w:rsid w:val="002A5327"/>
    <w:rsid w:val="002A60B4"/>
    <w:rsid w:val="002A740C"/>
    <w:rsid w:val="002B2D4D"/>
    <w:rsid w:val="002B320C"/>
    <w:rsid w:val="002B3CC8"/>
    <w:rsid w:val="002B3F96"/>
    <w:rsid w:val="002B5482"/>
    <w:rsid w:val="002B6286"/>
    <w:rsid w:val="002B7B59"/>
    <w:rsid w:val="002C1021"/>
    <w:rsid w:val="002C1550"/>
    <w:rsid w:val="002C2E69"/>
    <w:rsid w:val="002C3075"/>
    <w:rsid w:val="002C326A"/>
    <w:rsid w:val="002C4E70"/>
    <w:rsid w:val="002C5C8E"/>
    <w:rsid w:val="002C6656"/>
    <w:rsid w:val="002C7C1B"/>
    <w:rsid w:val="002D0152"/>
    <w:rsid w:val="002D076C"/>
    <w:rsid w:val="002D0C42"/>
    <w:rsid w:val="002D0C62"/>
    <w:rsid w:val="002D0D16"/>
    <w:rsid w:val="002D135B"/>
    <w:rsid w:val="002D19A9"/>
    <w:rsid w:val="002D1C21"/>
    <w:rsid w:val="002D1C7A"/>
    <w:rsid w:val="002D23D7"/>
    <w:rsid w:val="002D25D4"/>
    <w:rsid w:val="002D2BAC"/>
    <w:rsid w:val="002D317B"/>
    <w:rsid w:val="002D46A2"/>
    <w:rsid w:val="002D472A"/>
    <w:rsid w:val="002D5B87"/>
    <w:rsid w:val="002D5CA2"/>
    <w:rsid w:val="002D5F60"/>
    <w:rsid w:val="002D60ED"/>
    <w:rsid w:val="002D7127"/>
    <w:rsid w:val="002D726A"/>
    <w:rsid w:val="002E0CDA"/>
    <w:rsid w:val="002E0E62"/>
    <w:rsid w:val="002E26EB"/>
    <w:rsid w:val="002E2F34"/>
    <w:rsid w:val="002E7515"/>
    <w:rsid w:val="002F17DC"/>
    <w:rsid w:val="002F1BF9"/>
    <w:rsid w:val="002F1D7F"/>
    <w:rsid w:val="002F26D9"/>
    <w:rsid w:val="002F3405"/>
    <w:rsid w:val="002F36FA"/>
    <w:rsid w:val="002F3C02"/>
    <w:rsid w:val="002F3E40"/>
    <w:rsid w:val="002F4A79"/>
    <w:rsid w:val="002F58A2"/>
    <w:rsid w:val="002F59D0"/>
    <w:rsid w:val="002F6D30"/>
    <w:rsid w:val="002F7068"/>
    <w:rsid w:val="003003B0"/>
    <w:rsid w:val="0030156B"/>
    <w:rsid w:val="00301B03"/>
    <w:rsid w:val="00301B19"/>
    <w:rsid w:val="003023B5"/>
    <w:rsid w:val="0030373A"/>
    <w:rsid w:val="00303C20"/>
    <w:rsid w:val="00303E4D"/>
    <w:rsid w:val="0030484D"/>
    <w:rsid w:val="0030526C"/>
    <w:rsid w:val="003059D9"/>
    <w:rsid w:val="00305A87"/>
    <w:rsid w:val="00306162"/>
    <w:rsid w:val="00307ADA"/>
    <w:rsid w:val="00310327"/>
    <w:rsid w:val="00310949"/>
    <w:rsid w:val="00310A05"/>
    <w:rsid w:val="00311658"/>
    <w:rsid w:val="0031264F"/>
    <w:rsid w:val="00312AFA"/>
    <w:rsid w:val="00313003"/>
    <w:rsid w:val="003138B1"/>
    <w:rsid w:val="00313D5B"/>
    <w:rsid w:val="0031519D"/>
    <w:rsid w:val="00316B0B"/>
    <w:rsid w:val="00322089"/>
    <w:rsid w:val="0032269B"/>
    <w:rsid w:val="00322837"/>
    <w:rsid w:val="00323177"/>
    <w:rsid w:val="003248E5"/>
    <w:rsid w:val="00324A52"/>
    <w:rsid w:val="00324C51"/>
    <w:rsid w:val="00330620"/>
    <w:rsid w:val="00330B68"/>
    <w:rsid w:val="00330D0D"/>
    <w:rsid w:val="00331644"/>
    <w:rsid w:val="003326B0"/>
    <w:rsid w:val="003333E6"/>
    <w:rsid w:val="0033617D"/>
    <w:rsid w:val="0033733F"/>
    <w:rsid w:val="00340944"/>
    <w:rsid w:val="00340A7A"/>
    <w:rsid w:val="00340D11"/>
    <w:rsid w:val="00340F57"/>
    <w:rsid w:val="003423AF"/>
    <w:rsid w:val="0034268E"/>
    <w:rsid w:val="00342F47"/>
    <w:rsid w:val="00343477"/>
    <w:rsid w:val="00343627"/>
    <w:rsid w:val="0034411D"/>
    <w:rsid w:val="00344937"/>
    <w:rsid w:val="00344939"/>
    <w:rsid w:val="00344CA9"/>
    <w:rsid w:val="00345C17"/>
    <w:rsid w:val="00346DD7"/>
    <w:rsid w:val="00347319"/>
    <w:rsid w:val="00347BF9"/>
    <w:rsid w:val="0035051C"/>
    <w:rsid w:val="00350526"/>
    <w:rsid w:val="00350AD1"/>
    <w:rsid w:val="00350B8D"/>
    <w:rsid w:val="003510DA"/>
    <w:rsid w:val="003510EC"/>
    <w:rsid w:val="00351BE6"/>
    <w:rsid w:val="0035357C"/>
    <w:rsid w:val="003537B4"/>
    <w:rsid w:val="00354928"/>
    <w:rsid w:val="00354F50"/>
    <w:rsid w:val="003551F2"/>
    <w:rsid w:val="003565F4"/>
    <w:rsid w:val="003569B5"/>
    <w:rsid w:val="00362DE4"/>
    <w:rsid w:val="00366576"/>
    <w:rsid w:val="00366F73"/>
    <w:rsid w:val="00367CFF"/>
    <w:rsid w:val="00371E9D"/>
    <w:rsid w:val="003727AB"/>
    <w:rsid w:val="0037597C"/>
    <w:rsid w:val="00381B97"/>
    <w:rsid w:val="00382970"/>
    <w:rsid w:val="00382ADB"/>
    <w:rsid w:val="003838BC"/>
    <w:rsid w:val="00384C18"/>
    <w:rsid w:val="00384D9A"/>
    <w:rsid w:val="00385F2F"/>
    <w:rsid w:val="00386D59"/>
    <w:rsid w:val="00387A94"/>
    <w:rsid w:val="00390657"/>
    <w:rsid w:val="00390A9A"/>
    <w:rsid w:val="00392854"/>
    <w:rsid w:val="00392B5B"/>
    <w:rsid w:val="00395005"/>
    <w:rsid w:val="00396F48"/>
    <w:rsid w:val="00397CA7"/>
    <w:rsid w:val="003A13DE"/>
    <w:rsid w:val="003A2FB9"/>
    <w:rsid w:val="003A4006"/>
    <w:rsid w:val="003A4054"/>
    <w:rsid w:val="003A46E2"/>
    <w:rsid w:val="003A5BF1"/>
    <w:rsid w:val="003A67F2"/>
    <w:rsid w:val="003A788C"/>
    <w:rsid w:val="003B09FC"/>
    <w:rsid w:val="003B35C6"/>
    <w:rsid w:val="003B439B"/>
    <w:rsid w:val="003B4600"/>
    <w:rsid w:val="003B4F35"/>
    <w:rsid w:val="003B5C60"/>
    <w:rsid w:val="003C08F8"/>
    <w:rsid w:val="003C10E4"/>
    <w:rsid w:val="003C187A"/>
    <w:rsid w:val="003C1B11"/>
    <w:rsid w:val="003C1E8E"/>
    <w:rsid w:val="003C1EF1"/>
    <w:rsid w:val="003C232A"/>
    <w:rsid w:val="003C233E"/>
    <w:rsid w:val="003C32DC"/>
    <w:rsid w:val="003C4524"/>
    <w:rsid w:val="003C4774"/>
    <w:rsid w:val="003C55E2"/>
    <w:rsid w:val="003C7F10"/>
    <w:rsid w:val="003D0187"/>
    <w:rsid w:val="003D11A0"/>
    <w:rsid w:val="003D2A80"/>
    <w:rsid w:val="003D3049"/>
    <w:rsid w:val="003D3A79"/>
    <w:rsid w:val="003D3EA6"/>
    <w:rsid w:val="003D4167"/>
    <w:rsid w:val="003D41E8"/>
    <w:rsid w:val="003D4827"/>
    <w:rsid w:val="003D7B0D"/>
    <w:rsid w:val="003E295B"/>
    <w:rsid w:val="003E369C"/>
    <w:rsid w:val="003E5200"/>
    <w:rsid w:val="003E5E08"/>
    <w:rsid w:val="003E5EC7"/>
    <w:rsid w:val="003E69CE"/>
    <w:rsid w:val="003E78AF"/>
    <w:rsid w:val="003E7E17"/>
    <w:rsid w:val="003E7E19"/>
    <w:rsid w:val="003F0506"/>
    <w:rsid w:val="003F1D36"/>
    <w:rsid w:val="003F27E1"/>
    <w:rsid w:val="003F29C8"/>
    <w:rsid w:val="003F3DC1"/>
    <w:rsid w:val="003F4803"/>
    <w:rsid w:val="003F711B"/>
    <w:rsid w:val="0040169D"/>
    <w:rsid w:val="00401FB2"/>
    <w:rsid w:val="00405357"/>
    <w:rsid w:val="00405981"/>
    <w:rsid w:val="00405D04"/>
    <w:rsid w:val="00410E51"/>
    <w:rsid w:val="00411A22"/>
    <w:rsid w:val="0041287B"/>
    <w:rsid w:val="00412937"/>
    <w:rsid w:val="00413D6A"/>
    <w:rsid w:val="00414D57"/>
    <w:rsid w:val="0041523D"/>
    <w:rsid w:val="00423840"/>
    <w:rsid w:val="0042400E"/>
    <w:rsid w:val="00425CBB"/>
    <w:rsid w:val="004261FF"/>
    <w:rsid w:val="0042644F"/>
    <w:rsid w:val="00426B80"/>
    <w:rsid w:val="00426D68"/>
    <w:rsid w:val="0043160A"/>
    <w:rsid w:val="00431BD6"/>
    <w:rsid w:val="00432A8F"/>
    <w:rsid w:val="00432B4F"/>
    <w:rsid w:val="00432F82"/>
    <w:rsid w:val="004332A1"/>
    <w:rsid w:val="00433DE4"/>
    <w:rsid w:val="004366AF"/>
    <w:rsid w:val="0043687D"/>
    <w:rsid w:val="00437861"/>
    <w:rsid w:val="00437E80"/>
    <w:rsid w:val="00440417"/>
    <w:rsid w:val="00441B71"/>
    <w:rsid w:val="0044330B"/>
    <w:rsid w:val="004435B6"/>
    <w:rsid w:val="00443A94"/>
    <w:rsid w:val="0044444B"/>
    <w:rsid w:val="00445EE4"/>
    <w:rsid w:val="00450B59"/>
    <w:rsid w:val="00450EDE"/>
    <w:rsid w:val="004517F0"/>
    <w:rsid w:val="0045449E"/>
    <w:rsid w:val="00454EC8"/>
    <w:rsid w:val="00455D41"/>
    <w:rsid w:val="004561FA"/>
    <w:rsid w:val="00456CFF"/>
    <w:rsid w:val="0045704F"/>
    <w:rsid w:val="00457927"/>
    <w:rsid w:val="00460409"/>
    <w:rsid w:val="00460743"/>
    <w:rsid w:val="004628D3"/>
    <w:rsid w:val="00462957"/>
    <w:rsid w:val="00462E02"/>
    <w:rsid w:val="00463B02"/>
    <w:rsid w:val="004656E5"/>
    <w:rsid w:val="004657DF"/>
    <w:rsid w:val="00466CF5"/>
    <w:rsid w:val="00466DD6"/>
    <w:rsid w:val="00467406"/>
    <w:rsid w:val="004727CE"/>
    <w:rsid w:val="004736E1"/>
    <w:rsid w:val="0047387C"/>
    <w:rsid w:val="00475089"/>
    <w:rsid w:val="00475587"/>
    <w:rsid w:val="0047603B"/>
    <w:rsid w:val="00476207"/>
    <w:rsid w:val="00477A09"/>
    <w:rsid w:val="00477B02"/>
    <w:rsid w:val="00477F0A"/>
    <w:rsid w:val="004800AD"/>
    <w:rsid w:val="004807DB"/>
    <w:rsid w:val="00480985"/>
    <w:rsid w:val="00481370"/>
    <w:rsid w:val="00481BA7"/>
    <w:rsid w:val="004821D9"/>
    <w:rsid w:val="00482696"/>
    <w:rsid w:val="00483217"/>
    <w:rsid w:val="00483715"/>
    <w:rsid w:val="004839AF"/>
    <w:rsid w:val="00484897"/>
    <w:rsid w:val="00484F16"/>
    <w:rsid w:val="00486C29"/>
    <w:rsid w:val="00490090"/>
    <w:rsid w:val="00492336"/>
    <w:rsid w:val="00492B73"/>
    <w:rsid w:val="004940B8"/>
    <w:rsid w:val="00494F9C"/>
    <w:rsid w:val="004954BF"/>
    <w:rsid w:val="00495646"/>
    <w:rsid w:val="00495B3D"/>
    <w:rsid w:val="00496D65"/>
    <w:rsid w:val="00496FFB"/>
    <w:rsid w:val="00497AE0"/>
    <w:rsid w:val="004A1855"/>
    <w:rsid w:val="004A200B"/>
    <w:rsid w:val="004A2058"/>
    <w:rsid w:val="004A2380"/>
    <w:rsid w:val="004A2796"/>
    <w:rsid w:val="004A3311"/>
    <w:rsid w:val="004A43DE"/>
    <w:rsid w:val="004A4741"/>
    <w:rsid w:val="004A4CDD"/>
    <w:rsid w:val="004A698B"/>
    <w:rsid w:val="004A716C"/>
    <w:rsid w:val="004B00C5"/>
    <w:rsid w:val="004B08F6"/>
    <w:rsid w:val="004B18A5"/>
    <w:rsid w:val="004B1A6C"/>
    <w:rsid w:val="004B23BA"/>
    <w:rsid w:val="004B3760"/>
    <w:rsid w:val="004B4776"/>
    <w:rsid w:val="004B5E68"/>
    <w:rsid w:val="004B7C82"/>
    <w:rsid w:val="004C0524"/>
    <w:rsid w:val="004C0797"/>
    <w:rsid w:val="004C196F"/>
    <w:rsid w:val="004C362F"/>
    <w:rsid w:val="004C4D92"/>
    <w:rsid w:val="004C64B3"/>
    <w:rsid w:val="004C6DE2"/>
    <w:rsid w:val="004C708E"/>
    <w:rsid w:val="004C73F6"/>
    <w:rsid w:val="004D0A95"/>
    <w:rsid w:val="004D0E05"/>
    <w:rsid w:val="004D0F63"/>
    <w:rsid w:val="004D2C7D"/>
    <w:rsid w:val="004D3BEA"/>
    <w:rsid w:val="004D75F8"/>
    <w:rsid w:val="004D7FB8"/>
    <w:rsid w:val="004E1E77"/>
    <w:rsid w:val="004E4299"/>
    <w:rsid w:val="004E4B79"/>
    <w:rsid w:val="004E575E"/>
    <w:rsid w:val="004E5D93"/>
    <w:rsid w:val="004E5ECD"/>
    <w:rsid w:val="004E6B04"/>
    <w:rsid w:val="004E760E"/>
    <w:rsid w:val="004F012E"/>
    <w:rsid w:val="004F18EE"/>
    <w:rsid w:val="004F1F68"/>
    <w:rsid w:val="004F2319"/>
    <w:rsid w:val="004F299B"/>
    <w:rsid w:val="004F4693"/>
    <w:rsid w:val="004F48BA"/>
    <w:rsid w:val="004F51D1"/>
    <w:rsid w:val="004F5D68"/>
    <w:rsid w:val="0050255B"/>
    <w:rsid w:val="00502645"/>
    <w:rsid w:val="0050268A"/>
    <w:rsid w:val="00502942"/>
    <w:rsid w:val="00502EC2"/>
    <w:rsid w:val="00503099"/>
    <w:rsid w:val="0050407B"/>
    <w:rsid w:val="0050505D"/>
    <w:rsid w:val="00506B10"/>
    <w:rsid w:val="0051036D"/>
    <w:rsid w:val="00510399"/>
    <w:rsid w:val="0051085D"/>
    <w:rsid w:val="0051104B"/>
    <w:rsid w:val="005122AA"/>
    <w:rsid w:val="0051266D"/>
    <w:rsid w:val="00512E4C"/>
    <w:rsid w:val="005133BA"/>
    <w:rsid w:val="00513A95"/>
    <w:rsid w:val="00513DDD"/>
    <w:rsid w:val="00514166"/>
    <w:rsid w:val="00514975"/>
    <w:rsid w:val="00516187"/>
    <w:rsid w:val="0051653D"/>
    <w:rsid w:val="0051664F"/>
    <w:rsid w:val="00516A96"/>
    <w:rsid w:val="005177FB"/>
    <w:rsid w:val="00517DC1"/>
    <w:rsid w:val="00520015"/>
    <w:rsid w:val="005204A7"/>
    <w:rsid w:val="00520567"/>
    <w:rsid w:val="005225D3"/>
    <w:rsid w:val="00522812"/>
    <w:rsid w:val="00523047"/>
    <w:rsid w:val="00524746"/>
    <w:rsid w:val="00524FB3"/>
    <w:rsid w:val="005251E4"/>
    <w:rsid w:val="00525B37"/>
    <w:rsid w:val="0052615C"/>
    <w:rsid w:val="00530CA4"/>
    <w:rsid w:val="00531573"/>
    <w:rsid w:val="00532546"/>
    <w:rsid w:val="00532778"/>
    <w:rsid w:val="00532894"/>
    <w:rsid w:val="0053342F"/>
    <w:rsid w:val="00535581"/>
    <w:rsid w:val="005401F5"/>
    <w:rsid w:val="00543E19"/>
    <w:rsid w:val="00543FB1"/>
    <w:rsid w:val="00544BE9"/>
    <w:rsid w:val="00545F4F"/>
    <w:rsid w:val="005460C5"/>
    <w:rsid w:val="005461A2"/>
    <w:rsid w:val="005463B1"/>
    <w:rsid w:val="00547D1A"/>
    <w:rsid w:val="00550F2E"/>
    <w:rsid w:val="005518A8"/>
    <w:rsid w:val="005528A8"/>
    <w:rsid w:val="00553CA2"/>
    <w:rsid w:val="00554699"/>
    <w:rsid w:val="00554A20"/>
    <w:rsid w:val="00554DBD"/>
    <w:rsid w:val="00556E25"/>
    <w:rsid w:val="00556FFC"/>
    <w:rsid w:val="0056164D"/>
    <w:rsid w:val="00561BE0"/>
    <w:rsid w:val="00561D83"/>
    <w:rsid w:val="00561F04"/>
    <w:rsid w:val="00562F1A"/>
    <w:rsid w:val="00563F2C"/>
    <w:rsid w:val="005650D1"/>
    <w:rsid w:val="005653D7"/>
    <w:rsid w:val="00565DE4"/>
    <w:rsid w:val="0056656A"/>
    <w:rsid w:val="00571A41"/>
    <w:rsid w:val="0057395B"/>
    <w:rsid w:val="00573A5C"/>
    <w:rsid w:val="00574A25"/>
    <w:rsid w:val="0057599F"/>
    <w:rsid w:val="00575C3B"/>
    <w:rsid w:val="00576A71"/>
    <w:rsid w:val="00577B4D"/>
    <w:rsid w:val="00580B0C"/>
    <w:rsid w:val="00580DB6"/>
    <w:rsid w:val="0058102F"/>
    <w:rsid w:val="005833CA"/>
    <w:rsid w:val="00583461"/>
    <w:rsid w:val="005839CC"/>
    <w:rsid w:val="00584133"/>
    <w:rsid w:val="0058446A"/>
    <w:rsid w:val="00585390"/>
    <w:rsid w:val="00586116"/>
    <w:rsid w:val="0058672F"/>
    <w:rsid w:val="00586E47"/>
    <w:rsid w:val="00590335"/>
    <w:rsid w:val="00591DBA"/>
    <w:rsid w:val="005930D2"/>
    <w:rsid w:val="00594144"/>
    <w:rsid w:val="0059691B"/>
    <w:rsid w:val="00596C08"/>
    <w:rsid w:val="005A0543"/>
    <w:rsid w:val="005A21C0"/>
    <w:rsid w:val="005A22CE"/>
    <w:rsid w:val="005A34CD"/>
    <w:rsid w:val="005A3D7C"/>
    <w:rsid w:val="005A4772"/>
    <w:rsid w:val="005A4DA5"/>
    <w:rsid w:val="005A5AFF"/>
    <w:rsid w:val="005A5D83"/>
    <w:rsid w:val="005B0E6D"/>
    <w:rsid w:val="005B1017"/>
    <w:rsid w:val="005B1B81"/>
    <w:rsid w:val="005B43AD"/>
    <w:rsid w:val="005B49B8"/>
    <w:rsid w:val="005B5A41"/>
    <w:rsid w:val="005B6F22"/>
    <w:rsid w:val="005B7E98"/>
    <w:rsid w:val="005C047D"/>
    <w:rsid w:val="005C1189"/>
    <w:rsid w:val="005C118C"/>
    <w:rsid w:val="005C1ECA"/>
    <w:rsid w:val="005C22C6"/>
    <w:rsid w:val="005C2A58"/>
    <w:rsid w:val="005C40D2"/>
    <w:rsid w:val="005C5FF3"/>
    <w:rsid w:val="005C74C5"/>
    <w:rsid w:val="005D15D2"/>
    <w:rsid w:val="005D1621"/>
    <w:rsid w:val="005D1C55"/>
    <w:rsid w:val="005D1EDB"/>
    <w:rsid w:val="005D2B26"/>
    <w:rsid w:val="005D4848"/>
    <w:rsid w:val="005D4B1E"/>
    <w:rsid w:val="005D4CF4"/>
    <w:rsid w:val="005D567A"/>
    <w:rsid w:val="005D56EE"/>
    <w:rsid w:val="005D5BB8"/>
    <w:rsid w:val="005D5FE8"/>
    <w:rsid w:val="005D661A"/>
    <w:rsid w:val="005D6A28"/>
    <w:rsid w:val="005D7243"/>
    <w:rsid w:val="005D76A5"/>
    <w:rsid w:val="005E0089"/>
    <w:rsid w:val="005E14B3"/>
    <w:rsid w:val="005E2364"/>
    <w:rsid w:val="005E3072"/>
    <w:rsid w:val="005E3C90"/>
    <w:rsid w:val="005E42B9"/>
    <w:rsid w:val="005E522E"/>
    <w:rsid w:val="005F00E0"/>
    <w:rsid w:val="005F0ED7"/>
    <w:rsid w:val="005F2C2E"/>
    <w:rsid w:val="005F3214"/>
    <w:rsid w:val="005F38BF"/>
    <w:rsid w:val="005F3D4E"/>
    <w:rsid w:val="005F42F3"/>
    <w:rsid w:val="005F5767"/>
    <w:rsid w:val="005F57AA"/>
    <w:rsid w:val="005F5FE6"/>
    <w:rsid w:val="005F6662"/>
    <w:rsid w:val="005F6828"/>
    <w:rsid w:val="005F7459"/>
    <w:rsid w:val="005F75D6"/>
    <w:rsid w:val="00600CB9"/>
    <w:rsid w:val="00601F4D"/>
    <w:rsid w:val="006040FF"/>
    <w:rsid w:val="00604499"/>
    <w:rsid w:val="0060487A"/>
    <w:rsid w:val="00605B14"/>
    <w:rsid w:val="00606C47"/>
    <w:rsid w:val="006074BD"/>
    <w:rsid w:val="006106F3"/>
    <w:rsid w:val="00611B19"/>
    <w:rsid w:val="006124E9"/>
    <w:rsid w:val="0061250F"/>
    <w:rsid w:val="00614FD8"/>
    <w:rsid w:val="006152F3"/>
    <w:rsid w:val="006163D0"/>
    <w:rsid w:val="00617AED"/>
    <w:rsid w:val="00617F36"/>
    <w:rsid w:val="00622C0C"/>
    <w:rsid w:val="00622C9C"/>
    <w:rsid w:val="00622D7A"/>
    <w:rsid w:val="00623088"/>
    <w:rsid w:val="0062690F"/>
    <w:rsid w:val="006272B9"/>
    <w:rsid w:val="00627B16"/>
    <w:rsid w:val="00630DE0"/>
    <w:rsid w:val="00632718"/>
    <w:rsid w:val="006338B5"/>
    <w:rsid w:val="0063743B"/>
    <w:rsid w:val="006377A4"/>
    <w:rsid w:val="00637A9E"/>
    <w:rsid w:val="00637FBB"/>
    <w:rsid w:val="00640163"/>
    <w:rsid w:val="00641579"/>
    <w:rsid w:val="0064229F"/>
    <w:rsid w:val="0064395B"/>
    <w:rsid w:val="00644504"/>
    <w:rsid w:val="00644C79"/>
    <w:rsid w:val="006452D6"/>
    <w:rsid w:val="006454EC"/>
    <w:rsid w:val="00645BA8"/>
    <w:rsid w:val="00654459"/>
    <w:rsid w:val="00655466"/>
    <w:rsid w:val="006557D0"/>
    <w:rsid w:val="00655EBB"/>
    <w:rsid w:val="006561B6"/>
    <w:rsid w:val="0065641F"/>
    <w:rsid w:val="006568B0"/>
    <w:rsid w:val="00657E18"/>
    <w:rsid w:val="00660BD2"/>
    <w:rsid w:val="00661104"/>
    <w:rsid w:val="00661F76"/>
    <w:rsid w:val="0066276D"/>
    <w:rsid w:val="00664400"/>
    <w:rsid w:val="00666AA5"/>
    <w:rsid w:val="00666D21"/>
    <w:rsid w:val="0066783C"/>
    <w:rsid w:val="006707C7"/>
    <w:rsid w:val="00670D8D"/>
    <w:rsid w:val="00675DCB"/>
    <w:rsid w:val="00675F11"/>
    <w:rsid w:val="006765BA"/>
    <w:rsid w:val="006779E8"/>
    <w:rsid w:val="00677E53"/>
    <w:rsid w:val="00677FF5"/>
    <w:rsid w:val="006829D8"/>
    <w:rsid w:val="00683DAF"/>
    <w:rsid w:val="0068451E"/>
    <w:rsid w:val="00685E00"/>
    <w:rsid w:val="0068641A"/>
    <w:rsid w:val="00687F12"/>
    <w:rsid w:val="00690DD2"/>
    <w:rsid w:val="00691C97"/>
    <w:rsid w:val="00692B14"/>
    <w:rsid w:val="006950F5"/>
    <w:rsid w:val="00695ECA"/>
    <w:rsid w:val="0069767A"/>
    <w:rsid w:val="006979E1"/>
    <w:rsid w:val="006A12FB"/>
    <w:rsid w:val="006A1762"/>
    <w:rsid w:val="006A23B8"/>
    <w:rsid w:val="006A36B9"/>
    <w:rsid w:val="006A38A0"/>
    <w:rsid w:val="006A3A38"/>
    <w:rsid w:val="006A5685"/>
    <w:rsid w:val="006A5A18"/>
    <w:rsid w:val="006A60D1"/>
    <w:rsid w:val="006A7C43"/>
    <w:rsid w:val="006B0F95"/>
    <w:rsid w:val="006B37EC"/>
    <w:rsid w:val="006B415E"/>
    <w:rsid w:val="006B458B"/>
    <w:rsid w:val="006B58F3"/>
    <w:rsid w:val="006B61FA"/>
    <w:rsid w:val="006B69B4"/>
    <w:rsid w:val="006B6B2D"/>
    <w:rsid w:val="006B6BEF"/>
    <w:rsid w:val="006B7244"/>
    <w:rsid w:val="006C01B1"/>
    <w:rsid w:val="006C1902"/>
    <w:rsid w:val="006C367D"/>
    <w:rsid w:val="006C3801"/>
    <w:rsid w:val="006C4706"/>
    <w:rsid w:val="006C548E"/>
    <w:rsid w:val="006C5589"/>
    <w:rsid w:val="006C575F"/>
    <w:rsid w:val="006C5899"/>
    <w:rsid w:val="006C64F9"/>
    <w:rsid w:val="006C7B2D"/>
    <w:rsid w:val="006D0AF9"/>
    <w:rsid w:val="006D103E"/>
    <w:rsid w:val="006D185C"/>
    <w:rsid w:val="006D1A32"/>
    <w:rsid w:val="006D21F1"/>
    <w:rsid w:val="006D2271"/>
    <w:rsid w:val="006D32F3"/>
    <w:rsid w:val="006D526C"/>
    <w:rsid w:val="006D5748"/>
    <w:rsid w:val="006D590F"/>
    <w:rsid w:val="006D6074"/>
    <w:rsid w:val="006D72C0"/>
    <w:rsid w:val="006D74EB"/>
    <w:rsid w:val="006D76A1"/>
    <w:rsid w:val="006D780E"/>
    <w:rsid w:val="006E03C5"/>
    <w:rsid w:val="006E0F16"/>
    <w:rsid w:val="006E0FDD"/>
    <w:rsid w:val="006E164C"/>
    <w:rsid w:val="006E1752"/>
    <w:rsid w:val="006E1BBF"/>
    <w:rsid w:val="006E2692"/>
    <w:rsid w:val="006E32F3"/>
    <w:rsid w:val="006E5A70"/>
    <w:rsid w:val="006E73C0"/>
    <w:rsid w:val="006F0F79"/>
    <w:rsid w:val="006F11F2"/>
    <w:rsid w:val="006F16DB"/>
    <w:rsid w:val="006F1F16"/>
    <w:rsid w:val="006F3E48"/>
    <w:rsid w:val="006F42E3"/>
    <w:rsid w:val="006F4367"/>
    <w:rsid w:val="006F51F5"/>
    <w:rsid w:val="006F6ACD"/>
    <w:rsid w:val="00700652"/>
    <w:rsid w:val="007007A6"/>
    <w:rsid w:val="00702FB2"/>
    <w:rsid w:val="00703B87"/>
    <w:rsid w:val="00703B8B"/>
    <w:rsid w:val="007055C0"/>
    <w:rsid w:val="00707E4E"/>
    <w:rsid w:val="00710499"/>
    <w:rsid w:val="00712E56"/>
    <w:rsid w:val="007132F4"/>
    <w:rsid w:val="0071339A"/>
    <w:rsid w:val="00717424"/>
    <w:rsid w:val="007179DE"/>
    <w:rsid w:val="00721617"/>
    <w:rsid w:val="00723805"/>
    <w:rsid w:val="00725A2F"/>
    <w:rsid w:val="00725CC7"/>
    <w:rsid w:val="007308BB"/>
    <w:rsid w:val="0073167E"/>
    <w:rsid w:val="007330E6"/>
    <w:rsid w:val="00733C23"/>
    <w:rsid w:val="00736BD9"/>
    <w:rsid w:val="00737B2D"/>
    <w:rsid w:val="007401FB"/>
    <w:rsid w:val="00740E18"/>
    <w:rsid w:val="00741FF0"/>
    <w:rsid w:val="00742EF5"/>
    <w:rsid w:val="007447F3"/>
    <w:rsid w:val="00744B54"/>
    <w:rsid w:val="007454EC"/>
    <w:rsid w:val="00745E40"/>
    <w:rsid w:val="00747FF3"/>
    <w:rsid w:val="00750494"/>
    <w:rsid w:val="00753415"/>
    <w:rsid w:val="007536F6"/>
    <w:rsid w:val="007570B9"/>
    <w:rsid w:val="0075722D"/>
    <w:rsid w:val="00761305"/>
    <w:rsid w:val="00762885"/>
    <w:rsid w:val="00763433"/>
    <w:rsid w:val="00763F30"/>
    <w:rsid w:val="007654F3"/>
    <w:rsid w:val="007658EC"/>
    <w:rsid w:val="007660F9"/>
    <w:rsid w:val="00766695"/>
    <w:rsid w:val="0076797C"/>
    <w:rsid w:val="00770127"/>
    <w:rsid w:val="00770527"/>
    <w:rsid w:val="0077054D"/>
    <w:rsid w:val="00771A43"/>
    <w:rsid w:val="00771B56"/>
    <w:rsid w:val="00772352"/>
    <w:rsid w:val="00774A4B"/>
    <w:rsid w:val="00774E4D"/>
    <w:rsid w:val="007769EE"/>
    <w:rsid w:val="00777CED"/>
    <w:rsid w:val="007803B9"/>
    <w:rsid w:val="0078138F"/>
    <w:rsid w:val="00782410"/>
    <w:rsid w:val="00784377"/>
    <w:rsid w:val="0078590A"/>
    <w:rsid w:val="007866B5"/>
    <w:rsid w:val="0078760A"/>
    <w:rsid w:val="00790299"/>
    <w:rsid w:val="007910C9"/>
    <w:rsid w:val="007923DE"/>
    <w:rsid w:val="007931A5"/>
    <w:rsid w:val="007936FE"/>
    <w:rsid w:val="00795701"/>
    <w:rsid w:val="00797C67"/>
    <w:rsid w:val="007A0D95"/>
    <w:rsid w:val="007A19CC"/>
    <w:rsid w:val="007A3111"/>
    <w:rsid w:val="007A3707"/>
    <w:rsid w:val="007A4499"/>
    <w:rsid w:val="007A565A"/>
    <w:rsid w:val="007A6094"/>
    <w:rsid w:val="007A6ADF"/>
    <w:rsid w:val="007A77A8"/>
    <w:rsid w:val="007A7EF0"/>
    <w:rsid w:val="007B0190"/>
    <w:rsid w:val="007B2A77"/>
    <w:rsid w:val="007B4CD2"/>
    <w:rsid w:val="007B57AB"/>
    <w:rsid w:val="007B642E"/>
    <w:rsid w:val="007B677E"/>
    <w:rsid w:val="007B6ED8"/>
    <w:rsid w:val="007B7F96"/>
    <w:rsid w:val="007C0DAC"/>
    <w:rsid w:val="007C0FB9"/>
    <w:rsid w:val="007C1831"/>
    <w:rsid w:val="007C264B"/>
    <w:rsid w:val="007C2831"/>
    <w:rsid w:val="007C29AF"/>
    <w:rsid w:val="007C368E"/>
    <w:rsid w:val="007C4289"/>
    <w:rsid w:val="007C458A"/>
    <w:rsid w:val="007C4770"/>
    <w:rsid w:val="007C4CD5"/>
    <w:rsid w:val="007C560B"/>
    <w:rsid w:val="007C62B2"/>
    <w:rsid w:val="007C71F1"/>
    <w:rsid w:val="007C7584"/>
    <w:rsid w:val="007C7CC1"/>
    <w:rsid w:val="007D0501"/>
    <w:rsid w:val="007D0626"/>
    <w:rsid w:val="007D3ABB"/>
    <w:rsid w:val="007D3B12"/>
    <w:rsid w:val="007D6CA8"/>
    <w:rsid w:val="007E10C8"/>
    <w:rsid w:val="007E34A3"/>
    <w:rsid w:val="007E5C84"/>
    <w:rsid w:val="007E6A31"/>
    <w:rsid w:val="007E6C16"/>
    <w:rsid w:val="007E7F57"/>
    <w:rsid w:val="007F10BD"/>
    <w:rsid w:val="007F2224"/>
    <w:rsid w:val="007F290A"/>
    <w:rsid w:val="007F2E2A"/>
    <w:rsid w:val="007F31C3"/>
    <w:rsid w:val="007F3310"/>
    <w:rsid w:val="007F3DC5"/>
    <w:rsid w:val="007F4D87"/>
    <w:rsid w:val="007F5C2B"/>
    <w:rsid w:val="008007E7"/>
    <w:rsid w:val="0080091A"/>
    <w:rsid w:val="008017CE"/>
    <w:rsid w:val="00802C6A"/>
    <w:rsid w:val="008034AE"/>
    <w:rsid w:val="00803A83"/>
    <w:rsid w:val="00803C19"/>
    <w:rsid w:val="00803F89"/>
    <w:rsid w:val="00805E25"/>
    <w:rsid w:val="008062BD"/>
    <w:rsid w:val="008069AA"/>
    <w:rsid w:val="00807E44"/>
    <w:rsid w:val="008100EF"/>
    <w:rsid w:val="008101E9"/>
    <w:rsid w:val="00810567"/>
    <w:rsid w:val="00810A41"/>
    <w:rsid w:val="00810E0C"/>
    <w:rsid w:val="00811300"/>
    <w:rsid w:val="00812113"/>
    <w:rsid w:val="008135E4"/>
    <w:rsid w:val="008139DA"/>
    <w:rsid w:val="00813B1F"/>
    <w:rsid w:val="00813F3C"/>
    <w:rsid w:val="00814079"/>
    <w:rsid w:val="00814E16"/>
    <w:rsid w:val="00815317"/>
    <w:rsid w:val="00816557"/>
    <w:rsid w:val="0081796A"/>
    <w:rsid w:val="00817982"/>
    <w:rsid w:val="008202FD"/>
    <w:rsid w:val="00820E9C"/>
    <w:rsid w:val="00822FD6"/>
    <w:rsid w:val="008235EF"/>
    <w:rsid w:val="008238AB"/>
    <w:rsid w:val="00824318"/>
    <w:rsid w:val="00825A06"/>
    <w:rsid w:val="008305EB"/>
    <w:rsid w:val="00830D57"/>
    <w:rsid w:val="008313E5"/>
    <w:rsid w:val="008359B2"/>
    <w:rsid w:val="00836DB9"/>
    <w:rsid w:val="00837452"/>
    <w:rsid w:val="00840BD3"/>
    <w:rsid w:val="00841A87"/>
    <w:rsid w:val="0084305C"/>
    <w:rsid w:val="00843C47"/>
    <w:rsid w:val="00845598"/>
    <w:rsid w:val="00845717"/>
    <w:rsid w:val="00845F9E"/>
    <w:rsid w:val="008465EB"/>
    <w:rsid w:val="00846AE8"/>
    <w:rsid w:val="008505BC"/>
    <w:rsid w:val="008514F6"/>
    <w:rsid w:val="008518CD"/>
    <w:rsid w:val="00852D6B"/>
    <w:rsid w:val="00853726"/>
    <w:rsid w:val="00853B8E"/>
    <w:rsid w:val="0085561D"/>
    <w:rsid w:val="00855F54"/>
    <w:rsid w:val="008560FB"/>
    <w:rsid w:val="00860953"/>
    <w:rsid w:val="00860A6A"/>
    <w:rsid w:val="00861890"/>
    <w:rsid w:val="008630C7"/>
    <w:rsid w:val="00863106"/>
    <w:rsid w:val="00863403"/>
    <w:rsid w:val="00863F6C"/>
    <w:rsid w:val="0086550B"/>
    <w:rsid w:val="0086558B"/>
    <w:rsid w:val="008666E7"/>
    <w:rsid w:val="00866EED"/>
    <w:rsid w:val="00867706"/>
    <w:rsid w:val="008716B9"/>
    <w:rsid w:val="0087202F"/>
    <w:rsid w:val="00872162"/>
    <w:rsid w:val="0087231C"/>
    <w:rsid w:val="008724F7"/>
    <w:rsid w:val="0087286F"/>
    <w:rsid w:val="008741DE"/>
    <w:rsid w:val="008758EF"/>
    <w:rsid w:val="008759E2"/>
    <w:rsid w:val="0087624C"/>
    <w:rsid w:val="00877716"/>
    <w:rsid w:val="00877EA4"/>
    <w:rsid w:val="008813EB"/>
    <w:rsid w:val="00881A9E"/>
    <w:rsid w:val="00881D00"/>
    <w:rsid w:val="00882DC0"/>
    <w:rsid w:val="00884C67"/>
    <w:rsid w:val="00884CA4"/>
    <w:rsid w:val="00886AFB"/>
    <w:rsid w:val="00887073"/>
    <w:rsid w:val="00890F33"/>
    <w:rsid w:val="00892F35"/>
    <w:rsid w:val="008973D2"/>
    <w:rsid w:val="008A0B5A"/>
    <w:rsid w:val="008A0CA1"/>
    <w:rsid w:val="008A199E"/>
    <w:rsid w:val="008A1A28"/>
    <w:rsid w:val="008A216A"/>
    <w:rsid w:val="008A2822"/>
    <w:rsid w:val="008A2EDB"/>
    <w:rsid w:val="008A3973"/>
    <w:rsid w:val="008A493A"/>
    <w:rsid w:val="008A5647"/>
    <w:rsid w:val="008A5FB0"/>
    <w:rsid w:val="008A6235"/>
    <w:rsid w:val="008A7BD5"/>
    <w:rsid w:val="008B1B9E"/>
    <w:rsid w:val="008B1DFD"/>
    <w:rsid w:val="008B3FD3"/>
    <w:rsid w:val="008B4980"/>
    <w:rsid w:val="008B5BA3"/>
    <w:rsid w:val="008B65A8"/>
    <w:rsid w:val="008B72CB"/>
    <w:rsid w:val="008B7FEB"/>
    <w:rsid w:val="008C0772"/>
    <w:rsid w:val="008C2C76"/>
    <w:rsid w:val="008C36FB"/>
    <w:rsid w:val="008C3D71"/>
    <w:rsid w:val="008C4A5C"/>
    <w:rsid w:val="008C531D"/>
    <w:rsid w:val="008C6355"/>
    <w:rsid w:val="008C7A21"/>
    <w:rsid w:val="008C7E12"/>
    <w:rsid w:val="008D0A91"/>
    <w:rsid w:val="008D15B6"/>
    <w:rsid w:val="008D1E5D"/>
    <w:rsid w:val="008D260B"/>
    <w:rsid w:val="008D2A96"/>
    <w:rsid w:val="008D3849"/>
    <w:rsid w:val="008D38F0"/>
    <w:rsid w:val="008D45C8"/>
    <w:rsid w:val="008D4B19"/>
    <w:rsid w:val="008D5306"/>
    <w:rsid w:val="008D5784"/>
    <w:rsid w:val="008D634D"/>
    <w:rsid w:val="008D63ED"/>
    <w:rsid w:val="008D6D0F"/>
    <w:rsid w:val="008E0861"/>
    <w:rsid w:val="008E14A1"/>
    <w:rsid w:val="008E2689"/>
    <w:rsid w:val="008E61FD"/>
    <w:rsid w:val="008E78DE"/>
    <w:rsid w:val="008F01CE"/>
    <w:rsid w:val="008F0847"/>
    <w:rsid w:val="008F0A59"/>
    <w:rsid w:val="008F0C84"/>
    <w:rsid w:val="008F1E19"/>
    <w:rsid w:val="008F2C38"/>
    <w:rsid w:val="008F3AE7"/>
    <w:rsid w:val="008F45DE"/>
    <w:rsid w:val="008F4CBC"/>
    <w:rsid w:val="008F547F"/>
    <w:rsid w:val="008F6533"/>
    <w:rsid w:val="008F6EF9"/>
    <w:rsid w:val="008F7B69"/>
    <w:rsid w:val="00901B77"/>
    <w:rsid w:val="00902658"/>
    <w:rsid w:val="009057D2"/>
    <w:rsid w:val="009059BC"/>
    <w:rsid w:val="00905B35"/>
    <w:rsid w:val="00905FA1"/>
    <w:rsid w:val="0090656E"/>
    <w:rsid w:val="009065CA"/>
    <w:rsid w:val="009065CF"/>
    <w:rsid w:val="00906C2E"/>
    <w:rsid w:val="009077CC"/>
    <w:rsid w:val="00907BC2"/>
    <w:rsid w:val="00910181"/>
    <w:rsid w:val="00912BB5"/>
    <w:rsid w:val="009140C5"/>
    <w:rsid w:val="00914D5C"/>
    <w:rsid w:val="00915162"/>
    <w:rsid w:val="00915E64"/>
    <w:rsid w:val="00915EBC"/>
    <w:rsid w:val="00916534"/>
    <w:rsid w:val="009205DC"/>
    <w:rsid w:val="00921321"/>
    <w:rsid w:val="009217AF"/>
    <w:rsid w:val="009219AB"/>
    <w:rsid w:val="00921D67"/>
    <w:rsid w:val="00921F65"/>
    <w:rsid w:val="0092259F"/>
    <w:rsid w:val="00922F10"/>
    <w:rsid w:val="009230A0"/>
    <w:rsid w:val="00924200"/>
    <w:rsid w:val="00924C90"/>
    <w:rsid w:val="009303E4"/>
    <w:rsid w:val="009324EB"/>
    <w:rsid w:val="00932891"/>
    <w:rsid w:val="00932983"/>
    <w:rsid w:val="009342E4"/>
    <w:rsid w:val="009358C0"/>
    <w:rsid w:val="00936CB3"/>
    <w:rsid w:val="009402E0"/>
    <w:rsid w:val="009406CE"/>
    <w:rsid w:val="00941781"/>
    <w:rsid w:val="0094195B"/>
    <w:rsid w:val="00941B8A"/>
    <w:rsid w:val="00941D94"/>
    <w:rsid w:val="00942ADD"/>
    <w:rsid w:val="009438DD"/>
    <w:rsid w:val="00943ABA"/>
    <w:rsid w:val="00946414"/>
    <w:rsid w:val="009464CF"/>
    <w:rsid w:val="00946DF9"/>
    <w:rsid w:val="00947FB2"/>
    <w:rsid w:val="00950A8E"/>
    <w:rsid w:val="00951226"/>
    <w:rsid w:val="009517C7"/>
    <w:rsid w:val="00953B53"/>
    <w:rsid w:val="00953F62"/>
    <w:rsid w:val="00956CBB"/>
    <w:rsid w:val="00957870"/>
    <w:rsid w:val="009607D2"/>
    <w:rsid w:val="009614DE"/>
    <w:rsid w:val="00961A20"/>
    <w:rsid w:val="00963520"/>
    <w:rsid w:val="00964C73"/>
    <w:rsid w:val="009653DC"/>
    <w:rsid w:val="00966A6D"/>
    <w:rsid w:val="009679D4"/>
    <w:rsid w:val="00967EBC"/>
    <w:rsid w:val="009712C2"/>
    <w:rsid w:val="0097306D"/>
    <w:rsid w:val="00973384"/>
    <w:rsid w:val="00974194"/>
    <w:rsid w:val="00976414"/>
    <w:rsid w:val="00976595"/>
    <w:rsid w:val="00981E1D"/>
    <w:rsid w:val="00981E33"/>
    <w:rsid w:val="0098268C"/>
    <w:rsid w:val="00982A5A"/>
    <w:rsid w:val="00984552"/>
    <w:rsid w:val="00986229"/>
    <w:rsid w:val="00987197"/>
    <w:rsid w:val="009907D4"/>
    <w:rsid w:val="0099087D"/>
    <w:rsid w:val="009912F2"/>
    <w:rsid w:val="009913FE"/>
    <w:rsid w:val="00991453"/>
    <w:rsid w:val="009914FB"/>
    <w:rsid w:val="00992708"/>
    <w:rsid w:val="009929C8"/>
    <w:rsid w:val="0099581A"/>
    <w:rsid w:val="00995C0D"/>
    <w:rsid w:val="00996ADD"/>
    <w:rsid w:val="00996B6B"/>
    <w:rsid w:val="00997336"/>
    <w:rsid w:val="009A0955"/>
    <w:rsid w:val="009A0B85"/>
    <w:rsid w:val="009A11E0"/>
    <w:rsid w:val="009A1F2D"/>
    <w:rsid w:val="009A26E7"/>
    <w:rsid w:val="009A3E07"/>
    <w:rsid w:val="009A481E"/>
    <w:rsid w:val="009A5824"/>
    <w:rsid w:val="009A5E02"/>
    <w:rsid w:val="009A623E"/>
    <w:rsid w:val="009A62ED"/>
    <w:rsid w:val="009A7B24"/>
    <w:rsid w:val="009B3B85"/>
    <w:rsid w:val="009B600C"/>
    <w:rsid w:val="009B6EEE"/>
    <w:rsid w:val="009B73F1"/>
    <w:rsid w:val="009B7634"/>
    <w:rsid w:val="009B793B"/>
    <w:rsid w:val="009C0A54"/>
    <w:rsid w:val="009C118F"/>
    <w:rsid w:val="009C1BB7"/>
    <w:rsid w:val="009C21DB"/>
    <w:rsid w:val="009C232A"/>
    <w:rsid w:val="009C5456"/>
    <w:rsid w:val="009C6036"/>
    <w:rsid w:val="009C7AE1"/>
    <w:rsid w:val="009D1026"/>
    <w:rsid w:val="009D1A9C"/>
    <w:rsid w:val="009D3CDE"/>
    <w:rsid w:val="009D3D3D"/>
    <w:rsid w:val="009D3F6A"/>
    <w:rsid w:val="009D696F"/>
    <w:rsid w:val="009E046A"/>
    <w:rsid w:val="009E059A"/>
    <w:rsid w:val="009E08C0"/>
    <w:rsid w:val="009E14D8"/>
    <w:rsid w:val="009E1F9E"/>
    <w:rsid w:val="009E5AAD"/>
    <w:rsid w:val="009E6797"/>
    <w:rsid w:val="009E6EFC"/>
    <w:rsid w:val="009F0C76"/>
    <w:rsid w:val="009F2391"/>
    <w:rsid w:val="009F2FE4"/>
    <w:rsid w:val="009F3031"/>
    <w:rsid w:val="009F79C1"/>
    <w:rsid w:val="00A01A34"/>
    <w:rsid w:val="00A02325"/>
    <w:rsid w:val="00A026FD"/>
    <w:rsid w:val="00A02E5A"/>
    <w:rsid w:val="00A03264"/>
    <w:rsid w:val="00A03506"/>
    <w:rsid w:val="00A04675"/>
    <w:rsid w:val="00A071A2"/>
    <w:rsid w:val="00A07DD9"/>
    <w:rsid w:val="00A07DF2"/>
    <w:rsid w:val="00A10225"/>
    <w:rsid w:val="00A1229A"/>
    <w:rsid w:val="00A12ED2"/>
    <w:rsid w:val="00A13C1E"/>
    <w:rsid w:val="00A13FF7"/>
    <w:rsid w:val="00A149CD"/>
    <w:rsid w:val="00A152CA"/>
    <w:rsid w:val="00A155BE"/>
    <w:rsid w:val="00A15932"/>
    <w:rsid w:val="00A161BF"/>
    <w:rsid w:val="00A1781E"/>
    <w:rsid w:val="00A2028E"/>
    <w:rsid w:val="00A20ACB"/>
    <w:rsid w:val="00A22977"/>
    <w:rsid w:val="00A23E87"/>
    <w:rsid w:val="00A23EA3"/>
    <w:rsid w:val="00A2427F"/>
    <w:rsid w:val="00A245D4"/>
    <w:rsid w:val="00A26938"/>
    <w:rsid w:val="00A26F28"/>
    <w:rsid w:val="00A27A9E"/>
    <w:rsid w:val="00A303D4"/>
    <w:rsid w:val="00A30A8A"/>
    <w:rsid w:val="00A327AE"/>
    <w:rsid w:val="00A32EB6"/>
    <w:rsid w:val="00A33BEB"/>
    <w:rsid w:val="00A34B4D"/>
    <w:rsid w:val="00A35441"/>
    <w:rsid w:val="00A357C5"/>
    <w:rsid w:val="00A36D83"/>
    <w:rsid w:val="00A37B04"/>
    <w:rsid w:val="00A40C2A"/>
    <w:rsid w:val="00A43049"/>
    <w:rsid w:val="00A43D66"/>
    <w:rsid w:val="00A44B85"/>
    <w:rsid w:val="00A44BF3"/>
    <w:rsid w:val="00A46231"/>
    <w:rsid w:val="00A472F8"/>
    <w:rsid w:val="00A47FAE"/>
    <w:rsid w:val="00A51914"/>
    <w:rsid w:val="00A51E19"/>
    <w:rsid w:val="00A521B1"/>
    <w:rsid w:val="00A52313"/>
    <w:rsid w:val="00A523C6"/>
    <w:rsid w:val="00A523C7"/>
    <w:rsid w:val="00A5245E"/>
    <w:rsid w:val="00A54214"/>
    <w:rsid w:val="00A550B9"/>
    <w:rsid w:val="00A555E5"/>
    <w:rsid w:val="00A55D71"/>
    <w:rsid w:val="00A56753"/>
    <w:rsid w:val="00A56903"/>
    <w:rsid w:val="00A56ABB"/>
    <w:rsid w:val="00A57337"/>
    <w:rsid w:val="00A60139"/>
    <w:rsid w:val="00A60D73"/>
    <w:rsid w:val="00A60FF2"/>
    <w:rsid w:val="00A6130E"/>
    <w:rsid w:val="00A62279"/>
    <w:rsid w:val="00A62A2C"/>
    <w:rsid w:val="00A6330B"/>
    <w:rsid w:val="00A638E0"/>
    <w:rsid w:val="00A6543A"/>
    <w:rsid w:val="00A657CC"/>
    <w:rsid w:val="00A678E0"/>
    <w:rsid w:val="00A67FBE"/>
    <w:rsid w:val="00A67FE3"/>
    <w:rsid w:val="00A70008"/>
    <w:rsid w:val="00A70B06"/>
    <w:rsid w:val="00A70D76"/>
    <w:rsid w:val="00A7175B"/>
    <w:rsid w:val="00A71BBB"/>
    <w:rsid w:val="00A73ACA"/>
    <w:rsid w:val="00A748FB"/>
    <w:rsid w:val="00A75A7B"/>
    <w:rsid w:val="00A7738C"/>
    <w:rsid w:val="00A77D8A"/>
    <w:rsid w:val="00A80FF8"/>
    <w:rsid w:val="00A8182F"/>
    <w:rsid w:val="00A8200A"/>
    <w:rsid w:val="00A82672"/>
    <w:rsid w:val="00A8275C"/>
    <w:rsid w:val="00A83AC7"/>
    <w:rsid w:val="00A83DFB"/>
    <w:rsid w:val="00A83F73"/>
    <w:rsid w:val="00A84224"/>
    <w:rsid w:val="00A85E17"/>
    <w:rsid w:val="00A862A7"/>
    <w:rsid w:val="00A90324"/>
    <w:rsid w:val="00A917A9"/>
    <w:rsid w:val="00A92034"/>
    <w:rsid w:val="00A923AA"/>
    <w:rsid w:val="00A944D1"/>
    <w:rsid w:val="00A95623"/>
    <w:rsid w:val="00A96405"/>
    <w:rsid w:val="00AA0D1A"/>
    <w:rsid w:val="00AA2152"/>
    <w:rsid w:val="00AA2599"/>
    <w:rsid w:val="00AA3653"/>
    <w:rsid w:val="00AA3F62"/>
    <w:rsid w:val="00AA4245"/>
    <w:rsid w:val="00AA5AD7"/>
    <w:rsid w:val="00AA6DCC"/>
    <w:rsid w:val="00AB2D51"/>
    <w:rsid w:val="00AB331E"/>
    <w:rsid w:val="00AB517B"/>
    <w:rsid w:val="00AB5F49"/>
    <w:rsid w:val="00AB757E"/>
    <w:rsid w:val="00AB7DF1"/>
    <w:rsid w:val="00AC1597"/>
    <w:rsid w:val="00AC2279"/>
    <w:rsid w:val="00AC4136"/>
    <w:rsid w:val="00AC635B"/>
    <w:rsid w:val="00AC6637"/>
    <w:rsid w:val="00AC68C6"/>
    <w:rsid w:val="00AC7B90"/>
    <w:rsid w:val="00AC7F30"/>
    <w:rsid w:val="00AD2EE5"/>
    <w:rsid w:val="00AD3AD4"/>
    <w:rsid w:val="00AD4EBB"/>
    <w:rsid w:val="00AD5051"/>
    <w:rsid w:val="00AD7445"/>
    <w:rsid w:val="00AE26C7"/>
    <w:rsid w:val="00AE477E"/>
    <w:rsid w:val="00AE5B14"/>
    <w:rsid w:val="00AE753C"/>
    <w:rsid w:val="00AF090E"/>
    <w:rsid w:val="00AF1108"/>
    <w:rsid w:val="00AF122C"/>
    <w:rsid w:val="00AF1BD8"/>
    <w:rsid w:val="00AF1E29"/>
    <w:rsid w:val="00AF21B2"/>
    <w:rsid w:val="00AF3BB5"/>
    <w:rsid w:val="00AF42B4"/>
    <w:rsid w:val="00AF461A"/>
    <w:rsid w:val="00AF6220"/>
    <w:rsid w:val="00B0667E"/>
    <w:rsid w:val="00B12517"/>
    <w:rsid w:val="00B12B7E"/>
    <w:rsid w:val="00B12DC5"/>
    <w:rsid w:val="00B12E45"/>
    <w:rsid w:val="00B15834"/>
    <w:rsid w:val="00B16630"/>
    <w:rsid w:val="00B16D93"/>
    <w:rsid w:val="00B16FC9"/>
    <w:rsid w:val="00B178C4"/>
    <w:rsid w:val="00B17C38"/>
    <w:rsid w:val="00B21591"/>
    <w:rsid w:val="00B22E94"/>
    <w:rsid w:val="00B23646"/>
    <w:rsid w:val="00B25019"/>
    <w:rsid w:val="00B26736"/>
    <w:rsid w:val="00B317E7"/>
    <w:rsid w:val="00B32F89"/>
    <w:rsid w:val="00B37779"/>
    <w:rsid w:val="00B415E9"/>
    <w:rsid w:val="00B458A4"/>
    <w:rsid w:val="00B51258"/>
    <w:rsid w:val="00B5156D"/>
    <w:rsid w:val="00B535E4"/>
    <w:rsid w:val="00B538EC"/>
    <w:rsid w:val="00B54BF6"/>
    <w:rsid w:val="00B55080"/>
    <w:rsid w:val="00B555FA"/>
    <w:rsid w:val="00B5569E"/>
    <w:rsid w:val="00B55CDC"/>
    <w:rsid w:val="00B56605"/>
    <w:rsid w:val="00B573C4"/>
    <w:rsid w:val="00B60611"/>
    <w:rsid w:val="00B60756"/>
    <w:rsid w:val="00B62613"/>
    <w:rsid w:val="00B6294A"/>
    <w:rsid w:val="00B62BCB"/>
    <w:rsid w:val="00B635C2"/>
    <w:rsid w:val="00B63D2B"/>
    <w:rsid w:val="00B642E8"/>
    <w:rsid w:val="00B6464E"/>
    <w:rsid w:val="00B64E14"/>
    <w:rsid w:val="00B6513E"/>
    <w:rsid w:val="00B70F85"/>
    <w:rsid w:val="00B71345"/>
    <w:rsid w:val="00B721BF"/>
    <w:rsid w:val="00B73665"/>
    <w:rsid w:val="00B73AB7"/>
    <w:rsid w:val="00B74581"/>
    <w:rsid w:val="00B74C35"/>
    <w:rsid w:val="00B74E15"/>
    <w:rsid w:val="00B75245"/>
    <w:rsid w:val="00B76233"/>
    <w:rsid w:val="00B76708"/>
    <w:rsid w:val="00B7740A"/>
    <w:rsid w:val="00B80469"/>
    <w:rsid w:val="00B832CC"/>
    <w:rsid w:val="00B83763"/>
    <w:rsid w:val="00B8577B"/>
    <w:rsid w:val="00B85AA7"/>
    <w:rsid w:val="00B85C77"/>
    <w:rsid w:val="00B87160"/>
    <w:rsid w:val="00B8723B"/>
    <w:rsid w:val="00B8795D"/>
    <w:rsid w:val="00B912BA"/>
    <w:rsid w:val="00B932B4"/>
    <w:rsid w:val="00B93781"/>
    <w:rsid w:val="00B94858"/>
    <w:rsid w:val="00B95A74"/>
    <w:rsid w:val="00B96452"/>
    <w:rsid w:val="00B966F8"/>
    <w:rsid w:val="00B972CD"/>
    <w:rsid w:val="00BA03F9"/>
    <w:rsid w:val="00BA0524"/>
    <w:rsid w:val="00BA0546"/>
    <w:rsid w:val="00BA07F8"/>
    <w:rsid w:val="00BA14C5"/>
    <w:rsid w:val="00BA278F"/>
    <w:rsid w:val="00BA279F"/>
    <w:rsid w:val="00BA29FB"/>
    <w:rsid w:val="00BA2A18"/>
    <w:rsid w:val="00BA35A2"/>
    <w:rsid w:val="00BA4047"/>
    <w:rsid w:val="00BA71F9"/>
    <w:rsid w:val="00BB019C"/>
    <w:rsid w:val="00BB03E3"/>
    <w:rsid w:val="00BB062B"/>
    <w:rsid w:val="00BB07B3"/>
    <w:rsid w:val="00BB090F"/>
    <w:rsid w:val="00BB0B4B"/>
    <w:rsid w:val="00BB1C12"/>
    <w:rsid w:val="00BB20DD"/>
    <w:rsid w:val="00BB290C"/>
    <w:rsid w:val="00BB34B8"/>
    <w:rsid w:val="00BB426A"/>
    <w:rsid w:val="00BB5754"/>
    <w:rsid w:val="00BB5B96"/>
    <w:rsid w:val="00BB7349"/>
    <w:rsid w:val="00BB7593"/>
    <w:rsid w:val="00BC06C1"/>
    <w:rsid w:val="00BC0854"/>
    <w:rsid w:val="00BC0A95"/>
    <w:rsid w:val="00BC13BD"/>
    <w:rsid w:val="00BC15A6"/>
    <w:rsid w:val="00BC2C6A"/>
    <w:rsid w:val="00BC2DC7"/>
    <w:rsid w:val="00BC36CC"/>
    <w:rsid w:val="00BC4857"/>
    <w:rsid w:val="00BC4BF4"/>
    <w:rsid w:val="00BC4D80"/>
    <w:rsid w:val="00BC730A"/>
    <w:rsid w:val="00BC7E80"/>
    <w:rsid w:val="00BD01D4"/>
    <w:rsid w:val="00BD0633"/>
    <w:rsid w:val="00BD2376"/>
    <w:rsid w:val="00BD3F5E"/>
    <w:rsid w:val="00BD4305"/>
    <w:rsid w:val="00BD5049"/>
    <w:rsid w:val="00BD512D"/>
    <w:rsid w:val="00BD534D"/>
    <w:rsid w:val="00BD5E92"/>
    <w:rsid w:val="00BD623B"/>
    <w:rsid w:val="00BD762A"/>
    <w:rsid w:val="00BE08B5"/>
    <w:rsid w:val="00BE1753"/>
    <w:rsid w:val="00BE225A"/>
    <w:rsid w:val="00BE2349"/>
    <w:rsid w:val="00BE365D"/>
    <w:rsid w:val="00BE4E1D"/>
    <w:rsid w:val="00BE57DC"/>
    <w:rsid w:val="00BE6C93"/>
    <w:rsid w:val="00BF1461"/>
    <w:rsid w:val="00BF159E"/>
    <w:rsid w:val="00BF257D"/>
    <w:rsid w:val="00BF2F62"/>
    <w:rsid w:val="00BF41D5"/>
    <w:rsid w:val="00BF614D"/>
    <w:rsid w:val="00BF635A"/>
    <w:rsid w:val="00BF6A70"/>
    <w:rsid w:val="00BF7FE1"/>
    <w:rsid w:val="00C0155F"/>
    <w:rsid w:val="00C01C09"/>
    <w:rsid w:val="00C026AB"/>
    <w:rsid w:val="00C053A6"/>
    <w:rsid w:val="00C0548C"/>
    <w:rsid w:val="00C07335"/>
    <w:rsid w:val="00C07B05"/>
    <w:rsid w:val="00C10AAB"/>
    <w:rsid w:val="00C1159B"/>
    <w:rsid w:val="00C13399"/>
    <w:rsid w:val="00C149D5"/>
    <w:rsid w:val="00C16B20"/>
    <w:rsid w:val="00C175F9"/>
    <w:rsid w:val="00C17C36"/>
    <w:rsid w:val="00C20DD8"/>
    <w:rsid w:val="00C20F13"/>
    <w:rsid w:val="00C22CF8"/>
    <w:rsid w:val="00C231AC"/>
    <w:rsid w:val="00C24816"/>
    <w:rsid w:val="00C275F9"/>
    <w:rsid w:val="00C27A6F"/>
    <w:rsid w:val="00C27FBA"/>
    <w:rsid w:val="00C32910"/>
    <w:rsid w:val="00C33E95"/>
    <w:rsid w:val="00C357E0"/>
    <w:rsid w:val="00C35D99"/>
    <w:rsid w:val="00C3666D"/>
    <w:rsid w:val="00C37F42"/>
    <w:rsid w:val="00C40AF0"/>
    <w:rsid w:val="00C419A0"/>
    <w:rsid w:val="00C41C06"/>
    <w:rsid w:val="00C44E01"/>
    <w:rsid w:val="00C44F8B"/>
    <w:rsid w:val="00C456C6"/>
    <w:rsid w:val="00C45AF0"/>
    <w:rsid w:val="00C47A80"/>
    <w:rsid w:val="00C50DD5"/>
    <w:rsid w:val="00C51CFA"/>
    <w:rsid w:val="00C52191"/>
    <w:rsid w:val="00C52764"/>
    <w:rsid w:val="00C52C41"/>
    <w:rsid w:val="00C534E6"/>
    <w:rsid w:val="00C54937"/>
    <w:rsid w:val="00C54F08"/>
    <w:rsid w:val="00C559B0"/>
    <w:rsid w:val="00C55EC9"/>
    <w:rsid w:val="00C56481"/>
    <w:rsid w:val="00C577AB"/>
    <w:rsid w:val="00C6116F"/>
    <w:rsid w:val="00C621C4"/>
    <w:rsid w:val="00C624FD"/>
    <w:rsid w:val="00C625A8"/>
    <w:rsid w:val="00C6384A"/>
    <w:rsid w:val="00C63874"/>
    <w:rsid w:val="00C639B7"/>
    <w:rsid w:val="00C66166"/>
    <w:rsid w:val="00C71DBA"/>
    <w:rsid w:val="00C72294"/>
    <w:rsid w:val="00C722F8"/>
    <w:rsid w:val="00C72D85"/>
    <w:rsid w:val="00C731F6"/>
    <w:rsid w:val="00C73514"/>
    <w:rsid w:val="00C74568"/>
    <w:rsid w:val="00C75AE9"/>
    <w:rsid w:val="00C77C4F"/>
    <w:rsid w:val="00C82B8F"/>
    <w:rsid w:val="00C8347A"/>
    <w:rsid w:val="00C84154"/>
    <w:rsid w:val="00C8468E"/>
    <w:rsid w:val="00C86489"/>
    <w:rsid w:val="00C866CE"/>
    <w:rsid w:val="00C8786F"/>
    <w:rsid w:val="00C90C5A"/>
    <w:rsid w:val="00C910B6"/>
    <w:rsid w:val="00C910FA"/>
    <w:rsid w:val="00C91B6D"/>
    <w:rsid w:val="00C927D9"/>
    <w:rsid w:val="00C9282D"/>
    <w:rsid w:val="00C93066"/>
    <w:rsid w:val="00C9326E"/>
    <w:rsid w:val="00C93FC0"/>
    <w:rsid w:val="00C94CE0"/>
    <w:rsid w:val="00C96675"/>
    <w:rsid w:val="00C9713C"/>
    <w:rsid w:val="00C976DD"/>
    <w:rsid w:val="00C97805"/>
    <w:rsid w:val="00CA101B"/>
    <w:rsid w:val="00CA164B"/>
    <w:rsid w:val="00CA2156"/>
    <w:rsid w:val="00CA2AF4"/>
    <w:rsid w:val="00CA4021"/>
    <w:rsid w:val="00CA486D"/>
    <w:rsid w:val="00CA5946"/>
    <w:rsid w:val="00CA6CF2"/>
    <w:rsid w:val="00CA78CC"/>
    <w:rsid w:val="00CB2A75"/>
    <w:rsid w:val="00CB2D75"/>
    <w:rsid w:val="00CB3FEC"/>
    <w:rsid w:val="00CB4DE2"/>
    <w:rsid w:val="00CB54BF"/>
    <w:rsid w:val="00CB5D22"/>
    <w:rsid w:val="00CB7879"/>
    <w:rsid w:val="00CC0CFE"/>
    <w:rsid w:val="00CC0EF0"/>
    <w:rsid w:val="00CC175E"/>
    <w:rsid w:val="00CC17F1"/>
    <w:rsid w:val="00CC36F2"/>
    <w:rsid w:val="00CC3E3E"/>
    <w:rsid w:val="00CC4C13"/>
    <w:rsid w:val="00CC57FD"/>
    <w:rsid w:val="00CC59A8"/>
    <w:rsid w:val="00CC68E9"/>
    <w:rsid w:val="00CC69A1"/>
    <w:rsid w:val="00CC7094"/>
    <w:rsid w:val="00CC727A"/>
    <w:rsid w:val="00CD3E9B"/>
    <w:rsid w:val="00CD4335"/>
    <w:rsid w:val="00CD4EB4"/>
    <w:rsid w:val="00CD5B83"/>
    <w:rsid w:val="00CD6F80"/>
    <w:rsid w:val="00CD72AE"/>
    <w:rsid w:val="00CD737A"/>
    <w:rsid w:val="00CD7CC8"/>
    <w:rsid w:val="00CE020B"/>
    <w:rsid w:val="00CE06E3"/>
    <w:rsid w:val="00CE0936"/>
    <w:rsid w:val="00CE1057"/>
    <w:rsid w:val="00CE11AB"/>
    <w:rsid w:val="00CE409F"/>
    <w:rsid w:val="00CE4311"/>
    <w:rsid w:val="00CE5342"/>
    <w:rsid w:val="00CE549B"/>
    <w:rsid w:val="00CE7B46"/>
    <w:rsid w:val="00CF00B9"/>
    <w:rsid w:val="00CF07CA"/>
    <w:rsid w:val="00CF0D3A"/>
    <w:rsid w:val="00CF1C92"/>
    <w:rsid w:val="00CF1FFB"/>
    <w:rsid w:val="00CF2237"/>
    <w:rsid w:val="00CF2BF2"/>
    <w:rsid w:val="00CF30A3"/>
    <w:rsid w:val="00CF3909"/>
    <w:rsid w:val="00CF3F87"/>
    <w:rsid w:val="00CF60EB"/>
    <w:rsid w:val="00CF70C7"/>
    <w:rsid w:val="00D02A80"/>
    <w:rsid w:val="00D0334B"/>
    <w:rsid w:val="00D03E92"/>
    <w:rsid w:val="00D03F8D"/>
    <w:rsid w:val="00D05574"/>
    <w:rsid w:val="00D07486"/>
    <w:rsid w:val="00D077D1"/>
    <w:rsid w:val="00D07C3B"/>
    <w:rsid w:val="00D07FE4"/>
    <w:rsid w:val="00D104D0"/>
    <w:rsid w:val="00D1223A"/>
    <w:rsid w:val="00D147C9"/>
    <w:rsid w:val="00D14B7A"/>
    <w:rsid w:val="00D15B2E"/>
    <w:rsid w:val="00D20DA9"/>
    <w:rsid w:val="00D214A0"/>
    <w:rsid w:val="00D224AD"/>
    <w:rsid w:val="00D22A0C"/>
    <w:rsid w:val="00D244B3"/>
    <w:rsid w:val="00D24705"/>
    <w:rsid w:val="00D24A97"/>
    <w:rsid w:val="00D24E07"/>
    <w:rsid w:val="00D27B1E"/>
    <w:rsid w:val="00D30512"/>
    <w:rsid w:val="00D30A31"/>
    <w:rsid w:val="00D30E9D"/>
    <w:rsid w:val="00D30FB0"/>
    <w:rsid w:val="00D31294"/>
    <w:rsid w:val="00D31B0A"/>
    <w:rsid w:val="00D34743"/>
    <w:rsid w:val="00D34C0D"/>
    <w:rsid w:val="00D35009"/>
    <w:rsid w:val="00D350AF"/>
    <w:rsid w:val="00D359AC"/>
    <w:rsid w:val="00D36722"/>
    <w:rsid w:val="00D36BAC"/>
    <w:rsid w:val="00D3706E"/>
    <w:rsid w:val="00D41146"/>
    <w:rsid w:val="00D41148"/>
    <w:rsid w:val="00D41205"/>
    <w:rsid w:val="00D41276"/>
    <w:rsid w:val="00D42FD7"/>
    <w:rsid w:val="00D43718"/>
    <w:rsid w:val="00D4441E"/>
    <w:rsid w:val="00D447B5"/>
    <w:rsid w:val="00D45EAD"/>
    <w:rsid w:val="00D46182"/>
    <w:rsid w:val="00D53005"/>
    <w:rsid w:val="00D53277"/>
    <w:rsid w:val="00D53344"/>
    <w:rsid w:val="00D53E72"/>
    <w:rsid w:val="00D57796"/>
    <w:rsid w:val="00D60776"/>
    <w:rsid w:val="00D609D7"/>
    <w:rsid w:val="00D60C29"/>
    <w:rsid w:val="00D610AC"/>
    <w:rsid w:val="00D623F8"/>
    <w:rsid w:val="00D642AC"/>
    <w:rsid w:val="00D64D9E"/>
    <w:rsid w:val="00D65D68"/>
    <w:rsid w:val="00D6643B"/>
    <w:rsid w:val="00D66DB6"/>
    <w:rsid w:val="00D67EB8"/>
    <w:rsid w:val="00D700DC"/>
    <w:rsid w:val="00D70691"/>
    <w:rsid w:val="00D71122"/>
    <w:rsid w:val="00D71C91"/>
    <w:rsid w:val="00D7303E"/>
    <w:rsid w:val="00D73047"/>
    <w:rsid w:val="00D73A5C"/>
    <w:rsid w:val="00D742B1"/>
    <w:rsid w:val="00D74381"/>
    <w:rsid w:val="00D744E7"/>
    <w:rsid w:val="00D753C3"/>
    <w:rsid w:val="00D754EA"/>
    <w:rsid w:val="00D76441"/>
    <w:rsid w:val="00D806D5"/>
    <w:rsid w:val="00D80C3D"/>
    <w:rsid w:val="00D80EAB"/>
    <w:rsid w:val="00D82E00"/>
    <w:rsid w:val="00D8349E"/>
    <w:rsid w:val="00D83A76"/>
    <w:rsid w:val="00D83A7B"/>
    <w:rsid w:val="00D85F56"/>
    <w:rsid w:val="00D86428"/>
    <w:rsid w:val="00D86FD5"/>
    <w:rsid w:val="00D90807"/>
    <w:rsid w:val="00D912B1"/>
    <w:rsid w:val="00D9338F"/>
    <w:rsid w:val="00D93860"/>
    <w:rsid w:val="00D94F55"/>
    <w:rsid w:val="00D95350"/>
    <w:rsid w:val="00DA0918"/>
    <w:rsid w:val="00DA0D38"/>
    <w:rsid w:val="00DA1100"/>
    <w:rsid w:val="00DA1113"/>
    <w:rsid w:val="00DA242F"/>
    <w:rsid w:val="00DA391C"/>
    <w:rsid w:val="00DA5323"/>
    <w:rsid w:val="00DA5F12"/>
    <w:rsid w:val="00DA671C"/>
    <w:rsid w:val="00DA7291"/>
    <w:rsid w:val="00DA7C35"/>
    <w:rsid w:val="00DB10B9"/>
    <w:rsid w:val="00DB13CD"/>
    <w:rsid w:val="00DB15B7"/>
    <w:rsid w:val="00DB16B9"/>
    <w:rsid w:val="00DB1A1F"/>
    <w:rsid w:val="00DB20D7"/>
    <w:rsid w:val="00DB3B70"/>
    <w:rsid w:val="00DB504E"/>
    <w:rsid w:val="00DB54E3"/>
    <w:rsid w:val="00DB6084"/>
    <w:rsid w:val="00DB6AE5"/>
    <w:rsid w:val="00DB7EA8"/>
    <w:rsid w:val="00DC10ED"/>
    <w:rsid w:val="00DC1625"/>
    <w:rsid w:val="00DC20DB"/>
    <w:rsid w:val="00DC258C"/>
    <w:rsid w:val="00DC373A"/>
    <w:rsid w:val="00DC38D5"/>
    <w:rsid w:val="00DC468D"/>
    <w:rsid w:val="00DC4B24"/>
    <w:rsid w:val="00DC4C3D"/>
    <w:rsid w:val="00DC687F"/>
    <w:rsid w:val="00DC722E"/>
    <w:rsid w:val="00DD235F"/>
    <w:rsid w:val="00DD3540"/>
    <w:rsid w:val="00DD4FD5"/>
    <w:rsid w:val="00DD50F6"/>
    <w:rsid w:val="00DD7E83"/>
    <w:rsid w:val="00DE2426"/>
    <w:rsid w:val="00DE37C0"/>
    <w:rsid w:val="00DE455B"/>
    <w:rsid w:val="00DE4744"/>
    <w:rsid w:val="00DE7CA3"/>
    <w:rsid w:val="00DF0FC9"/>
    <w:rsid w:val="00DF2E48"/>
    <w:rsid w:val="00DF61E3"/>
    <w:rsid w:val="00DF7282"/>
    <w:rsid w:val="00DF7E8A"/>
    <w:rsid w:val="00E01F07"/>
    <w:rsid w:val="00E03348"/>
    <w:rsid w:val="00E0456B"/>
    <w:rsid w:val="00E0548C"/>
    <w:rsid w:val="00E05FA7"/>
    <w:rsid w:val="00E1166F"/>
    <w:rsid w:val="00E117D0"/>
    <w:rsid w:val="00E120F0"/>
    <w:rsid w:val="00E1212D"/>
    <w:rsid w:val="00E131B0"/>
    <w:rsid w:val="00E13886"/>
    <w:rsid w:val="00E13BA1"/>
    <w:rsid w:val="00E15149"/>
    <w:rsid w:val="00E15744"/>
    <w:rsid w:val="00E15842"/>
    <w:rsid w:val="00E15CF4"/>
    <w:rsid w:val="00E15D72"/>
    <w:rsid w:val="00E16378"/>
    <w:rsid w:val="00E20AF8"/>
    <w:rsid w:val="00E20E9D"/>
    <w:rsid w:val="00E227C5"/>
    <w:rsid w:val="00E2363D"/>
    <w:rsid w:val="00E23AC3"/>
    <w:rsid w:val="00E25383"/>
    <w:rsid w:val="00E25724"/>
    <w:rsid w:val="00E3001E"/>
    <w:rsid w:val="00E31720"/>
    <w:rsid w:val="00E32104"/>
    <w:rsid w:val="00E32942"/>
    <w:rsid w:val="00E32C7D"/>
    <w:rsid w:val="00E34280"/>
    <w:rsid w:val="00E348BC"/>
    <w:rsid w:val="00E34D09"/>
    <w:rsid w:val="00E34F28"/>
    <w:rsid w:val="00E35DDE"/>
    <w:rsid w:val="00E36C50"/>
    <w:rsid w:val="00E37230"/>
    <w:rsid w:val="00E37BDF"/>
    <w:rsid w:val="00E37F0C"/>
    <w:rsid w:val="00E401CB"/>
    <w:rsid w:val="00E40844"/>
    <w:rsid w:val="00E42A61"/>
    <w:rsid w:val="00E42A76"/>
    <w:rsid w:val="00E42C71"/>
    <w:rsid w:val="00E4366D"/>
    <w:rsid w:val="00E4396E"/>
    <w:rsid w:val="00E44397"/>
    <w:rsid w:val="00E45142"/>
    <w:rsid w:val="00E452AB"/>
    <w:rsid w:val="00E45791"/>
    <w:rsid w:val="00E45D03"/>
    <w:rsid w:val="00E472D5"/>
    <w:rsid w:val="00E509DB"/>
    <w:rsid w:val="00E51178"/>
    <w:rsid w:val="00E517EC"/>
    <w:rsid w:val="00E518C6"/>
    <w:rsid w:val="00E51C05"/>
    <w:rsid w:val="00E51D42"/>
    <w:rsid w:val="00E532C7"/>
    <w:rsid w:val="00E532D9"/>
    <w:rsid w:val="00E53E8D"/>
    <w:rsid w:val="00E53F33"/>
    <w:rsid w:val="00E54CE5"/>
    <w:rsid w:val="00E5578C"/>
    <w:rsid w:val="00E56A86"/>
    <w:rsid w:val="00E56B68"/>
    <w:rsid w:val="00E57D92"/>
    <w:rsid w:val="00E57F5F"/>
    <w:rsid w:val="00E6025A"/>
    <w:rsid w:val="00E60554"/>
    <w:rsid w:val="00E609E5"/>
    <w:rsid w:val="00E60D7D"/>
    <w:rsid w:val="00E62B02"/>
    <w:rsid w:val="00E631D3"/>
    <w:rsid w:val="00E64826"/>
    <w:rsid w:val="00E64CC8"/>
    <w:rsid w:val="00E6510E"/>
    <w:rsid w:val="00E658B3"/>
    <w:rsid w:val="00E66417"/>
    <w:rsid w:val="00E66F0E"/>
    <w:rsid w:val="00E712BF"/>
    <w:rsid w:val="00E72E74"/>
    <w:rsid w:val="00E73950"/>
    <w:rsid w:val="00E73C07"/>
    <w:rsid w:val="00E74C11"/>
    <w:rsid w:val="00E74D9F"/>
    <w:rsid w:val="00E75817"/>
    <w:rsid w:val="00E76382"/>
    <w:rsid w:val="00E7640B"/>
    <w:rsid w:val="00E767C3"/>
    <w:rsid w:val="00E76EB5"/>
    <w:rsid w:val="00E77978"/>
    <w:rsid w:val="00E77A3E"/>
    <w:rsid w:val="00E77BE9"/>
    <w:rsid w:val="00E77F8F"/>
    <w:rsid w:val="00E80413"/>
    <w:rsid w:val="00E814F7"/>
    <w:rsid w:val="00E821EC"/>
    <w:rsid w:val="00E83E99"/>
    <w:rsid w:val="00E84072"/>
    <w:rsid w:val="00E8708E"/>
    <w:rsid w:val="00E8717D"/>
    <w:rsid w:val="00E877C1"/>
    <w:rsid w:val="00E9022E"/>
    <w:rsid w:val="00E90356"/>
    <w:rsid w:val="00E912EC"/>
    <w:rsid w:val="00E92198"/>
    <w:rsid w:val="00E936CC"/>
    <w:rsid w:val="00E93F91"/>
    <w:rsid w:val="00E942A6"/>
    <w:rsid w:val="00E94845"/>
    <w:rsid w:val="00E95119"/>
    <w:rsid w:val="00E95824"/>
    <w:rsid w:val="00E96918"/>
    <w:rsid w:val="00E9712C"/>
    <w:rsid w:val="00E97608"/>
    <w:rsid w:val="00EA05EE"/>
    <w:rsid w:val="00EA0627"/>
    <w:rsid w:val="00EA22ED"/>
    <w:rsid w:val="00EA3A82"/>
    <w:rsid w:val="00EA47CD"/>
    <w:rsid w:val="00EA6E30"/>
    <w:rsid w:val="00EB0043"/>
    <w:rsid w:val="00EB0677"/>
    <w:rsid w:val="00EB220B"/>
    <w:rsid w:val="00EB3B97"/>
    <w:rsid w:val="00EB47F0"/>
    <w:rsid w:val="00EB5591"/>
    <w:rsid w:val="00EB7226"/>
    <w:rsid w:val="00EC0481"/>
    <w:rsid w:val="00EC1A45"/>
    <w:rsid w:val="00EC276E"/>
    <w:rsid w:val="00EC3DD3"/>
    <w:rsid w:val="00EC73EE"/>
    <w:rsid w:val="00ED09C2"/>
    <w:rsid w:val="00ED1A5E"/>
    <w:rsid w:val="00ED2261"/>
    <w:rsid w:val="00ED270D"/>
    <w:rsid w:val="00ED522A"/>
    <w:rsid w:val="00ED5626"/>
    <w:rsid w:val="00ED5C9E"/>
    <w:rsid w:val="00ED60E4"/>
    <w:rsid w:val="00ED67EF"/>
    <w:rsid w:val="00ED7A6F"/>
    <w:rsid w:val="00EE03ED"/>
    <w:rsid w:val="00EE0910"/>
    <w:rsid w:val="00EE0DFA"/>
    <w:rsid w:val="00EE10E5"/>
    <w:rsid w:val="00EE14CA"/>
    <w:rsid w:val="00EE682F"/>
    <w:rsid w:val="00EE6D6A"/>
    <w:rsid w:val="00EE78DC"/>
    <w:rsid w:val="00EF009D"/>
    <w:rsid w:val="00EF08FB"/>
    <w:rsid w:val="00EF0DAC"/>
    <w:rsid w:val="00EF12E6"/>
    <w:rsid w:val="00EF1C33"/>
    <w:rsid w:val="00EF1CEC"/>
    <w:rsid w:val="00EF3AAC"/>
    <w:rsid w:val="00EF3B4D"/>
    <w:rsid w:val="00EF46A4"/>
    <w:rsid w:val="00EF4E28"/>
    <w:rsid w:val="00EF5AB0"/>
    <w:rsid w:val="00EF6DAD"/>
    <w:rsid w:val="00EF6DC6"/>
    <w:rsid w:val="00EF7C4F"/>
    <w:rsid w:val="00F009A5"/>
    <w:rsid w:val="00F00DEC"/>
    <w:rsid w:val="00F02496"/>
    <w:rsid w:val="00F02850"/>
    <w:rsid w:val="00F0443C"/>
    <w:rsid w:val="00F051E2"/>
    <w:rsid w:val="00F05624"/>
    <w:rsid w:val="00F12009"/>
    <w:rsid w:val="00F1209B"/>
    <w:rsid w:val="00F120BE"/>
    <w:rsid w:val="00F12337"/>
    <w:rsid w:val="00F15985"/>
    <w:rsid w:val="00F163FF"/>
    <w:rsid w:val="00F17E76"/>
    <w:rsid w:val="00F205D6"/>
    <w:rsid w:val="00F20786"/>
    <w:rsid w:val="00F214D1"/>
    <w:rsid w:val="00F21E03"/>
    <w:rsid w:val="00F220A1"/>
    <w:rsid w:val="00F22DA3"/>
    <w:rsid w:val="00F2303C"/>
    <w:rsid w:val="00F244B5"/>
    <w:rsid w:val="00F2510D"/>
    <w:rsid w:val="00F2638C"/>
    <w:rsid w:val="00F27ADF"/>
    <w:rsid w:val="00F36A81"/>
    <w:rsid w:val="00F403CF"/>
    <w:rsid w:val="00F409FA"/>
    <w:rsid w:val="00F40B74"/>
    <w:rsid w:val="00F41862"/>
    <w:rsid w:val="00F41DC4"/>
    <w:rsid w:val="00F42274"/>
    <w:rsid w:val="00F42707"/>
    <w:rsid w:val="00F42C95"/>
    <w:rsid w:val="00F4378D"/>
    <w:rsid w:val="00F43E14"/>
    <w:rsid w:val="00F44573"/>
    <w:rsid w:val="00F44951"/>
    <w:rsid w:val="00F47AE1"/>
    <w:rsid w:val="00F502E0"/>
    <w:rsid w:val="00F50E4A"/>
    <w:rsid w:val="00F50F49"/>
    <w:rsid w:val="00F514D9"/>
    <w:rsid w:val="00F52535"/>
    <w:rsid w:val="00F53295"/>
    <w:rsid w:val="00F5337F"/>
    <w:rsid w:val="00F53EB0"/>
    <w:rsid w:val="00F53F90"/>
    <w:rsid w:val="00F55EE5"/>
    <w:rsid w:val="00F56CF0"/>
    <w:rsid w:val="00F56E8B"/>
    <w:rsid w:val="00F57894"/>
    <w:rsid w:val="00F608B6"/>
    <w:rsid w:val="00F61C26"/>
    <w:rsid w:val="00F6274C"/>
    <w:rsid w:val="00F628EF"/>
    <w:rsid w:val="00F62E87"/>
    <w:rsid w:val="00F63D90"/>
    <w:rsid w:val="00F64507"/>
    <w:rsid w:val="00F64525"/>
    <w:rsid w:val="00F66792"/>
    <w:rsid w:val="00F67840"/>
    <w:rsid w:val="00F678A2"/>
    <w:rsid w:val="00F7090B"/>
    <w:rsid w:val="00F70A49"/>
    <w:rsid w:val="00F711FC"/>
    <w:rsid w:val="00F71C8B"/>
    <w:rsid w:val="00F71D2F"/>
    <w:rsid w:val="00F72010"/>
    <w:rsid w:val="00F74496"/>
    <w:rsid w:val="00F74A17"/>
    <w:rsid w:val="00F755F1"/>
    <w:rsid w:val="00F779F6"/>
    <w:rsid w:val="00F805FA"/>
    <w:rsid w:val="00F819A9"/>
    <w:rsid w:val="00F819C0"/>
    <w:rsid w:val="00F82AE0"/>
    <w:rsid w:val="00F833DE"/>
    <w:rsid w:val="00F83DC3"/>
    <w:rsid w:val="00F84D46"/>
    <w:rsid w:val="00F85DC1"/>
    <w:rsid w:val="00F8695B"/>
    <w:rsid w:val="00F87181"/>
    <w:rsid w:val="00F87D94"/>
    <w:rsid w:val="00F90F7C"/>
    <w:rsid w:val="00F9210B"/>
    <w:rsid w:val="00F936E3"/>
    <w:rsid w:val="00F937E1"/>
    <w:rsid w:val="00F94439"/>
    <w:rsid w:val="00F94467"/>
    <w:rsid w:val="00F94C2F"/>
    <w:rsid w:val="00F94C7B"/>
    <w:rsid w:val="00FA03A1"/>
    <w:rsid w:val="00FA0C9A"/>
    <w:rsid w:val="00FA12B2"/>
    <w:rsid w:val="00FA16DD"/>
    <w:rsid w:val="00FA1CE3"/>
    <w:rsid w:val="00FA1DEB"/>
    <w:rsid w:val="00FA25A3"/>
    <w:rsid w:val="00FA2A9B"/>
    <w:rsid w:val="00FA479B"/>
    <w:rsid w:val="00FA6230"/>
    <w:rsid w:val="00FA76DD"/>
    <w:rsid w:val="00FB01D9"/>
    <w:rsid w:val="00FB2160"/>
    <w:rsid w:val="00FB3088"/>
    <w:rsid w:val="00FB5291"/>
    <w:rsid w:val="00FB53F6"/>
    <w:rsid w:val="00FB716F"/>
    <w:rsid w:val="00FB75B9"/>
    <w:rsid w:val="00FB798B"/>
    <w:rsid w:val="00FC0F66"/>
    <w:rsid w:val="00FC3C75"/>
    <w:rsid w:val="00FC5C13"/>
    <w:rsid w:val="00FC65C8"/>
    <w:rsid w:val="00FC6E1D"/>
    <w:rsid w:val="00FD0C82"/>
    <w:rsid w:val="00FD14CA"/>
    <w:rsid w:val="00FD271A"/>
    <w:rsid w:val="00FD3269"/>
    <w:rsid w:val="00FD3AA2"/>
    <w:rsid w:val="00FD3ADD"/>
    <w:rsid w:val="00FD5677"/>
    <w:rsid w:val="00FD6804"/>
    <w:rsid w:val="00FD7401"/>
    <w:rsid w:val="00FE21D5"/>
    <w:rsid w:val="00FE38F3"/>
    <w:rsid w:val="00FE50C7"/>
    <w:rsid w:val="00FE57B0"/>
    <w:rsid w:val="00FE60E1"/>
    <w:rsid w:val="00FE75C2"/>
    <w:rsid w:val="00FF10CF"/>
    <w:rsid w:val="00FF1166"/>
    <w:rsid w:val="00FF1858"/>
    <w:rsid w:val="00FF2DED"/>
    <w:rsid w:val="00FF37EF"/>
    <w:rsid w:val="00FF5DE8"/>
    <w:rsid w:val="00FF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link w:val="FooterChar"/>
    <w:uiPriority w:val="99"/>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 w:type="paragraph" w:styleId="TOCHeading">
    <w:name w:val="TOC Heading"/>
    <w:basedOn w:val="Heading1"/>
    <w:next w:val="Normal"/>
    <w:uiPriority w:val="39"/>
    <w:unhideWhenUsed/>
    <w:qFormat/>
    <w:rsid w:val="00644504"/>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customStyle="1" w:styleId="FooterChar">
    <w:name w:val="Footer Char"/>
    <w:basedOn w:val="DefaultParagraphFont"/>
    <w:link w:val="Footer"/>
    <w:uiPriority w:val="99"/>
    <w:rsid w:val="00644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link w:val="FooterChar"/>
    <w:uiPriority w:val="99"/>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 w:type="paragraph" w:styleId="TOCHeading">
    <w:name w:val="TOC Heading"/>
    <w:basedOn w:val="Heading1"/>
    <w:next w:val="Normal"/>
    <w:uiPriority w:val="39"/>
    <w:unhideWhenUsed/>
    <w:qFormat/>
    <w:rsid w:val="00644504"/>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customStyle="1" w:styleId="FooterChar">
    <w:name w:val="Footer Char"/>
    <w:basedOn w:val="DefaultParagraphFont"/>
    <w:link w:val="Footer"/>
    <w:uiPriority w:val="99"/>
    <w:rsid w:val="0064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1733">
      <w:bodyDiv w:val="1"/>
      <w:marLeft w:val="0"/>
      <w:marRight w:val="0"/>
      <w:marTop w:val="0"/>
      <w:marBottom w:val="0"/>
      <w:divBdr>
        <w:top w:val="none" w:sz="0" w:space="0" w:color="auto"/>
        <w:left w:val="none" w:sz="0" w:space="0" w:color="auto"/>
        <w:bottom w:val="none" w:sz="0" w:space="0" w:color="auto"/>
        <w:right w:val="none" w:sz="0" w:space="0" w:color="auto"/>
      </w:divBdr>
    </w:div>
    <w:div w:id="221404132">
      <w:bodyDiv w:val="1"/>
      <w:marLeft w:val="0"/>
      <w:marRight w:val="0"/>
      <w:marTop w:val="0"/>
      <w:marBottom w:val="0"/>
      <w:divBdr>
        <w:top w:val="none" w:sz="0" w:space="0" w:color="auto"/>
        <w:left w:val="none" w:sz="0" w:space="0" w:color="auto"/>
        <w:bottom w:val="none" w:sz="0" w:space="0" w:color="auto"/>
        <w:right w:val="none" w:sz="0" w:space="0" w:color="auto"/>
      </w:divBdr>
    </w:div>
    <w:div w:id="670835386">
      <w:bodyDiv w:val="1"/>
      <w:marLeft w:val="0"/>
      <w:marRight w:val="0"/>
      <w:marTop w:val="0"/>
      <w:marBottom w:val="0"/>
      <w:divBdr>
        <w:top w:val="none" w:sz="0" w:space="0" w:color="auto"/>
        <w:left w:val="none" w:sz="0" w:space="0" w:color="auto"/>
        <w:bottom w:val="none" w:sz="0" w:space="0" w:color="auto"/>
        <w:right w:val="none" w:sz="0" w:space="0" w:color="auto"/>
      </w:divBdr>
    </w:div>
    <w:div w:id="728458658">
      <w:bodyDiv w:val="1"/>
      <w:marLeft w:val="0"/>
      <w:marRight w:val="0"/>
      <w:marTop w:val="0"/>
      <w:marBottom w:val="0"/>
      <w:divBdr>
        <w:top w:val="none" w:sz="0" w:space="0" w:color="auto"/>
        <w:left w:val="none" w:sz="0" w:space="0" w:color="auto"/>
        <w:bottom w:val="none" w:sz="0" w:space="0" w:color="auto"/>
        <w:right w:val="none" w:sz="0" w:space="0" w:color="auto"/>
      </w:divBdr>
    </w:div>
    <w:div w:id="868253017">
      <w:bodyDiv w:val="1"/>
      <w:marLeft w:val="0"/>
      <w:marRight w:val="0"/>
      <w:marTop w:val="0"/>
      <w:marBottom w:val="0"/>
      <w:divBdr>
        <w:top w:val="none" w:sz="0" w:space="0" w:color="auto"/>
        <w:left w:val="none" w:sz="0" w:space="0" w:color="auto"/>
        <w:bottom w:val="none" w:sz="0" w:space="0" w:color="auto"/>
        <w:right w:val="none" w:sz="0" w:space="0" w:color="auto"/>
      </w:divBdr>
    </w:div>
    <w:div w:id="884485263">
      <w:bodyDiv w:val="1"/>
      <w:marLeft w:val="0"/>
      <w:marRight w:val="0"/>
      <w:marTop w:val="0"/>
      <w:marBottom w:val="0"/>
      <w:divBdr>
        <w:top w:val="none" w:sz="0" w:space="0" w:color="auto"/>
        <w:left w:val="none" w:sz="0" w:space="0" w:color="auto"/>
        <w:bottom w:val="none" w:sz="0" w:space="0" w:color="auto"/>
        <w:right w:val="none" w:sz="0" w:space="0" w:color="auto"/>
      </w:divBdr>
    </w:div>
    <w:div w:id="912470714">
      <w:bodyDiv w:val="1"/>
      <w:marLeft w:val="0"/>
      <w:marRight w:val="0"/>
      <w:marTop w:val="0"/>
      <w:marBottom w:val="0"/>
      <w:divBdr>
        <w:top w:val="none" w:sz="0" w:space="0" w:color="auto"/>
        <w:left w:val="none" w:sz="0" w:space="0" w:color="auto"/>
        <w:bottom w:val="none" w:sz="0" w:space="0" w:color="auto"/>
        <w:right w:val="none" w:sz="0" w:space="0" w:color="auto"/>
      </w:divBdr>
    </w:div>
    <w:div w:id="932781896">
      <w:bodyDiv w:val="1"/>
      <w:marLeft w:val="0"/>
      <w:marRight w:val="0"/>
      <w:marTop w:val="0"/>
      <w:marBottom w:val="0"/>
      <w:divBdr>
        <w:top w:val="none" w:sz="0" w:space="0" w:color="auto"/>
        <w:left w:val="none" w:sz="0" w:space="0" w:color="auto"/>
        <w:bottom w:val="none" w:sz="0" w:space="0" w:color="auto"/>
        <w:right w:val="none" w:sz="0" w:space="0" w:color="auto"/>
      </w:divBdr>
    </w:div>
    <w:div w:id="990717687">
      <w:bodyDiv w:val="1"/>
      <w:marLeft w:val="0"/>
      <w:marRight w:val="0"/>
      <w:marTop w:val="0"/>
      <w:marBottom w:val="0"/>
      <w:divBdr>
        <w:top w:val="none" w:sz="0" w:space="0" w:color="auto"/>
        <w:left w:val="none" w:sz="0" w:space="0" w:color="auto"/>
        <w:bottom w:val="none" w:sz="0" w:space="0" w:color="auto"/>
        <w:right w:val="none" w:sz="0" w:space="0" w:color="auto"/>
      </w:divBdr>
    </w:div>
    <w:div w:id="1154373429">
      <w:bodyDiv w:val="1"/>
      <w:marLeft w:val="0"/>
      <w:marRight w:val="0"/>
      <w:marTop w:val="0"/>
      <w:marBottom w:val="0"/>
      <w:divBdr>
        <w:top w:val="none" w:sz="0" w:space="0" w:color="auto"/>
        <w:left w:val="none" w:sz="0" w:space="0" w:color="auto"/>
        <w:bottom w:val="none" w:sz="0" w:space="0" w:color="auto"/>
        <w:right w:val="none" w:sz="0" w:space="0" w:color="auto"/>
      </w:divBdr>
    </w:div>
    <w:div w:id="1161771630">
      <w:bodyDiv w:val="1"/>
      <w:marLeft w:val="0"/>
      <w:marRight w:val="0"/>
      <w:marTop w:val="0"/>
      <w:marBottom w:val="0"/>
      <w:divBdr>
        <w:top w:val="none" w:sz="0" w:space="0" w:color="auto"/>
        <w:left w:val="none" w:sz="0" w:space="0" w:color="auto"/>
        <w:bottom w:val="none" w:sz="0" w:space="0" w:color="auto"/>
        <w:right w:val="none" w:sz="0" w:space="0" w:color="auto"/>
      </w:divBdr>
    </w:div>
    <w:div w:id="1176651041">
      <w:bodyDiv w:val="1"/>
      <w:marLeft w:val="0"/>
      <w:marRight w:val="0"/>
      <w:marTop w:val="0"/>
      <w:marBottom w:val="0"/>
      <w:divBdr>
        <w:top w:val="none" w:sz="0" w:space="0" w:color="auto"/>
        <w:left w:val="none" w:sz="0" w:space="0" w:color="auto"/>
        <w:bottom w:val="none" w:sz="0" w:space="0" w:color="auto"/>
        <w:right w:val="none" w:sz="0" w:space="0" w:color="auto"/>
      </w:divBdr>
    </w:div>
    <w:div w:id="1201085828">
      <w:bodyDiv w:val="1"/>
      <w:marLeft w:val="0"/>
      <w:marRight w:val="0"/>
      <w:marTop w:val="0"/>
      <w:marBottom w:val="0"/>
      <w:divBdr>
        <w:top w:val="none" w:sz="0" w:space="0" w:color="auto"/>
        <w:left w:val="none" w:sz="0" w:space="0" w:color="auto"/>
        <w:bottom w:val="none" w:sz="0" w:space="0" w:color="auto"/>
        <w:right w:val="none" w:sz="0" w:space="0" w:color="auto"/>
      </w:divBdr>
    </w:div>
    <w:div w:id="1528059481">
      <w:bodyDiv w:val="1"/>
      <w:marLeft w:val="0"/>
      <w:marRight w:val="0"/>
      <w:marTop w:val="0"/>
      <w:marBottom w:val="0"/>
      <w:divBdr>
        <w:top w:val="none" w:sz="0" w:space="0" w:color="auto"/>
        <w:left w:val="none" w:sz="0" w:space="0" w:color="auto"/>
        <w:bottom w:val="none" w:sz="0" w:space="0" w:color="auto"/>
        <w:right w:val="none" w:sz="0" w:space="0" w:color="auto"/>
      </w:divBdr>
    </w:div>
    <w:div w:id="1556546909">
      <w:bodyDiv w:val="1"/>
      <w:marLeft w:val="0"/>
      <w:marRight w:val="0"/>
      <w:marTop w:val="0"/>
      <w:marBottom w:val="0"/>
      <w:divBdr>
        <w:top w:val="none" w:sz="0" w:space="0" w:color="auto"/>
        <w:left w:val="none" w:sz="0" w:space="0" w:color="auto"/>
        <w:bottom w:val="none" w:sz="0" w:space="0" w:color="auto"/>
        <w:right w:val="none" w:sz="0" w:space="0" w:color="auto"/>
      </w:divBdr>
    </w:div>
    <w:div w:id="1584023061">
      <w:bodyDiv w:val="1"/>
      <w:marLeft w:val="0"/>
      <w:marRight w:val="0"/>
      <w:marTop w:val="0"/>
      <w:marBottom w:val="0"/>
      <w:divBdr>
        <w:top w:val="none" w:sz="0" w:space="0" w:color="auto"/>
        <w:left w:val="none" w:sz="0" w:space="0" w:color="auto"/>
        <w:bottom w:val="none" w:sz="0" w:space="0" w:color="auto"/>
        <w:right w:val="none" w:sz="0" w:space="0" w:color="auto"/>
      </w:divBdr>
    </w:div>
    <w:div w:id="1691181592">
      <w:bodyDiv w:val="1"/>
      <w:marLeft w:val="0"/>
      <w:marRight w:val="0"/>
      <w:marTop w:val="0"/>
      <w:marBottom w:val="0"/>
      <w:divBdr>
        <w:top w:val="none" w:sz="0" w:space="0" w:color="auto"/>
        <w:left w:val="none" w:sz="0" w:space="0" w:color="auto"/>
        <w:bottom w:val="none" w:sz="0" w:space="0" w:color="auto"/>
        <w:right w:val="none" w:sz="0" w:space="0" w:color="auto"/>
      </w:divBdr>
    </w:div>
    <w:div w:id="1840264904">
      <w:bodyDiv w:val="1"/>
      <w:marLeft w:val="0"/>
      <w:marRight w:val="0"/>
      <w:marTop w:val="0"/>
      <w:marBottom w:val="0"/>
      <w:divBdr>
        <w:top w:val="none" w:sz="0" w:space="0" w:color="auto"/>
        <w:left w:val="none" w:sz="0" w:space="0" w:color="auto"/>
        <w:bottom w:val="none" w:sz="0" w:space="0" w:color="auto"/>
        <w:right w:val="none" w:sz="0" w:space="0" w:color="auto"/>
      </w:divBdr>
    </w:div>
    <w:div w:id="1894151419">
      <w:bodyDiv w:val="1"/>
      <w:marLeft w:val="0"/>
      <w:marRight w:val="0"/>
      <w:marTop w:val="0"/>
      <w:marBottom w:val="0"/>
      <w:divBdr>
        <w:top w:val="none" w:sz="0" w:space="0" w:color="auto"/>
        <w:left w:val="none" w:sz="0" w:space="0" w:color="auto"/>
        <w:bottom w:val="none" w:sz="0" w:space="0" w:color="auto"/>
        <w:right w:val="none" w:sz="0" w:space="0" w:color="auto"/>
      </w:divBdr>
    </w:div>
    <w:div w:id="1927953470">
      <w:bodyDiv w:val="1"/>
      <w:marLeft w:val="0"/>
      <w:marRight w:val="0"/>
      <w:marTop w:val="0"/>
      <w:marBottom w:val="0"/>
      <w:divBdr>
        <w:top w:val="none" w:sz="0" w:space="0" w:color="auto"/>
        <w:left w:val="none" w:sz="0" w:space="0" w:color="auto"/>
        <w:bottom w:val="none" w:sz="0" w:space="0" w:color="auto"/>
        <w:right w:val="none" w:sz="0" w:space="0" w:color="auto"/>
      </w:divBdr>
    </w:div>
    <w:div w:id="1990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ia.gov/totalenergy/data/annua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ia.gov/electricity/annual" TargetMode="External"/><Relationship Id="rId2" Type="http://schemas.openxmlformats.org/officeDocument/2006/relationships/numbering" Target="numbering.xml"/><Relationship Id="rId16" Type="http://schemas.openxmlformats.org/officeDocument/2006/relationships/hyperlink" Target="http://www.eia.gov/forecasts/aeo/e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1DC83-4698-4630-8A40-4C0FFE66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4702</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 OE781R</vt:lpstr>
    </vt:vector>
  </TitlesOfParts>
  <Manager>Stone, Howard</Manager>
  <Company>US DOE/EIa</Company>
  <LinksUpToDate>false</LinksUpToDate>
  <CharactersWithSpaces>31600</CharactersWithSpaces>
  <SharedDoc>false</SharedDoc>
  <HLinks>
    <vt:vector size="144" baseType="variant">
      <vt:variant>
        <vt:i4>1572925</vt:i4>
      </vt:variant>
      <vt:variant>
        <vt:i4>143</vt:i4>
      </vt:variant>
      <vt:variant>
        <vt:i4>0</vt:i4>
      </vt:variant>
      <vt:variant>
        <vt:i4>5</vt:i4>
      </vt:variant>
      <vt:variant>
        <vt:lpwstr/>
      </vt:variant>
      <vt:variant>
        <vt:lpwstr>_Toc307985136</vt:lpwstr>
      </vt:variant>
      <vt:variant>
        <vt:i4>1572925</vt:i4>
      </vt:variant>
      <vt:variant>
        <vt:i4>137</vt:i4>
      </vt:variant>
      <vt:variant>
        <vt:i4>0</vt:i4>
      </vt:variant>
      <vt:variant>
        <vt:i4>5</vt:i4>
      </vt:variant>
      <vt:variant>
        <vt:lpwstr/>
      </vt:variant>
      <vt:variant>
        <vt:lpwstr>_Toc307985135</vt:lpwstr>
      </vt:variant>
      <vt:variant>
        <vt:i4>1048638</vt:i4>
      </vt:variant>
      <vt:variant>
        <vt:i4>128</vt:i4>
      </vt:variant>
      <vt:variant>
        <vt:i4>0</vt:i4>
      </vt:variant>
      <vt:variant>
        <vt:i4>5</vt:i4>
      </vt:variant>
      <vt:variant>
        <vt:lpwstr/>
      </vt:variant>
      <vt:variant>
        <vt:lpwstr>_Toc309722620</vt:lpwstr>
      </vt:variant>
      <vt:variant>
        <vt:i4>1048638</vt:i4>
      </vt:variant>
      <vt:variant>
        <vt:i4>122</vt:i4>
      </vt:variant>
      <vt:variant>
        <vt:i4>0</vt:i4>
      </vt:variant>
      <vt:variant>
        <vt:i4>5</vt:i4>
      </vt:variant>
      <vt:variant>
        <vt:lpwstr/>
      </vt:variant>
      <vt:variant>
        <vt:lpwstr>_Toc309722620</vt:lpwstr>
      </vt:variant>
      <vt:variant>
        <vt:i4>1245246</vt:i4>
      </vt:variant>
      <vt:variant>
        <vt:i4>116</vt:i4>
      </vt:variant>
      <vt:variant>
        <vt:i4>0</vt:i4>
      </vt:variant>
      <vt:variant>
        <vt:i4>5</vt:i4>
      </vt:variant>
      <vt:variant>
        <vt:lpwstr/>
      </vt:variant>
      <vt:variant>
        <vt:lpwstr>_Toc309722619</vt:lpwstr>
      </vt:variant>
      <vt:variant>
        <vt:i4>1245246</vt:i4>
      </vt:variant>
      <vt:variant>
        <vt:i4>110</vt:i4>
      </vt:variant>
      <vt:variant>
        <vt:i4>0</vt:i4>
      </vt:variant>
      <vt:variant>
        <vt:i4>5</vt:i4>
      </vt:variant>
      <vt:variant>
        <vt:lpwstr/>
      </vt:variant>
      <vt:variant>
        <vt:lpwstr>_Toc309722618</vt:lpwstr>
      </vt:variant>
      <vt:variant>
        <vt:i4>1245246</vt:i4>
      </vt:variant>
      <vt:variant>
        <vt:i4>104</vt:i4>
      </vt:variant>
      <vt:variant>
        <vt:i4>0</vt:i4>
      </vt:variant>
      <vt:variant>
        <vt:i4>5</vt:i4>
      </vt:variant>
      <vt:variant>
        <vt:lpwstr/>
      </vt:variant>
      <vt:variant>
        <vt:lpwstr>_Toc309722617</vt:lpwstr>
      </vt:variant>
      <vt:variant>
        <vt:i4>1245246</vt:i4>
      </vt:variant>
      <vt:variant>
        <vt:i4>98</vt:i4>
      </vt:variant>
      <vt:variant>
        <vt:i4>0</vt:i4>
      </vt:variant>
      <vt:variant>
        <vt:i4>5</vt:i4>
      </vt:variant>
      <vt:variant>
        <vt:lpwstr/>
      </vt:variant>
      <vt:variant>
        <vt:lpwstr>_Toc309722616</vt:lpwstr>
      </vt:variant>
      <vt:variant>
        <vt:i4>1245246</vt:i4>
      </vt:variant>
      <vt:variant>
        <vt:i4>92</vt:i4>
      </vt:variant>
      <vt:variant>
        <vt:i4>0</vt:i4>
      </vt:variant>
      <vt:variant>
        <vt:i4>5</vt:i4>
      </vt:variant>
      <vt:variant>
        <vt:lpwstr/>
      </vt:variant>
      <vt:variant>
        <vt:lpwstr>_Toc309722615</vt:lpwstr>
      </vt:variant>
      <vt:variant>
        <vt:i4>1245246</vt:i4>
      </vt:variant>
      <vt:variant>
        <vt:i4>86</vt:i4>
      </vt:variant>
      <vt:variant>
        <vt:i4>0</vt:i4>
      </vt:variant>
      <vt:variant>
        <vt:i4>5</vt:i4>
      </vt:variant>
      <vt:variant>
        <vt:lpwstr/>
      </vt:variant>
      <vt:variant>
        <vt:lpwstr>_Toc309722614</vt:lpwstr>
      </vt:variant>
      <vt:variant>
        <vt:i4>1245246</vt:i4>
      </vt:variant>
      <vt:variant>
        <vt:i4>80</vt:i4>
      </vt:variant>
      <vt:variant>
        <vt:i4>0</vt:i4>
      </vt:variant>
      <vt:variant>
        <vt:i4>5</vt:i4>
      </vt:variant>
      <vt:variant>
        <vt:lpwstr/>
      </vt:variant>
      <vt:variant>
        <vt:lpwstr>_Toc309722613</vt:lpwstr>
      </vt:variant>
      <vt:variant>
        <vt:i4>1245246</vt:i4>
      </vt:variant>
      <vt:variant>
        <vt:i4>74</vt:i4>
      </vt:variant>
      <vt:variant>
        <vt:i4>0</vt:i4>
      </vt:variant>
      <vt:variant>
        <vt:i4>5</vt:i4>
      </vt:variant>
      <vt:variant>
        <vt:lpwstr/>
      </vt:variant>
      <vt:variant>
        <vt:lpwstr>_Toc309722612</vt:lpwstr>
      </vt:variant>
      <vt:variant>
        <vt:i4>1245246</vt:i4>
      </vt:variant>
      <vt:variant>
        <vt:i4>68</vt:i4>
      </vt:variant>
      <vt:variant>
        <vt:i4>0</vt:i4>
      </vt:variant>
      <vt:variant>
        <vt:i4>5</vt:i4>
      </vt:variant>
      <vt:variant>
        <vt:lpwstr/>
      </vt:variant>
      <vt:variant>
        <vt:lpwstr>_Toc309722611</vt:lpwstr>
      </vt:variant>
      <vt:variant>
        <vt:i4>1245246</vt:i4>
      </vt:variant>
      <vt:variant>
        <vt:i4>62</vt:i4>
      </vt:variant>
      <vt:variant>
        <vt:i4>0</vt:i4>
      </vt:variant>
      <vt:variant>
        <vt:i4>5</vt:i4>
      </vt:variant>
      <vt:variant>
        <vt:lpwstr/>
      </vt:variant>
      <vt:variant>
        <vt:lpwstr>_Toc309722610</vt:lpwstr>
      </vt:variant>
      <vt:variant>
        <vt:i4>1179710</vt:i4>
      </vt:variant>
      <vt:variant>
        <vt:i4>56</vt:i4>
      </vt:variant>
      <vt:variant>
        <vt:i4>0</vt:i4>
      </vt:variant>
      <vt:variant>
        <vt:i4>5</vt:i4>
      </vt:variant>
      <vt:variant>
        <vt:lpwstr/>
      </vt:variant>
      <vt:variant>
        <vt:lpwstr>_Toc309722609</vt:lpwstr>
      </vt:variant>
      <vt:variant>
        <vt:i4>1179710</vt:i4>
      </vt:variant>
      <vt:variant>
        <vt:i4>50</vt:i4>
      </vt:variant>
      <vt:variant>
        <vt:i4>0</vt:i4>
      </vt:variant>
      <vt:variant>
        <vt:i4>5</vt:i4>
      </vt:variant>
      <vt:variant>
        <vt:lpwstr/>
      </vt:variant>
      <vt:variant>
        <vt:lpwstr>_Toc309722608</vt:lpwstr>
      </vt:variant>
      <vt:variant>
        <vt:i4>1179710</vt:i4>
      </vt:variant>
      <vt:variant>
        <vt:i4>44</vt:i4>
      </vt:variant>
      <vt:variant>
        <vt:i4>0</vt:i4>
      </vt:variant>
      <vt:variant>
        <vt:i4>5</vt:i4>
      </vt:variant>
      <vt:variant>
        <vt:lpwstr/>
      </vt:variant>
      <vt:variant>
        <vt:lpwstr>_Toc309722607</vt:lpwstr>
      </vt:variant>
      <vt:variant>
        <vt:i4>1179710</vt:i4>
      </vt:variant>
      <vt:variant>
        <vt:i4>38</vt:i4>
      </vt:variant>
      <vt:variant>
        <vt:i4>0</vt:i4>
      </vt:variant>
      <vt:variant>
        <vt:i4>5</vt:i4>
      </vt:variant>
      <vt:variant>
        <vt:lpwstr/>
      </vt:variant>
      <vt:variant>
        <vt:lpwstr>_Toc309722605</vt:lpwstr>
      </vt:variant>
      <vt:variant>
        <vt:i4>1179710</vt:i4>
      </vt:variant>
      <vt:variant>
        <vt:i4>32</vt:i4>
      </vt:variant>
      <vt:variant>
        <vt:i4>0</vt:i4>
      </vt:variant>
      <vt:variant>
        <vt:i4>5</vt:i4>
      </vt:variant>
      <vt:variant>
        <vt:lpwstr/>
      </vt:variant>
      <vt:variant>
        <vt:lpwstr>_Toc309722604</vt:lpwstr>
      </vt:variant>
      <vt:variant>
        <vt:i4>1179710</vt:i4>
      </vt:variant>
      <vt:variant>
        <vt:i4>26</vt:i4>
      </vt:variant>
      <vt:variant>
        <vt:i4>0</vt:i4>
      </vt:variant>
      <vt:variant>
        <vt:i4>5</vt:i4>
      </vt:variant>
      <vt:variant>
        <vt:lpwstr/>
      </vt:variant>
      <vt:variant>
        <vt:lpwstr>_Toc309722603</vt:lpwstr>
      </vt:variant>
      <vt:variant>
        <vt:i4>1179710</vt:i4>
      </vt:variant>
      <vt:variant>
        <vt:i4>20</vt:i4>
      </vt:variant>
      <vt:variant>
        <vt:i4>0</vt:i4>
      </vt:variant>
      <vt:variant>
        <vt:i4>5</vt:i4>
      </vt:variant>
      <vt:variant>
        <vt:lpwstr/>
      </vt:variant>
      <vt:variant>
        <vt:lpwstr>_Toc309722602</vt:lpwstr>
      </vt:variant>
      <vt:variant>
        <vt:i4>1179710</vt:i4>
      </vt:variant>
      <vt:variant>
        <vt:i4>14</vt:i4>
      </vt:variant>
      <vt:variant>
        <vt:i4>0</vt:i4>
      </vt:variant>
      <vt:variant>
        <vt:i4>5</vt:i4>
      </vt:variant>
      <vt:variant>
        <vt:lpwstr/>
      </vt:variant>
      <vt:variant>
        <vt:lpwstr>_Toc309722601</vt:lpwstr>
      </vt:variant>
      <vt:variant>
        <vt:i4>1769533</vt:i4>
      </vt:variant>
      <vt:variant>
        <vt:i4>8</vt:i4>
      </vt:variant>
      <vt:variant>
        <vt:i4>0</vt:i4>
      </vt:variant>
      <vt:variant>
        <vt:i4>5</vt:i4>
      </vt:variant>
      <vt:variant>
        <vt:lpwstr/>
      </vt:variant>
      <vt:variant>
        <vt:lpwstr>_Toc309722597</vt:lpwstr>
      </vt:variant>
      <vt:variant>
        <vt:i4>1769533</vt:i4>
      </vt:variant>
      <vt:variant>
        <vt:i4>2</vt:i4>
      </vt:variant>
      <vt:variant>
        <vt:i4>0</vt:i4>
      </vt:variant>
      <vt:variant>
        <vt:i4>5</vt:i4>
      </vt:variant>
      <vt:variant>
        <vt:lpwstr/>
      </vt:variant>
      <vt:variant>
        <vt:lpwstr>_Toc309722596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OE781R</dc:title>
  <dc:creator>Makens, John</dc:creator>
  <cp:lastModifiedBy>Jennings, Alethea</cp:lastModifiedBy>
  <cp:revision>8</cp:revision>
  <cp:lastPrinted>2015-07-10T13:15:00Z</cp:lastPrinted>
  <dcterms:created xsi:type="dcterms:W3CDTF">2015-07-10T14:56:00Z</dcterms:created>
  <dcterms:modified xsi:type="dcterms:W3CDTF">2015-07-10T21:39:00Z</dcterms:modified>
</cp:coreProperties>
</file>