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CFB01" w14:textId="3D12B06C" w:rsidR="00CD1C07" w:rsidRPr="000C18E1" w:rsidRDefault="000C18E1" w:rsidP="0067456F">
      <w:pPr>
        <w:tabs>
          <w:tab w:val="left" w:pos="4940"/>
        </w:tabs>
        <w:jc w:val="center"/>
        <w:rPr>
          <w:szCs w:val="26"/>
        </w:rPr>
      </w:pPr>
      <w:bookmarkStart w:id="0" w:name="_GoBack"/>
      <w:bookmarkEnd w:id="0"/>
      <w:r>
        <w:rPr>
          <w:szCs w:val="26"/>
        </w:rPr>
        <w:t>151 FERC ¶ 61,236</w:t>
      </w:r>
    </w:p>
    <w:p w14:paraId="25D6307A" w14:textId="77777777" w:rsidR="00CD1C07" w:rsidRPr="00C57BDC" w:rsidRDefault="00CD1C07" w:rsidP="0067456F">
      <w:pPr>
        <w:jc w:val="center"/>
        <w:rPr>
          <w:szCs w:val="26"/>
        </w:rPr>
      </w:pPr>
      <w:r w:rsidRPr="00C57BDC">
        <w:rPr>
          <w:szCs w:val="26"/>
        </w:rPr>
        <w:t>UNITED STATES OF AMERICA</w:t>
      </w:r>
    </w:p>
    <w:p w14:paraId="250E8D5E" w14:textId="77777777" w:rsidR="00CD1C07" w:rsidRPr="00C57BDC" w:rsidRDefault="00CD1C07" w:rsidP="0067456F">
      <w:pPr>
        <w:jc w:val="center"/>
        <w:rPr>
          <w:szCs w:val="26"/>
        </w:rPr>
      </w:pPr>
      <w:r w:rsidRPr="00C57BDC">
        <w:rPr>
          <w:szCs w:val="26"/>
        </w:rPr>
        <w:t>FEDERAL ENERGY REGULATORY COMMISSION</w:t>
      </w:r>
    </w:p>
    <w:p w14:paraId="3A5208D8" w14:textId="77777777" w:rsidR="00CD1C07" w:rsidRPr="00C57BDC" w:rsidRDefault="00CD1C07" w:rsidP="0067456F">
      <w:pPr>
        <w:jc w:val="center"/>
        <w:rPr>
          <w:szCs w:val="26"/>
        </w:rPr>
      </w:pPr>
    </w:p>
    <w:p w14:paraId="782A1B0F" w14:textId="77777777" w:rsidR="00CD1C07" w:rsidRPr="00C57BDC" w:rsidRDefault="00CD1C07" w:rsidP="0067456F">
      <w:pPr>
        <w:jc w:val="center"/>
        <w:rPr>
          <w:szCs w:val="26"/>
        </w:rPr>
      </w:pPr>
      <w:r w:rsidRPr="00C57BDC">
        <w:rPr>
          <w:szCs w:val="26"/>
        </w:rPr>
        <w:t xml:space="preserve">18 CFR </w:t>
      </w:r>
      <w:proofErr w:type="gramStart"/>
      <w:r w:rsidRPr="00C57BDC">
        <w:rPr>
          <w:szCs w:val="26"/>
        </w:rPr>
        <w:t>Part</w:t>
      </w:r>
      <w:proofErr w:type="gramEnd"/>
      <w:r w:rsidRPr="00C57BDC">
        <w:rPr>
          <w:szCs w:val="26"/>
        </w:rPr>
        <w:t xml:space="preserve"> 40</w:t>
      </w:r>
    </w:p>
    <w:p w14:paraId="025D116E" w14:textId="77777777" w:rsidR="00CD1C07" w:rsidRPr="00C57BDC" w:rsidRDefault="00CD1C07" w:rsidP="0067456F">
      <w:pPr>
        <w:jc w:val="center"/>
        <w:rPr>
          <w:szCs w:val="26"/>
        </w:rPr>
      </w:pPr>
    </w:p>
    <w:p w14:paraId="4772498E" w14:textId="77777777" w:rsidR="00CD1C07" w:rsidRPr="00C57BDC" w:rsidRDefault="00CD1C07" w:rsidP="0067456F">
      <w:pPr>
        <w:jc w:val="center"/>
        <w:rPr>
          <w:szCs w:val="26"/>
        </w:rPr>
      </w:pPr>
      <w:r w:rsidRPr="00C57BDC">
        <w:rPr>
          <w:szCs w:val="26"/>
        </w:rPr>
        <w:t>[Docket No. RM15-16-000]</w:t>
      </w:r>
    </w:p>
    <w:p w14:paraId="067CA6F5" w14:textId="77777777" w:rsidR="00CD1C07" w:rsidRPr="00C57BDC" w:rsidRDefault="00CD1C07" w:rsidP="0067456F">
      <w:pPr>
        <w:jc w:val="center"/>
        <w:rPr>
          <w:szCs w:val="26"/>
        </w:rPr>
      </w:pPr>
    </w:p>
    <w:p w14:paraId="771DAB5D" w14:textId="30260D00" w:rsidR="00CD1C07" w:rsidRPr="00C57BDC" w:rsidRDefault="00CD1C07" w:rsidP="0067456F">
      <w:pPr>
        <w:jc w:val="center"/>
        <w:rPr>
          <w:szCs w:val="26"/>
        </w:rPr>
      </w:pPr>
      <w:r w:rsidRPr="00C57BDC">
        <w:rPr>
          <w:szCs w:val="26"/>
        </w:rPr>
        <w:t xml:space="preserve">Transmission Operations Reliability Standards </w:t>
      </w:r>
      <w:r w:rsidR="00B34963" w:rsidRPr="00C57BDC">
        <w:rPr>
          <w:szCs w:val="26"/>
        </w:rPr>
        <w:t>and</w:t>
      </w:r>
    </w:p>
    <w:p w14:paraId="48440EFD" w14:textId="77777777" w:rsidR="00CD1C07" w:rsidRPr="00C57BDC" w:rsidRDefault="00CD1C07" w:rsidP="0067456F">
      <w:pPr>
        <w:jc w:val="center"/>
        <w:rPr>
          <w:szCs w:val="26"/>
        </w:rPr>
      </w:pPr>
      <w:r w:rsidRPr="00C57BDC">
        <w:rPr>
          <w:szCs w:val="26"/>
        </w:rPr>
        <w:t>Interconnection Reliability Operations and Coordination Reliability Standards</w:t>
      </w:r>
    </w:p>
    <w:p w14:paraId="75FFD1A7" w14:textId="77777777" w:rsidR="00CD1C07" w:rsidRPr="00C57BDC" w:rsidRDefault="00CD1C07" w:rsidP="0067456F">
      <w:pPr>
        <w:jc w:val="center"/>
        <w:rPr>
          <w:szCs w:val="26"/>
        </w:rPr>
      </w:pPr>
    </w:p>
    <w:p w14:paraId="721AFA63" w14:textId="7F277DAD" w:rsidR="00CD1C07" w:rsidRDefault="00B575A1" w:rsidP="00B575A1">
      <w:pPr>
        <w:widowControl/>
        <w:jc w:val="center"/>
        <w:rPr>
          <w:szCs w:val="26"/>
        </w:rPr>
      </w:pPr>
      <w:r w:rsidRPr="00B575A1">
        <w:rPr>
          <w:szCs w:val="26"/>
        </w:rPr>
        <w:t>(June 18, 2015)</w:t>
      </w:r>
    </w:p>
    <w:p w14:paraId="290D4040" w14:textId="77777777" w:rsidR="00B575A1" w:rsidRPr="00B575A1" w:rsidRDefault="00B575A1" w:rsidP="00B575A1">
      <w:pPr>
        <w:widowControl/>
        <w:rPr>
          <w:szCs w:val="26"/>
        </w:rPr>
      </w:pPr>
    </w:p>
    <w:p w14:paraId="10049896" w14:textId="77777777" w:rsidR="00CD1C07" w:rsidRPr="00C57BDC" w:rsidRDefault="00CD1C07" w:rsidP="0067456F">
      <w:pPr>
        <w:rPr>
          <w:szCs w:val="26"/>
        </w:rPr>
      </w:pPr>
    </w:p>
    <w:p w14:paraId="1B5E6645" w14:textId="77777777" w:rsidR="00CD1C07" w:rsidRPr="00C57BDC" w:rsidRDefault="00CD1C07" w:rsidP="0067456F">
      <w:pPr>
        <w:spacing w:line="480" w:lineRule="auto"/>
        <w:rPr>
          <w:szCs w:val="26"/>
        </w:rPr>
      </w:pPr>
      <w:r w:rsidRPr="00C57BDC">
        <w:rPr>
          <w:szCs w:val="26"/>
          <w:u w:val="single"/>
        </w:rPr>
        <w:t>AGENCY</w:t>
      </w:r>
      <w:r w:rsidRPr="00C57BDC">
        <w:rPr>
          <w:szCs w:val="26"/>
        </w:rPr>
        <w:t>:  Federal Energy Regulatory Commission.</w:t>
      </w:r>
    </w:p>
    <w:p w14:paraId="0F862C40" w14:textId="77777777" w:rsidR="00CD1C07" w:rsidRPr="00C57BDC" w:rsidRDefault="00CD1C07" w:rsidP="0067456F">
      <w:pPr>
        <w:spacing w:line="480" w:lineRule="auto"/>
        <w:rPr>
          <w:szCs w:val="26"/>
        </w:rPr>
      </w:pPr>
      <w:r w:rsidRPr="00C57BDC">
        <w:rPr>
          <w:szCs w:val="26"/>
          <w:u w:val="single"/>
        </w:rPr>
        <w:t>ACTION</w:t>
      </w:r>
      <w:r w:rsidRPr="00C57BDC">
        <w:rPr>
          <w:szCs w:val="26"/>
        </w:rPr>
        <w:t>:  Notice of proposed rulemaking.</w:t>
      </w:r>
    </w:p>
    <w:p w14:paraId="295C5C28" w14:textId="77777777" w:rsidR="00CD1C07" w:rsidRPr="00C57BDC" w:rsidRDefault="00CD1C07" w:rsidP="0067456F">
      <w:pPr>
        <w:spacing w:line="480" w:lineRule="auto"/>
        <w:rPr>
          <w:szCs w:val="26"/>
        </w:rPr>
      </w:pPr>
      <w:r w:rsidRPr="00C57BDC">
        <w:rPr>
          <w:szCs w:val="26"/>
          <w:u w:val="single"/>
        </w:rPr>
        <w:t>SUMMARY</w:t>
      </w:r>
      <w:r w:rsidRPr="00C57BDC">
        <w:rPr>
          <w:szCs w:val="26"/>
        </w:rPr>
        <w:t xml:space="preserve">:  </w:t>
      </w:r>
      <w:r w:rsidR="001F4722" w:rsidRPr="00C57BDC">
        <w:rPr>
          <w:szCs w:val="26"/>
        </w:rPr>
        <w:t>T</w:t>
      </w:r>
      <w:r w:rsidRPr="00C57BDC">
        <w:rPr>
          <w:szCs w:val="26"/>
        </w:rPr>
        <w:t xml:space="preserve">he Commission proposes to approve revisions to the Transmission Operations and </w:t>
      </w:r>
      <w:r w:rsidRPr="00C57BDC">
        <w:rPr>
          <w:bCs/>
          <w:color w:val="000000"/>
          <w:szCs w:val="26"/>
          <w:shd w:val="clear" w:color="auto" w:fill="FFFFFF"/>
        </w:rPr>
        <w:t xml:space="preserve">Interconnection Reliability Operations and Coordination Reliability Standards, </w:t>
      </w:r>
      <w:r w:rsidRPr="00C57BDC">
        <w:rPr>
          <w:szCs w:val="26"/>
        </w:rPr>
        <w:t>developed by the North American Electric Reliability Corporation</w:t>
      </w:r>
      <w:r w:rsidR="003E6BFA" w:rsidRPr="00C57BDC">
        <w:rPr>
          <w:szCs w:val="26"/>
        </w:rPr>
        <w:t xml:space="preserve">, </w:t>
      </w:r>
      <w:r w:rsidRPr="00C57BDC">
        <w:rPr>
          <w:szCs w:val="26"/>
        </w:rPr>
        <w:t xml:space="preserve">which the Commission has certified as the Electric Reliability Organization responsible for developing and enforcing mandatory Reliability Standards.  </w:t>
      </w:r>
    </w:p>
    <w:p w14:paraId="57483A41" w14:textId="77777777" w:rsidR="00CD1C07" w:rsidRPr="00C57BDC" w:rsidRDefault="00CD1C07" w:rsidP="0067456F">
      <w:pPr>
        <w:spacing w:line="480" w:lineRule="auto"/>
        <w:rPr>
          <w:szCs w:val="26"/>
        </w:rPr>
      </w:pPr>
      <w:r w:rsidRPr="00C57BDC">
        <w:rPr>
          <w:szCs w:val="26"/>
          <w:u w:val="single"/>
        </w:rPr>
        <w:t>DATES</w:t>
      </w:r>
      <w:r w:rsidRPr="00C57BDC">
        <w:rPr>
          <w:szCs w:val="26"/>
        </w:rPr>
        <w:t>:  Comments are due</w:t>
      </w:r>
      <w:r w:rsidRPr="00C57BDC">
        <w:rPr>
          <w:b/>
          <w:szCs w:val="26"/>
        </w:rPr>
        <w:t xml:space="preserve"> [INSERT DATE 60 Days after publication in the FEDERAL REGISTER]</w:t>
      </w:r>
    </w:p>
    <w:p w14:paraId="08EFB3A5" w14:textId="77777777" w:rsidR="00CD1C07" w:rsidRPr="00C57BDC" w:rsidRDefault="00CD1C07" w:rsidP="0067456F">
      <w:pPr>
        <w:spacing w:line="480" w:lineRule="auto"/>
        <w:rPr>
          <w:szCs w:val="26"/>
        </w:rPr>
      </w:pPr>
      <w:r w:rsidRPr="00C57BDC">
        <w:rPr>
          <w:szCs w:val="26"/>
          <w:u w:val="single"/>
        </w:rPr>
        <w:t>ADDRESSES</w:t>
      </w:r>
      <w:r w:rsidRPr="00C57BDC">
        <w:rPr>
          <w:szCs w:val="26"/>
        </w:rPr>
        <w:t xml:space="preserve">:  Comments, identified by docket number, may be filed in the following ways: </w:t>
      </w:r>
    </w:p>
    <w:p w14:paraId="6ECB8739" w14:textId="11E8723F" w:rsidR="00CD1C07" w:rsidRPr="00C57BDC" w:rsidRDefault="00CD1C07" w:rsidP="0067456F">
      <w:pPr>
        <w:numPr>
          <w:ilvl w:val="0"/>
          <w:numId w:val="12"/>
        </w:numPr>
        <w:spacing w:line="480" w:lineRule="auto"/>
        <w:ind w:left="0"/>
        <w:rPr>
          <w:szCs w:val="26"/>
        </w:rPr>
      </w:pPr>
      <w:r w:rsidRPr="00C57BDC">
        <w:rPr>
          <w:szCs w:val="26"/>
        </w:rPr>
        <w:t xml:space="preserve">Electronic Filing through </w:t>
      </w:r>
      <w:hyperlink r:id="rId12" w:history="1">
        <w:r w:rsidRPr="00C57BDC">
          <w:rPr>
            <w:rStyle w:val="Hyperlink"/>
            <w:szCs w:val="26"/>
          </w:rPr>
          <w:t>http://www.ferc.gov</w:t>
        </w:r>
      </w:hyperlink>
      <w:r w:rsidRPr="00C57BDC">
        <w:rPr>
          <w:szCs w:val="26"/>
        </w:rPr>
        <w:t>.  Documents created electronically using word processing software should be filed in native applications or print-to-PDF format and not in a scanned format.</w:t>
      </w:r>
    </w:p>
    <w:p w14:paraId="57CB757D" w14:textId="77777777" w:rsidR="00C251E9" w:rsidRDefault="00C251E9">
      <w:pPr>
        <w:widowControl/>
        <w:autoSpaceDE/>
        <w:autoSpaceDN/>
        <w:adjustRightInd/>
        <w:rPr>
          <w:szCs w:val="26"/>
        </w:rPr>
      </w:pPr>
      <w:r>
        <w:rPr>
          <w:szCs w:val="26"/>
        </w:rPr>
        <w:br w:type="page"/>
      </w:r>
    </w:p>
    <w:p w14:paraId="110F7E16" w14:textId="72057E4E" w:rsidR="00CD1C07" w:rsidRPr="00C57BDC" w:rsidRDefault="00CD1C07" w:rsidP="0067456F">
      <w:pPr>
        <w:numPr>
          <w:ilvl w:val="0"/>
          <w:numId w:val="12"/>
        </w:numPr>
        <w:spacing w:line="480" w:lineRule="auto"/>
        <w:ind w:left="0"/>
        <w:rPr>
          <w:szCs w:val="26"/>
        </w:rPr>
      </w:pPr>
      <w:r w:rsidRPr="00C57BDC">
        <w:rPr>
          <w:szCs w:val="26"/>
        </w:rPr>
        <w:lastRenderedPageBreak/>
        <w:t>Mail/Hand Delivery:  Those unable to file electronically may mail or hand-deliver comments to: Federal Energy Regulatory Commission, Secretary of the Commission, 888 First Street, NE, Washington, DC 20426.</w:t>
      </w:r>
    </w:p>
    <w:p w14:paraId="1A64C685" w14:textId="77777777" w:rsidR="00CD1C07" w:rsidRPr="00C57BDC" w:rsidRDefault="00CD1C07" w:rsidP="0067456F">
      <w:pPr>
        <w:rPr>
          <w:szCs w:val="26"/>
        </w:rPr>
      </w:pPr>
      <w:r w:rsidRPr="00C57BDC">
        <w:rPr>
          <w:i/>
          <w:szCs w:val="26"/>
        </w:rPr>
        <w:t>Instructions</w:t>
      </w:r>
      <w:r w:rsidRPr="00C57BDC">
        <w:rPr>
          <w:szCs w:val="26"/>
        </w:rPr>
        <w:t>: For detailed instructions on submitting comments and additional information on the rulemaking process, see the Comment Procedures Section of this document</w:t>
      </w:r>
    </w:p>
    <w:p w14:paraId="27209C75" w14:textId="77777777" w:rsidR="00CD1C07" w:rsidRPr="00C57BDC" w:rsidRDefault="00CD1C07" w:rsidP="0067456F">
      <w:pPr>
        <w:rPr>
          <w:szCs w:val="26"/>
        </w:rPr>
      </w:pPr>
    </w:p>
    <w:p w14:paraId="291EFA90" w14:textId="77777777" w:rsidR="00CD1C07" w:rsidRPr="00C57BDC" w:rsidRDefault="00CD1C07" w:rsidP="0067456F">
      <w:pPr>
        <w:rPr>
          <w:szCs w:val="26"/>
        </w:rPr>
      </w:pPr>
      <w:r w:rsidRPr="00C57BDC">
        <w:rPr>
          <w:szCs w:val="26"/>
          <w:u w:val="single"/>
        </w:rPr>
        <w:t>FOR FURTHER INFORMATION CONTACT</w:t>
      </w:r>
      <w:r w:rsidRPr="00C57BDC">
        <w:rPr>
          <w:szCs w:val="26"/>
        </w:rPr>
        <w:t>:</w:t>
      </w:r>
    </w:p>
    <w:p w14:paraId="247F39C9" w14:textId="77777777" w:rsidR="00CD1C07" w:rsidRPr="00C57BDC" w:rsidRDefault="00CD1C07" w:rsidP="0067456F">
      <w:pPr>
        <w:rPr>
          <w:szCs w:val="26"/>
        </w:rPr>
      </w:pPr>
    </w:p>
    <w:p w14:paraId="3FD894D5" w14:textId="77777777" w:rsidR="00CD1C07" w:rsidRPr="00C57BDC" w:rsidRDefault="00CD1C07" w:rsidP="0067456F">
      <w:pPr>
        <w:keepNext/>
        <w:keepLines/>
        <w:rPr>
          <w:szCs w:val="26"/>
        </w:rPr>
      </w:pPr>
      <w:r w:rsidRPr="00C57BDC">
        <w:rPr>
          <w:szCs w:val="26"/>
        </w:rPr>
        <w:t>Robert T. Stroh (Legal Information)</w:t>
      </w:r>
    </w:p>
    <w:p w14:paraId="72D28DC9" w14:textId="77777777" w:rsidR="00CD1C07" w:rsidRPr="00C57BDC" w:rsidRDefault="00CD1C07" w:rsidP="0067456F">
      <w:pPr>
        <w:keepNext/>
        <w:keepLines/>
        <w:rPr>
          <w:szCs w:val="26"/>
        </w:rPr>
      </w:pPr>
      <w:r w:rsidRPr="00C57BDC">
        <w:rPr>
          <w:szCs w:val="26"/>
        </w:rPr>
        <w:t>Office of the General Counsel</w:t>
      </w:r>
    </w:p>
    <w:p w14:paraId="12965321" w14:textId="77777777" w:rsidR="00CD1C07" w:rsidRPr="00C57BDC" w:rsidRDefault="00CD1C07" w:rsidP="0067456F">
      <w:pPr>
        <w:keepNext/>
        <w:keepLines/>
        <w:rPr>
          <w:szCs w:val="26"/>
        </w:rPr>
      </w:pPr>
      <w:r w:rsidRPr="00C57BDC">
        <w:rPr>
          <w:szCs w:val="26"/>
        </w:rPr>
        <w:t>Federal Energy Regulatory Commission</w:t>
      </w:r>
    </w:p>
    <w:p w14:paraId="2BFFDD40" w14:textId="77777777" w:rsidR="00CD1C07" w:rsidRPr="00C57BDC" w:rsidRDefault="00CD1C07" w:rsidP="0067456F">
      <w:pPr>
        <w:keepNext/>
        <w:keepLines/>
        <w:rPr>
          <w:szCs w:val="26"/>
        </w:rPr>
      </w:pPr>
      <w:r w:rsidRPr="00C57BDC">
        <w:rPr>
          <w:szCs w:val="26"/>
        </w:rPr>
        <w:t>888 First Street, NE</w:t>
      </w:r>
    </w:p>
    <w:p w14:paraId="11D7A5F0" w14:textId="77777777" w:rsidR="00CD1C07" w:rsidRPr="00C57BDC" w:rsidRDefault="00CD1C07" w:rsidP="0067456F">
      <w:pPr>
        <w:keepNext/>
        <w:keepLines/>
        <w:rPr>
          <w:szCs w:val="26"/>
        </w:rPr>
      </w:pPr>
      <w:r w:rsidRPr="00C57BDC">
        <w:rPr>
          <w:szCs w:val="26"/>
        </w:rPr>
        <w:t>Washington, DC  20426</w:t>
      </w:r>
    </w:p>
    <w:p w14:paraId="190598D2" w14:textId="77777777" w:rsidR="00CD1C07" w:rsidRPr="00C57BDC" w:rsidRDefault="00CD1C07" w:rsidP="0067456F">
      <w:pPr>
        <w:rPr>
          <w:szCs w:val="26"/>
        </w:rPr>
      </w:pPr>
      <w:r w:rsidRPr="00C57BDC">
        <w:rPr>
          <w:szCs w:val="26"/>
        </w:rPr>
        <w:t>Telephone:  (202) 502-8473</w:t>
      </w:r>
    </w:p>
    <w:p w14:paraId="06C45F59" w14:textId="1D73A85D" w:rsidR="00CD1C07" w:rsidRPr="00C57BDC" w:rsidRDefault="00EA544E" w:rsidP="0067456F">
      <w:pPr>
        <w:rPr>
          <w:rStyle w:val="Hyperlink"/>
          <w:szCs w:val="26"/>
        </w:rPr>
      </w:pPr>
      <w:hyperlink r:id="rId13" w:history="1">
        <w:r w:rsidR="00CD1C07" w:rsidRPr="00C57BDC">
          <w:rPr>
            <w:rStyle w:val="Hyperlink"/>
            <w:szCs w:val="26"/>
          </w:rPr>
          <w:t>Robert.Stroh@ferc.gov</w:t>
        </w:r>
      </w:hyperlink>
    </w:p>
    <w:p w14:paraId="368A8F82" w14:textId="77777777" w:rsidR="00CD1C07" w:rsidRPr="00C57BDC" w:rsidRDefault="00CD1C07" w:rsidP="0067456F">
      <w:pPr>
        <w:rPr>
          <w:rStyle w:val="Hyperlink"/>
          <w:szCs w:val="26"/>
        </w:rPr>
      </w:pPr>
    </w:p>
    <w:p w14:paraId="7CB02E36" w14:textId="77777777" w:rsidR="008027D4" w:rsidRPr="00C57BDC" w:rsidRDefault="008027D4" w:rsidP="0067456F">
      <w:pPr>
        <w:rPr>
          <w:szCs w:val="26"/>
        </w:rPr>
      </w:pPr>
      <w:r w:rsidRPr="00C57BDC">
        <w:rPr>
          <w:szCs w:val="26"/>
        </w:rPr>
        <w:t>Eugene Blick (Technical Information)</w:t>
      </w:r>
    </w:p>
    <w:p w14:paraId="0DE9D278" w14:textId="77777777" w:rsidR="008027D4" w:rsidRPr="00C57BDC" w:rsidRDefault="008027D4" w:rsidP="0067456F">
      <w:pPr>
        <w:rPr>
          <w:szCs w:val="26"/>
        </w:rPr>
      </w:pPr>
      <w:r w:rsidRPr="00C57BDC">
        <w:rPr>
          <w:szCs w:val="26"/>
        </w:rPr>
        <w:t>Office of Electric Reliability</w:t>
      </w:r>
    </w:p>
    <w:p w14:paraId="5E3BFB04" w14:textId="77777777" w:rsidR="008027D4" w:rsidRPr="00C57BDC" w:rsidRDefault="008027D4" w:rsidP="0067456F">
      <w:pPr>
        <w:rPr>
          <w:szCs w:val="26"/>
        </w:rPr>
      </w:pPr>
      <w:r w:rsidRPr="00C57BDC">
        <w:rPr>
          <w:szCs w:val="26"/>
        </w:rPr>
        <w:t>Federal Energy Regulatory Commission</w:t>
      </w:r>
    </w:p>
    <w:p w14:paraId="3E19B5D9" w14:textId="77777777" w:rsidR="008027D4" w:rsidRPr="00C57BDC" w:rsidRDefault="008027D4" w:rsidP="0067456F">
      <w:pPr>
        <w:rPr>
          <w:szCs w:val="26"/>
        </w:rPr>
      </w:pPr>
      <w:r w:rsidRPr="00C57BDC">
        <w:rPr>
          <w:szCs w:val="26"/>
        </w:rPr>
        <w:t>888 First Street, NE</w:t>
      </w:r>
    </w:p>
    <w:p w14:paraId="7B622729" w14:textId="77777777" w:rsidR="008027D4" w:rsidRPr="00C57BDC" w:rsidRDefault="008027D4" w:rsidP="0067456F">
      <w:pPr>
        <w:rPr>
          <w:szCs w:val="26"/>
        </w:rPr>
      </w:pPr>
      <w:r w:rsidRPr="00C57BDC">
        <w:rPr>
          <w:szCs w:val="26"/>
        </w:rPr>
        <w:t>Washington, DC  20426</w:t>
      </w:r>
    </w:p>
    <w:p w14:paraId="7F854E38" w14:textId="77777777" w:rsidR="008027D4" w:rsidRPr="00C57BDC" w:rsidRDefault="008027D4" w:rsidP="0067456F">
      <w:pPr>
        <w:rPr>
          <w:szCs w:val="26"/>
        </w:rPr>
      </w:pPr>
      <w:r w:rsidRPr="00C57BDC">
        <w:rPr>
          <w:szCs w:val="26"/>
        </w:rPr>
        <w:t>Telephone:  (301) 665-1759</w:t>
      </w:r>
    </w:p>
    <w:p w14:paraId="3816C423" w14:textId="790ECA94" w:rsidR="008027D4" w:rsidRPr="00C57BDC" w:rsidRDefault="00EA544E" w:rsidP="0067456F">
      <w:pPr>
        <w:rPr>
          <w:rStyle w:val="Hyperlink"/>
          <w:szCs w:val="26"/>
        </w:rPr>
      </w:pPr>
      <w:hyperlink r:id="rId14" w:history="1">
        <w:r w:rsidR="008027D4" w:rsidRPr="00C57BDC">
          <w:rPr>
            <w:rStyle w:val="Hyperlink"/>
            <w:szCs w:val="26"/>
          </w:rPr>
          <w:t>Eugene.Blick@ferc.gov</w:t>
        </w:r>
      </w:hyperlink>
    </w:p>
    <w:p w14:paraId="5C6F4E0D" w14:textId="77777777" w:rsidR="00E6038D" w:rsidRPr="00C57BDC" w:rsidRDefault="00E6038D" w:rsidP="0067456F">
      <w:pPr>
        <w:rPr>
          <w:rStyle w:val="Hyperlink"/>
          <w:szCs w:val="26"/>
        </w:rPr>
      </w:pPr>
    </w:p>
    <w:p w14:paraId="351232AC" w14:textId="77777777" w:rsidR="00E6038D" w:rsidRPr="00C57BDC" w:rsidRDefault="00E6038D" w:rsidP="00E6038D">
      <w:r w:rsidRPr="00C57BDC">
        <w:rPr>
          <w:szCs w:val="26"/>
        </w:rPr>
        <w:t>Darrell G. Piatt (Technical Information)</w:t>
      </w:r>
    </w:p>
    <w:p w14:paraId="162EC42F" w14:textId="77777777" w:rsidR="00E6038D" w:rsidRPr="00C57BDC" w:rsidRDefault="00E6038D" w:rsidP="00E6038D">
      <w:pPr>
        <w:rPr>
          <w:szCs w:val="26"/>
        </w:rPr>
      </w:pPr>
      <w:r w:rsidRPr="00C57BDC">
        <w:rPr>
          <w:szCs w:val="26"/>
        </w:rPr>
        <w:t>Office of Electric Reliability</w:t>
      </w:r>
    </w:p>
    <w:p w14:paraId="1B28EE6E" w14:textId="77777777" w:rsidR="00E6038D" w:rsidRPr="00C57BDC" w:rsidRDefault="00E6038D" w:rsidP="00E6038D">
      <w:pPr>
        <w:rPr>
          <w:szCs w:val="26"/>
        </w:rPr>
      </w:pPr>
      <w:r w:rsidRPr="00C57BDC">
        <w:rPr>
          <w:szCs w:val="26"/>
        </w:rPr>
        <w:t>Federal Energy Regulatory Commission</w:t>
      </w:r>
    </w:p>
    <w:p w14:paraId="0C4FC403" w14:textId="77777777" w:rsidR="00E6038D" w:rsidRPr="00C57BDC" w:rsidRDefault="00E6038D" w:rsidP="00E6038D">
      <w:pPr>
        <w:rPr>
          <w:szCs w:val="26"/>
        </w:rPr>
      </w:pPr>
      <w:r w:rsidRPr="00C57BDC">
        <w:rPr>
          <w:szCs w:val="26"/>
        </w:rPr>
        <w:t>888 First Street, NE</w:t>
      </w:r>
    </w:p>
    <w:p w14:paraId="6B1F5698" w14:textId="77777777" w:rsidR="00E6038D" w:rsidRPr="00C57BDC" w:rsidRDefault="00E6038D" w:rsidP="00E6038D">
      <w:pPr>
        <w:rPr>
          <w:szCs w:val="26"/>
        </w:rPr>
      </w:pPr>
      <w:r w:rsidRPr="00C57BDC">
        <w:rPr>
          <w:szCs w:val="26"/>
        </w:rPr>
        <w:t>Washington, DC 20426</w:t>
      </w:r>
    </w:p>
    <w:p w14:paraId="2C49E534" w14:textId="77777777" w:rsidR="00E6038D" w:rsidRPr="00C57BDC" w:rsidRDefault="00E6038D" w:rsidP="00E6038D">
      <w:pPr>
        <w:rPr>
          <w:szCs w:val="26"/>
        </w:rPr>
      </w:pPr>
      <w:r w:rsidRPr="00C57BDC">
        <w:rPr>
          <w:szCs w:val="26"/>
        </w:rPr>
        <w:t>Telephone:  (205) 332-3792</w:t>
      </w:r>
    </w:p>
    <w:p w14:paraId="29EAC998" w14:textId="477E84F4" w:rsidR="00E6038D" w:rsidRPr="00C57BDC" w:rsidRDefault="00EA544E" w:rsidP="00E6038D">
      <w:pPr>
        <w:rPr>
          <w:rStyle w:val="Hyperlink"/>
        </w:rPr>
      </w:pPr>
      <w:hyperlink r:id="rId15" w:history="1">
        <w:r w:rsidR="00E6038D" w:rsidRPr="00C57BDC">
          <w:rPr>
            <w:rStyle w:val="Hyperlink"/>
          </w:rPr>
          <w:t>Darrell.Piatt@ferc.gov</w:t>
        </w:r>
      </w:hyperlink>
    </w:p>
    <w:p w14:paraId="2F448D8F" w14:textId="77777777" w:rsidR="00CD1C07" w:rsidRPr="00C57BDC" w:rsidRDefault="00CD1C07" w:rsidP="0067456F">
      <w:pPr>
        <w:rPr>
          <w:szCs w:val="26"/>
        </w:rPr>
      </w:pPr>
    </w:p>
    <w:p w14:paraId="73F76968" w14:textId="77777777" w:rsidR="00CD1C07" w:rsidRPr="00C57BDC" w:rsidRDefault="00CD1C07" w:rsidP="0067456F">
      <w:pPr>
        <w:rPr>
          <w:szCs w:val="26"/>
        </w:rPr>
      </w:pPr>
    </w:p>
    <w:p w14:paraId="7593BF67" w14:textId="77777777" w:rsidR="00CD1C07" w:rsidRPr="00C57BDC" w:rsidRDefault="00CD1C07" w:rsidP="0067456F">
      <w:pPr>
        <w:rPr>
          <w:szCs w:val="26"/>
        </w:rPr>
        <w:sectPr w:rsidR="00CD1C07" w:rsidRPr="00C57BDC" w:rsidSect="00CD1C07">
          <w:headerReference w:type="even" r:id="rId16"/>
          <w:headerReference w:type="default" r:id="rId17"/>
          <w:pgSz w:w="12240" w:h="15840"/>
          <w:pgMar w:top="1440" w:right="1440" w:bottom="1440" w:left="1440" w:header="720" w:footer="1440" w:gutter="0"/>
          <w:pgNumType w:fmt="numberInDash" w:start="1"/>
          <w:cols w:space="720"/>
          <w:noEndnote/>
          <w:titlePg/>
          <w:docGrid w:linePitch="354"/>
        </w:sectPr>
      </w:pPr>
      <w:r w:rsidRPr="00C57BDC">
        <w:rPr>
          <w:szCs w:val="26"/>
          <w:u w:val="single"/>
        </w:rPr>
        <w:t>SUPPLEMENTARY INFORMATION</w:t>
      </w:r>
      <w:r w:rsidRPr="00C57BDC">
        <w:rPr>
          <w:szCs w:val="26"/>
        </w:rPr>
        <w:t>:</w:t>
      </w:r>
    </w:p>
    <w:p w14:paraId="4022BFBD" w14:textId="77777777" w:rsidR="00CD1C07" w:rsidRPr="00C57BDC" w:rsidRDefault="00CD1C07" w:rsidP="0067456F">
      <w:pPr>
        <w:rPr>
          <w:szCs w:val="26"/>
        </w:rPr>
        <w:sectPr w:rsidR="00CD1C07" w:rsidRPr="00C57BDC" w:rsidSect="00CD1C07">
          <w:headerReference w:type="even" r:id="rId18"/>
          <w:headerReference w:type="default" r:id="rId19"/>
          <w:headerReference w:type="first" r:id="rId20"/>
          <w:pgSz w:w="12240" w:h="15840" w:code="1"/>
          <w:pgMar w:top="1440" w:right="1440" w:bottom="1440" w:left="1440" w:header="720" w:footer="720" w:gutter="0"/>
          <w:pgNumType w:fmt="lowerRoman" w:start="1"/>
          <w:cols w:space="720"/>
          <w:titlePg/>
          <w:docGrid w:linePitch="360"/>
        </w:sectPr>
      </w:pPr>
      <w:bookmarkStart w:id="1" w:name="_Start_TOC"/>
      <w:bookmarkStart w:id="2" w:name="_End_TOC"/>
      <w:bookmarkEnd w:id="1"/>
      <w:bookmarkEnd w:id="2"/>
    </w:p>
    <w:p w14:paraId="52FF806F" w14:textId="0229F746" w:rsidR="00A16B61" w:rsidRPr="00A16B61" w:rsidRDefault="00A16B61" w:rsidP="0067456F">
      <w:pPr>
        <w:jc w:val="center"/>
        <w:rPr>
          <w:szCs w:val="26"/>
        </w:rPr>
      </w:pPr>
      <w:r>
        <w:rPr>
          <w:szCs w:val="26"/>
        </w:rPr>
        <w:lastRenderedPageBreak/>
        <w:t>151 FERC ¶ 61,236</w:t>
      </w:r>
    </w:p>
    <w:p w14:paraId="1022901A" w14:textId="77777777" w:rsidR="00CD1C07" w:rsidRPr="00C57BDC" w:rsidRDefault="00CD1C07" w:rsidP="0067456F">
      <w:pPr>
        <w:jc w:val="center"/>
        <w:rPr>
          <w:szCs w:val="26"/>
        </w:rPr>
      </w:pPr>
      <w:r w:rsidRPr="00C57BDC">
        <w:rPr>
          <w:szCs w:val="26"/>
        </w:rPr>
        <w:t>UNITED STATES OF AMERICA</w:t>
      </w:r>
    </w:p>
    <w:p w14:paraId="18FEF224" w14:textId="77777777" w:rsidR="00CD1C07" w:rsidRPr="00C57BDC" w:rsidRDefault="00CD1C07" w:rsidP="0067456F">
      <w:pPr>
        <w:jc w:val="center"/>
        <w:rPr>
          <w:szCs w:val="26"/>
        </w:rPr>
      </w:pPr>
      <w:r w:rsidRPr="00C57BDC">
        <w:rPr>
          <w:szCs w:val="26"/>
        </w:rPr>
        <w:t>FEDERAL ENERGY REGULATORY COMMISSION</w:t>
      </w:r>
    </w:p>
    <w:p w14:paraId="079C0781" w14:textId="77777777" w:rsidR="00CD1C07" w:rsidRPr="00C57BDC" w:rsidRDefault="00CD1C07" w:rsidP="0067456F">
      <w:pPr>
        <w:rPr>
          <w:szCs w:val="26"/>
        </w:rPr>
      </w:pPr>
    </w:p>
    <w:p w14:paraId="07D88ABA" w14:textId="77777777" w:rsidR="00CD1C07" w:rsidRPr="00C57BDC" w:rsidRDefault="00CD1C07" w:rsidP="0067456F">
      <w:pPr>
        <w:ind w:hanging="1440"/>
        <w:rPr>
          <w:szCs w:val="26"/>
        </w:rPr>
      </w:pPr>
    </w:p>
    <w:p w14:paraId="194EB127" w14:textId="77777777" w:rsidR="00CD1C07" w:rsidRPr="00C57BDC" w:rsidRDefault="00CD1C07" w:rsidP="0067456F">
      <w:pPr>
        <w:ind w:hanging="144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4"/>
        <w:gridCol w:w="1534"/>
        <w:gridCol w:w="1892"/>
      </w:tblGrid>
      <w:tr w:rsidR="00CD1C07" w:rsidRPr="00C57BDC" w14:paraId="6345122D" w14:textId="77777777" w:rsidTr="00CD1C07">
        <w:tc>
          <w:tcPr>
            <w:tcW w:w="6088" w:type="dxa"/>
            <w:shd w:val="clear" w:color="auto" w:fill="auto"/>
          </w:tcPr>
          <w:p w14:paraId="7AEEE5C1" w14:textId="77777777" w:rsidR="00CD1C07" w:rsidRPr="00C57BDC" w:rsidRDefault="00CD1C07" w:rsidP="0067456F">
            <w:pPr>
              <w:rPr>
                <w:szCs w:val="26"/>
              </w:rPr>
            </w:pPr>
            <w:r w:rsidRPr="00C57BDC">
              <w:rPr>
                <w:szCs w:val="26"/>
              </w:rPr>
              <w:t xml:space="preserve">Transmission Operations Reliability Standards </w:t>
            </w:r>
            <w:r w:rsidR="00803B11" w:rsidRPr="00C57BDC">
              <w:rPr>
                <w:szCs w:val="26"/>
              </w:rPr>
              <w:t xml:space="preserve">and </w:t>
            </w:r>
            <w:r w:rsidRPr="00C57BDC">
              <w:rPr>
                <w:szCs w:val="26"/>
              </w:rPr>
              <w:t>Interconnection Reliability Operations and Coordination Reliability Standards</w:t>
            </w:r>
          </w:p>
        </w:tc>
        <w:tc>
          <w:tcPr>
            <w:tcW w:w="1560" w:type="dxa"/>
            <w:shd w:val="clear" w:color="auto" w:fill="auto"/>
            <w:tcMar>
              <w:left w:w="72" w:type="dxa"/>
            </w:tcMar>
          </w:tcPr>
          <w:p w14:paraId="39F10CFB" w14:textId="77777777" w:rsidR="00CD1C07" w:rsidRPr="00C57BDC" w:rsidRDefault="00CD1C07" w:rsidP="0067456F">
            <w:pPr>
              <w:jc w:val="right"/>
              <w:rPr>
                <w:szCs w:val="26"/>
              </w:rPr>
            </w:pPr>
            <w:r w:rsidRPr="00C57BDC">
              <w:rPr>
                <w:szCs w:val="26"/>
              </w:rPr>
              <w:t>Docket No.</w:t>
            </w:r>
          </w:p>
        </w:tc>
        <w:tc>
          <w:tcPr>
            <w:tcW w:w="1928" w:type="dxa"/>
            <w:shd w:val="clear" w:color="auto" w:fill="auto"/>
            <w:tcMar>
              <w:left w:w="144" w:type="dxa"/>
            </w:tcMar>
          </w:tcPr>
          <w:p w14:paraId="6F8BDA5D" w14:textId="77777777" w:rsidR="00CD1C07" w:rsidRPr="00C57BDC" w:rsidRDefault="00CD1C07" w:rsidP="0067456F">
            <w:pPr>
              <w:rPr>
                <w:szCs w:val="26"/>
              </w:rPr>
            </w:pPr>
            <w:r w:rsidRPr="00C57BDC">
              <w:rPr>
                <w:szCs w:val="26"/>
              </w:rPr>
              <w:t>RM15-16-000</w:t>
            </w:r>
          </w:p>
        </w:tc>
      </w:tr>
    </w:tbl>
    <w:p w14:paraId="6BD733DE" w14:textId="77777777" w:rsidR="00CD1C07" w:rsidRPr="00C57BDC" w:rsidRDefault="00CD1C07" w:rsidP="0067456F">
      <w:pPr>
        <w:rPr>
          <w:szCs w:val="26"/>
        </w:rPr>
      </w:pPr>
    </w:p>
    <w:p w14:paraId="39EDBE97" w14:textId="77777777" w:rsidR="00CD1C07" w:rsidRPr="00C57BDC" w:rsidRDefault="00CD1C07" w:rsidP="0067456F">
      <w:pPr>
        <w:rPr>
          <w:szCs w:val="26"/>
        </w:rPr>
      </w:pPr>
    </w:p>
    <w:p w14:paraId="70B572E8" w14:textId="77777777" w:rsidR="00CD1C07" w:rsidRPr="00C57BDC" w:rsidRDefault="00CD1C07" w:rsidP="0067456F">
      <w:pPr>
        <w:jc w:val="center"/>
        <w:rPr>
          <w:szCs w:val="26"/>
        </w:rPr>
      </w:pPr>
      <w:r w:rsidRPr="00C57BDC">
        <w:rPr>
          <w:szCs w:val="26"/>
        </w:rPr>
        <w:t>NOTICE OF PROPOSED RULEMAKING</w:t>
      </w:r>
    </w:p>
    <w:p w14:paraId="7C061621" w14:textId="77777777" w:rsidR="00CD1C07" w:rsidRPr="00C57BDC" w:rsidRDefault="00CD1C07" w:rsidP="0067456F">
      <w:pPr>
        <w:jc w:val="center"/>
        <w:rPr>
          <w:szCs w:val="26"/>
        </w:rPr>
      </w:pPr>
    </w:p>
    <w:p w14:paraId="108BE6E7" w14:textId="77777777" w:rsidR="00CD1C07" w:rsidRPr="00C57BDC" w:rsidRDefault="00CD1C07" w:rsidP="0067456F">
      <w:pPr>
        <w:jc w:val="center"/>
        <w:rPr>
          <w:szCs w:val="26"/>
        </w:rPr>
      </w:pPr>
    </w:p>
    <w:p w14:paraId="6225E995" w14:textId="4C92DB14" w:rsidR="00CD1C07" w:rsidRDefault="00A16B61" w:rsidP="00A16B61">
      <w:pPr>
        <w:widowControl/>
        <w:jc w:val="center"/>
        <w:rPr>
          <w:szCs w:val="26"/>
        </w:rPr>
      </w:pPr>
      <w:r w:rsidRPr="00A16B61">
        <w:rPr>
          <w:szCs w:val="26"/>
        </w:rPr>
        <w:t>(June 1</w:t>
      </w:r>
      <w:r>
        <w:rPr>
          <w:szCs w:val="26"/>
        </w:rPr>
        <w:t>8</w:t>
      </w:r>
      <w:r w:rsidRPr="00A16B61">
        <w:rPr>
          <w:szCs w:val="26"/>
        </w:rPr>
        <w:t>, 2015)</w:t>
      </w:r>
    </w:p>
    <w:p w14:paraId="00280773" w14:textId="77777777" w:rsidR="00A16B61" w:rsidRPr="00A16B61" w:rsidRDefault="00A16B61" w:rsidP="00A16B61">
      <w:pPr>
        <w:widowControl/>
        <w:rPr>
          <w:szCs w:val="26"/>
        </w:rPr>
      </w:pPr>
    </w:p>
    <w:p w14:paraId="1641C54F" w14:textId="77777777" w:rsidR="00CD1C07" w:rsidRPr="00C57BDC" w:rsidRDefault="00CD1C07" w:rsidP="0067456F">
      <w:pPr>
        <w:rPr>
          <w:szCs w:val="26"/>
        </w:rPr>
      </w:pPr>
    </w:p>
    <w:p w14:paraId="743B1C25" w14:textId="445EC8E5" w:rsidR="00CE2F9B" w:rsidRPr="00C57BDC" w:rsidRDefault="00CD1C07" w:rsidP="00B14A2C">
      <w:pPr>
        <w:pStyle w:val="FERCparanumber"/>
        <w:tabs>
          <w:tab w:val="clear" w:pos="810"/>
          <w:tab w:val="num" w:pos="720"/>
        </w:tabs>
        <w:ind w:left="0"/>
        <w:rPr>
          <w:szCs w:val="26"/>
        </w:rPr>
      </w:pPr>
      <w:r w:rsidRPr="00C57BDC">
        <w:rPr>
          <w:szCs w:val="26"/>
        </w:rPr>
        <w:t>Pursuant to section 215 of the Federal Power Act (FPA),</w:t>
      </w:r>
      <w:r w:rsidR="00E50397" w:rsidRPr="00C57BDC">
        <w:rPr>
          <w:rStyle w:val="FootnoteReference"/>
        </w:rPr>
        <w:footnoteReference w:id="2"/>
      </w:r>
      <w:r w:rsidRPr="00C57BDC">
        <w:rPr>
          <w:szCs w:val="26"/>
        </w:rPr>
        <w:t xml:space="preserve"> the Commission proposes to approve revisions to the Transmission Operations </w:t>
      </w:r>
      <w:r w:rsidR="00B02339" w:rsidRPr="00C57BDC">
        <w:rPr>
          <w:szCs w:val="26"/>
        </w:rPr>
        <w:t xml:space="preserve">(TOP) </w:t>
      </w:r>
      <w:r w:rsidRPr="00C57BDC">
        <w:rPr>
          <w:szCs w:val="26"/>
        </w:rPr>
        <w:t xml:space="preserve">and </w:t>
      </w:r>
      <w:r w:rsidRPr="00C57BDC">
        <w:rPr>
          <w:bCs/>
          <w:color w:val="000000"/>
          <w:szCs w:val="26"/>
          <w:shd w:val="clear" w:color="auto" w:fill="FFFFFF"/>
        </w:rPr>
        <w:t xml:space="preserve">Interconnection Reliability Operations and Coordination </w:t>
      </w:r>
      <w:r w:rsidR="00B02339" w:rsidRPr="00C57BDC">
        <w:rPr>
          <w:bCs/>
          <w:color w:val="000000"/>
          <w:szCs w:val="26"/>
          <w:shd w:val="clear" w:color="auto" w:fill="FFFFFF"/>
        </w:rPr>
        <w:t xml:space="preserve">(IRO) </w:t>
      </w:r>
      <w:r w:rsidRPr="00C57BDC">
        <w:rPr>
          <w:bCs/>
          <w:color w:val="000000"/>
          <w:szCs w:val="26"/>
          <w:shd w:val="clear" w:color="auto" w:fill="FFFFFF"/>
        </w:rPr>
        <w:t xml:space="preserve">Reliability Standards, </w:t>
      </w:r>
      <w:r w:rsidRPr="00C57BDC">
        <w:rPr>
          <w:szCs w:val="26"/>
        </w:rPr>
        <w:t>developed by the North American Electric Reliability Corporation (NERC), the Commission</w:t>
      </w:r>
      <w:r w:rsidR="00852EA3" w:rsidRPr="00C57BDC">
        <w:rPr>
          <w:szCs w:val="26"/>
        </w:rPr>
        <w:t>-</w:t>
      </w:r>
      <w:r w:rsidRPr="00C57BDC">
        <w:rPr>
          <w:szCs w:val="26"/>
        </w:rPr>
        <w:t xml:space="preserve">certified Electric Reliability Organization </w:t>
      </w:r>
      <w:r w:rsidR="00154190" w:rsidRPr="00C57BDC">
        <w:rPr>
          <w:szCs w:val="26"/>
        </w:rPr>
        <w:t>(ERO)</w:t>
      </w:r>
      <w:r w:rsidRPr="00C57BDC">
        <w:rPr>
          <w:szCs w:val="26"/>
        </w:rPr>
        <w:t xml:space="preserve">.  </w:t>
      </w:r>
      <w:r w:rsidR="00852EA3" w:rsidRPr="00C57BDC">
        <w:rPr>
          <w:szCs w:val="26"/>
        </w:rPr>
        <w:t>The Commission believes</w:t>
      </w:r>
      <w:r w:rsidR="00FF6FEC" w:rsidRPr="00C57BDC">
        <w:rPr>
          <w:szCs w:val="26"/>
        </w:rPr>
        <w:t xml:space="preserve"> that the proposed TOP and IRO Reliability Standards improve on the currently-effective standards by </w:t>
      </w:r>
      <w:r w:rsidR="00803B11" w:rsidRPr="00C57BDC">
        <w:rPr>
          <w:szCs w:val="26"/>
        </w:rPr>
        <w:t xml:space="preserve">providing a more precise set of Reliability Standards addressing operating responsibilities and </w:t>
      </w:r>
      <w:r w:rsidR="00FF6FEC" w:rsidRPr="00C57BDC">
        <w:rPr>
          <w:szCs w:val="26"/>
        </w:rPr>
        <w:t>improv</w:t>
      </w:r>
      <w:r w:rsidR="00B02339" w:rsidRPr="00C57BDC">
        <w:rPr>
          <w:szCs w:val="26"/>
        </w:rPr>
        <w:t>ing</w:t>
      </w:r>
      <w:r w:rsidR="00FF6FEC" w:rsidRPr="00C57BDC">
        <w:rPr>
          <w:szCs w:val="26"/>
        </w:rPr>
        <w:t xml:space="preserve"> the delineation of responsibilities between applicable entities.  </w:t>
      </w:r>
      <w:r w:rsidR="00803B11" w:rsidRPr="00C57BDC">
        <w:rPr>
          <w:szCs w:val="26"/>
        </w:rPr>
        <w:t xml:space="preserve">The Commission </w:t>
      </w:r>
      <w:r w:rsidR="00B34963" w:rsidRPr="00C57BDC">
        <w:rPr>
          <w:szCs w:val="26"/>
        </w:rPr>
        <w:t xml:space="preserve">also believes </w:t>
      </w:r>
      <w:r w:rsidR="00803B11" w:rsidRPr="00C57BDC">
        <w:rPr>
          <w:szCs w:val="26"/>
        </w:rPr>
        <w:t xml:space="preserve">that </w:t>
      </w:r>
      <w:r w:rsidR="00FF6FEC" w:rsidRPr="00C57BDC">
        <w:rPr>
          <w:szCs w:val="26"/>
        </w:rPr>
        <w:t xml:space="preserve">the revised TOP Reliability Standards eliminate gaps and ambiguities in the currently-effective TOP requirements and improve efficiency by </w:t>
      </w:r>
      <w:r w:rsidR="00FF6FEC" w:rsidRPr="00C57BDC">
        <w:rPr>
          <w:szCs w:val="26"/>
        </w:rPr>
        <w:lastRenderedPageBreak/>
        <w:t xml:space="preserve">incorporating the necessary requirements from the eight currently-effective TOP Reliability Standards into three cohesive, comprehensive Reliability Standards.  Further, </w:t>
      </w:r>
      <w:r w:rsidR="00852EA3" w:rsidRPr="00C57BDC">
        <w:rPr>
          <w:szCs w:val="26"/>
        </w:rPr>
        <w:t>the Commission</w:t>
      </w:r>
      <w:r w:rsidR="00194C5D" w:rsidRPr="00C57BDC">
        <w:rPr>
          <w:szCs w:val="26"/>
        </w:rPr>
        <w:t xml:space="preserve"> </w:t>
      </w:r>
      <w:r w:rsidR="007E7BB4" w:rsidRPr="00C57BDC">
        <w:rPr>
          <w:szCs w:val="26"/>
        </w:rPr>
        <w:t>believes</w:t>
      </w:r>
      <w:r w:rsidR="00194C5D" w:rsidRPr="00C57BDC">
        <w:rPr>
          <w:szCs w:val="26"/>
        </w:rPr>
        <w:t xml:space="preserve"> that the </w:t>
      </w:r>
      <w:r w:rsidR="00FF6FEC" w:rsidRPr="00C57BDC">
        <w:rPr>
          <w:szCs w:val="26"/>
        </w:rPr>
        <w:t>proposed standards clarify and improve upon the currently-effective TOP and IRO Reliability Standards by designating requirements in the proposed standards that apply to transmission operators for the TOP standards and reliability coordinators for the IRO standards.  T</w:t>
      </w:r>
      <w:r w:rsidR="007E7BB4" w:rsidRPr="00C57BDC">
        <w:rPr>
          <w:szCs w:val="26"/>
        </w:rPr>
        <w:t>hus, t</w:t>
      </w:r>
      <w:r w:rsidR="00FF6FEC" w:rsidRPr="00C57BDC">
        <w:rPr>
          <w:szCs w:val="26"/>
        </w:rPr>
        <w:t>he Commission proposes to find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r w:rsidR="00B02339" w:rsidRPr="00C57BDC">
        <w:rPr>
          <w:rStyle w:val="FootnoteReference"/>
        </w:rPr>
        <w:footnoteReference w:id="3"/>
      </w:r>
      <w:r w:rsidR="00FF6FEC" w:rsidRPr="00C57BDC">
        <w:rPr>
          <w:szCs w:val="26"/>
        </w:rPr>
        <w:t xml:space="preserve">  </w:t>
      </w:r>
    </w:p>
    <w:p w14:paraId="1AB3BD57" w14:textId="1B1F0EE2" w:rsidR="00FF6FEC" w:rsidRPr="00C57BDC" w:rsidRDefault="007E7BB4" w:rsidP="00B14A2C">
      <w:pPr>
        <w:pStyle w:val="FERCparanumber"/>
        <w:tabs>
          <w:tab w:val="clear" w:pos="810"/>
          <w:tab w:val="num" w:pos="720"/>
        </w:tabs>
        <w:ind w:left="0"/>
        <w:rPr>
          <w:szCs w:val="26"/>
        </w:rPr>
      </w:pPr>
      <w:r w:rsidRPr="00C57BDC">
        <w:rPr>
          <w:szCs w:val="26"/>
        </w:rPr>
        <w:t>The Commission</w:t>
      </w:r>
      <w:r w:rsidR="00194C5D" w:rsidRPr="00C57BDC">
        <w:rPr>
          <w:szCs w:val="26"/>
        </w:rPr>
        <w:t xml:space="preserve"> also propose</w:t>
      </w:r>
      <w:r w:rsidRPr="00C57BDC">
        <w:rPr>
          <w:szCs w:val="26"/>
        </w:rPr>
        <w:t>s</w:t>
      </w:r>
      <w:r w:rsidR="00194C5D" w:rsidRPr="00C57BDC">
        <w:rPr>
          <w:szCs w:val="26"/>
        </w:rPr>
        <w:t xml:space="preserve"> to find that NERC ha</w:t>
      </w:r>
      <w:r w:rsidR="00CE2F9B" w:rsidRPr="00C57BDC">
        <w:rPr>
          <w:szCs w:val="26"/>
        </w:rPr>
        <w:t>s</w:t>
      </w:r>
      <w:r w:rsidR="00194C5D" w:rsidRPr="00C57BDC">
        <w:rPr>
          <w:szCs w:val="26"/>
        </w:rPr>
        <w:t xml:space="preserve"> adequately addressed the concerns raised by the Commission in the Notice of Proposed Rulemaking </w:t>
      </w:r>
      <w:r w:rsidR="00C043AB" w:rsidRPr="00C57BDC">
        <w:rPr>
          <w:szCs w:val="26"/>
        </w:rPr>
        <w:t xml:space="preserve">(Remand NOPR) </w:t>
      </w:r>
      <w:r w:rsidR="00CE2F9B" w:rsidRPr="00C57BDC">
        <w:rPr>
          <w:szCs w:val="26"/>
        </w:rPr>
        <w:t xml:space="preserve">issued in </w:t>
      </w:r>
      <w:r w:rsidR="00B34963" w:rsidRPr="00C57BDC">
        <w:rPr>
          <w:szCs w:val="26"/>
        </w:rPr>
        <w:t>November</w:t>
      </w:r>
      <w:r w:rsidR="00CE2F9B" w:rsidRPr="00C57BDC">
        <w:rPr>
          <w:szCs w:val="26"/>
        </w:rPr>
        <w:t xml:space="preserve"> 2013.</w:t>
      </w:r>
      <w:r w:rsidR="008371D1" w:rsidRPr="00C57BDC">
        <w:rPr>
          <w:rStyle w:val="FootnoteReference"/>
        </w:rPr>
        <w:footnoteReference w:id="4"/>
      </w:r>
      <w:r w:rsidR="00CE2F9B" w:rsidRPr="00C57BDC">
        <w:rPr>
          <w:szCs w:val="26"/>
        </w:rPr>
        <w:t xml:space="preserve">  In the Remand NOPR, the Commission</w:t>
      </w:r>
      <w:r w:rsidR="00194C5D" w:rsidRPr="00C57BDC">
        <w:rPr>
          <w:szCs w:val="26"/>
        </w:rPr>
        <w:t xml:space="preserve"> proposed to remand </w:t>
      </w:r>
      <w:r w:rsidR="00CE2F9B" w:rsidRPr="00C57BDC">
        <w:rPr>
          <w:szCs w:val="26"/>
        </w:rPr>
        <w:t xml:space="preserve">an earlier version of </w:t>
      </w:r>
      <w:r w:rsidR="00194C5D" w:rsidRPr="00C57BDC">
        <w:rPr>
          <w:szCs w:val="26"/>
        </w:rPr>
        <w:t xml:space="preserve">proposed TOP and IRO Standards </w:t>
      </w:r>
      <w:r w:rsidR="00CE2F9B" w:rsidRPr="00C57BDC">
        <w:rPr>
          <w:szCs w:val="26"/>
        </w:rPr>
        <w:t xml:space="preserve">due to concerns regarding the proposed </w:t>
      </w:r>
      <w:r w:rsidR="00194C5D" w:rsidRPr="00C57BDC">
        <w:rPr>
          <w:szCs w:val="26"/>
        </w:rPr>
        <w:t xml:space="preserve">treatment of system operating limits (SOLs) and interconnection reliability </w:t>
      </w:r>
      <w:r w:rsidR="00194C5D" w:rsidRPr="00C57BDC">
        <w:rPr>
          <w:szCs w:val="26"/>
        </w:rPr>
        <w:lastRenderedPageBreak/>
        <w:t xml:space="preserve">operating limits (IROLs) and concerns about outage coordination.  Further, </w:t>
      </w:r>
      <w:r w:rsidRPr="00C57BDC">
        <w:rPr>
          <w:szCs w:val="26"/>
        </w:rPr>
        <w:t xml:space="preserve">the Commission </w:t>
      </w:r>
      <w:r w:rsidR="00FF6FEC" w:rsidRPr="00C57BDC">
        <w:rPr>
          <w:szCs w:val="26"/>
        </w:rPr>
        <w:t>propose</w:t>
      </w:r>
      <w:r w:rsidRPr="00C57BDC">
        <w:rPr>
          <w:szCs w:val="26"/>
        </w:rPr>
        <w:t>s</w:t>
      </w:r>
      <w:r w:rsidR="00FF6FEC" w:rsidRPr="00C57BDC">
        <w:rPr>
          <w:szCs w:val="26"/>
        </w:rPr>
        <w:t xml:space="preserve"> to approve the </w:t>
      </w:r>
      <w:r w:rsidR="00194C5D" w:rsidRPr="00C57BDC">
        <w:rPr>
          <w:szCs w:val="26"/>
        </w:rPr>
        <w:t xml:space="preserve">definitions </w:t>
      </w:r>
      <w:r w:rsidR="008E7B16" w:rsidRPr="00C57BDC">
        <w:rPr>
          <w:szCs w:val="26"/>
        </w:rPr>
        <w:t>for</w:t>
      </w:r>
      <w:r w:rsidR="00194C5D" w:rsidRPr="00C57BDC">
        <w:rPr>
          <w:szCs w:val="26"/>
        </w:rPr>
        <w:t xml:space="preserve"> </w:t>
      </w:r>
      <w:r w:rsidR="00194C5D" w:rsidRPr="00C57BDC">
        <w:t>operational planning a</w:t>
      </w:r>
      <w:r w:rsidR="00F81491" w:rsidRPr="00C57BDC">
        <w:t>nalysis</w:t>
      </w:r>
      <w:r w:rsidR="00194C5D" w:rsidRPr="00C57BDC">
        <w:t xml:space="preserve"> and real-time assessment, </w:t>
      </w:r>
      <w:r w:rsidR="008E7B16" w:rsidRPr="00C57BDC">
        <w:t xml:space="preserve">and the </w:t>
      </w:r>
      <w:r w:rsidR="00B02339" w:rsidRPr="00C57BDC">
        <w:rPr>
          <w:szCs w:val="26"/>
        </w:rPr>
        <w:t>v</w:t>
      </w:r>
      <w:r w:rsidR="00FF6FEC" w:rsidRPr="00C57BDC">
        <w:rPr>
          <w:szCs w:val="26"/>
        </w:rPr>
        <w:t xml:space="preserve">iolation </w:t>
      </w:r>
      <w:r w:rsidR="00316B1F" w:rsidRPr="00C57BDC">
        <w:rPr>
          <w:szCs w:val="26"/>
        </w:rPr>
        <w:t>severity</w:t>
      </w:r>
      <w:r w:rsidR="00FF6FEC" w:rsidRPr="00C57BDC">
        <w:rPr>
          <w:szCs w:val="26"/>
        </w:rPr>
        <w:t xml:space="preserve"> </w:t>
      </w:r>
      <w:r w:rsidR="00B02339" w:rsidRPr="00C57BDC">
        <w:rPr>
          <w:szCs w:val="26"/>
        </w:rPr>
        <w:t>l</w:t>
      </w:r>
      <w:r w:rsidR="00FF6FEC" w:rsidRPr="00C57BDC">
        <w:rPr>
          <w:szCs w:val="26"/>
        </w:rPr>
        <w:t xml:space="preserve">evel and </w:t>
      </w:r>
      <w:r w:rsidR="00B02339" w:rsidRPr="00C57BDC">
        <w:rPr>
          <w:szCs w:val="26"/>
        </w:rPr>
        <w:t>v</w:t>
      </w:r>
      <w:r w:rsidR="00FF6FEC" w:rsidRPr="00C57BDC">
        <w:rPr>
          <w:szCs w:val="26"/>
        </w:rPr>
        <w:t xml:space="preserve">iolation </w:t>
      </w:r>
      <w:r w:rsidR="00B02339" w:rsidRPr="00C57BDC">
        <w:rPr>
          <w:szCs w:val="26"/>
        </w:rPr>
        <w:t>r</w:t>
      </w:r>
      <w:r w:rsidR="00FF6FEC" w:rsidRPr="00C57BDC">
        <w:rPr>
          <w:szCs w:val="26"/>
        </w:rPr>
        <w:t xml:space="preserve">isk </w:t>
      </w:r>
      <w:r w:rsidR="00B02339" w:rsidRPr="00C57BDC">
        <w:rPr>
          <w:szCs w:val="26"/>
        </w:rPr>
        <w:t>f</w:t>
      </w:r>
      <w:r w:rsidR="00FF6FEC" w:rsidRPr="00C57BDC">
        <w:rPr>
          <w:szCs w:val="26"/>
        </w:rPr>
        <w:t xml:space="preserve">actor assignments.  </w:t>
      </w:r>
    </w:p>
    <w:p w14:paraId="7C737CDB" w14:textId="2D403F0F" w:rsidR="00803B11" w:rsidRPr="00C57BDC" w:rsidRDefault="00803B11" w:rsidP="00B14A2C">
      <w:pPr>
        <w:pStyle w:val="FERCparanumber"/>
        <w:tabs>
          <w:tab w:val="clear" w:pos="810"/>
          <w:tab w:val="num" w:pos="720"/>
        </w:tabs>
        <w:ind w:left="0"/>
        <w:rPr>
          <w:szCs w:val="26"/>
        </w:rPr>
      </w:pPr>
      <w:r w:rsidRPr="00C57BDC">
        <w:rPr>
          <w:szCs w:val="26"/>
        </w:rPr>
        <w:t>While propos</w:t>
      </w:r>
      <w:r w:rsidR="007E7BB4" w:rsidRPr="00C57BDC">
        <w:rPr>
          <w:szCs w:val="26"/>
        </w:rPr>
        <w:t>ing</w:t>
      </w:r>
      <w:r w:rsidRPr="00C57BDC">
        <w:rPr>
          <w:szCs w:val="26"/>
        </w:rPr>
        <w:t xml:space="preserve"> to approve the TOP and IRO Reliability Standards, below </w:t>
      </w:r>
      <w:r w:rsidR="007E7BB4" w:rsidRPr="00C57BDC">
        <w:rPr>
          <w:szCs w:val="26"/>
        </w:rPr>
        <w:t>the Commission</w:t>
      </w:r>
      <w:r w:rsidRPr="00C57BDC">
        <w:rPr>
          <w:szCs w:val="26"/>
        </w:rPr>
        <w:t xml:space="preserve"> seek</w:t>
      </w:r>
      <w:r w:rsidR="007E7BB4" w:rsidRPr="00C57BDC">
        <w:rPr>
          <w:szCs w:val="26"/>
        </w:rPr>
        <w:t>s</w:t>
      </w:r>
      <w:r w:rsidRPr="00C57BDC">
        <w:rPr>
          <w:szCs w:val="26"/>
        </w:rPr>
        <w:t xml:space="preserve"> </w:t>
      </w:r>
      <w:r w:rsidR="000A0C92" w:rsidRPr="00C57BDC">
        <w:rPr>
          <w:szCs w:val="26"/>
        </w:rPr>
        <w:t xml:space="preserve">clarifying </w:t>
      </w:r>
      <w:r w:rsidR="008A0F24" w:rsidRPr="00C57BDC">
        <w:rPr>
          <w:szCs w:val="26"/>
        </w:rPr>
        <w:t>comments addressing</w:t>
      </w:r>
      <w:r w:rsidR="00E50397" w:rsidRPr="00C57BDC">
        <w:rPr>
          <w:szCs w:val="26"/>
        </w:rPr>
        <w:t xml:space="preserve"> </w:t>
      </w:r>
      <w:r w:rsidR="0099665A" w:rsidRPr="00C57BDC">
        <w:rPr>
          <w:szCs w:val="26"/>
        </w:rPr>
        <w:t xml:space="preserve">four </w:t>
      </w:r>
      <w:r w:rsidR="00E50397" w:rsidRPr="00C57BDC">
        <w:rPr>
          <w:szCs w:val="26"/>
        </w:rPr>
        <w:t xml:space="preserve">issues: </w:t>
      </w:r>
      <w:r w:rsidR="00F03064" w:rsidRPr="00C57BDC">
        <w:rPr>
          <w:szCs w:val="26"/>
        </w:rPr>
        <w:t xml:space="preserve"> </w:t>
      </w:r>
      <w:r w:rsidR="0099665A" w:rsidRPr="00C57BDC">
        <w:rPr>
          <w:szCs w:val="26"/>
        </w:rPr>
        <w:t>(A) possible in</w:t>
      </w:r>
      <w:r w:rsidR="0099665A" w:rsidRPr="00C57BDC">
        <w:rPr>
          <w:rFonts w:eastAsiaTheme="minorHAnsi"/>
        </w:rPr>
        <w:t xml:space="preserve">consistencies </w:t>
      </w:r>
      <w:r w:rsidR="00D00DEB">
        <w:rPr>
          <w:rFonts w:eastAsiaTheme="minorHAnsi"/>
        </w:rPr>
        <w:t>in</w:t>
      </w:r>
      <w:r w:rsidR="0099665A" w:rsidRPr="00C57BDC">
        <w:rPr>
          <w:rFonts w:eastAsiaTheme="minorHAnsi"/>
        </w:rPr>
        <w:t xml:space="preserve"> identifying IROLs; </w:t>
      </w:r>
      <w:r w:rsidR="00E50397" w:rsidRPr="00C57BDC">
        <w:rPr>
          <w:szCs w:val="26"/>
        </w:rPr>
        <w:t>(</w:t>
      </w:r>
      <w:r w:rsidR="0099665A" w:rsidRPr="00C57BDC">
        <w:rPr>
          <w:szCs w:val="26"/>
        </w:rPr>
        <w:t>B</w:t>
      </w:r>
      <w:r w:rsidR="00E50397" w:rsidRPr="00C57BDC">
        <w:rPr>
          <w:szCs w:val="26"/>
        </w:rPr>
        <w:t>) monitoring of non-bulk electric system facilities; (</w:t>
      </w:r>
      <w:r w:rsidR="0099665A" w:rsidRPr="00C57BDC">
        <w:rPr>
          <w:szCs w:val="26"/>
        </w:rPr>
        <w:t>C</w:t>
      </w:r>
      <w:r w:rsidR="00E50397" w:rsidRPr="00C57BDC">
        <w:rPr>
          <w:szCs w:val="26"/>
        </w:rPr>
        <w:t xml:space="preserve">) removal of </w:t>
      </w:r>
      <w:r w:rsidR="004440A4" w:rsidRPr="00C57BDC">
        <w:rPr>
          <w:szCs w:val="26"/>
        </w:rPr>
        <w:t xml:space="preserve">the </w:t>
      </w:r>
      <w:r w:rsidR="00E50397" w:rsidRPr="00C57BDC">
        <w:rPr>
          <w:szCs w:val="26"/>
        </w:rPr>
        <w:t xml:space="preserve">load-serving entity </w:t>
      </w:r>
      <w:r w:rsidR="004440A4" w:rsidRPr="00C57BDC">
        <w:rPr>
          <w:szCs w:val="26"/>
        </w:rPr>
        <w:t xml:space="preserve">as an applicable entity for </w:t>
      </w:r>
      <w:r w:rsidR="00E50397" w:rsidRPr="00C57BDC">
        <w:rPr>
          <w:szCs w:val="26"/>
        </w:rPr>
        <w:t>proposed Reliability Standard TOP-001-3; and (</w:t>
      </w:r>
      <w:r w:rsidR="0099665A" w:rsidRPr="00C57BDC">
        <w:rPr>
          <w:szCs w:val="26"/>
        </w:rPr>
        <w:t>D</w:t>
      </w:r>
      <w:r w:rsidR="00E50397" w:rsidRPr="00C57BDC">
        <w:rPr>
          <w:szCs w:val="26"/>
        </w:rPr>
        <w:t>) data exchange capabilities.</w:t>
      </w:r>
      <w:r w:rsidR="00A17DAB" w:rsidRPr="00C57BDC">
        <w:rPr>
          <w:szCs w:val="26"/>
        </w:rPr>
        <w:t xml:space="preserve">  Based on comments and information </w:t>
      </w:r>
      <w:r w:rsidR="006E09F1" w:rsidRPr="00C57BDC">
        <w:rPr>
          <w:szCs w:val="26"/>
        </w:rPr>
        <w:t>received on these issues, the Commission may issue directive</w:t>
      </w:r>
      <w:r w:rsidR="004440A4" w:rsidRPr="00C57BDC">
        <w:rPr>
          <w:szCs w:val="26"/>
        </w:rPr>
        <w:t>s</w:t>
      </w:r>
      <w:r w:rsidR="006E09F1" w:rsidRPr="00C57BDC">
        <w:rPr>
          <w:szCs w:val="26"/>
        </w:rPr>
        <w:t xml:space="preserve"> as appropriate. </w:t>
      </w:r>
    </w:p>
    <w:p w14:paraId="7589DDFC" w14:textId="77777777" w:rsidR="00CD1C07" w:rsidRPr="00C57BDC" w:rsidRDefault="00CD1C07" w:rsidP="000A7AFF">
      <w:pPr>
        <w:pStyle w:val="Heading1"/>
        <w:numPr>
          <w:ilvl w:val="0"/>
          <w:numId w:val="13"/>
        </w:numPr>
        <w:ind w:left="0" w:firstLine="0"/>
        <w:rPr>
          <w:szCs w:val="26"/>
        </w:rPr>
      </w:pPr>
      <w:r w:rsidRPr="00C57BDC">
        <w:rPr>
          <w:szCs w:val="26"/>
        </w:rPr>
        <w:t>Background</w:t>
      </w:r>
    </w:p>
    <w:p w14:paraId="4515F346" w14:textId="311E70F7" w:rsidR="00CD1C07" w:rsidRPr="00C57BDC" w:rsidRDefault="00CD1C07" w:rsidP="00B14A2C">
      <w:pPr>
        <w:pStyle w:val="FERCparanumber"/>
        <w:tabs>
          <w:tab w:val="clear" w:pos="810"/>
          <w:tab w:val="num" w:pos="720"/>
        </w:tabs>
        <w:ind w:left="0"/>
        <w:rPr>
          <w:szCs w:val="26"/>
        </w:rPr>
      </w:pPr>
      <w:r w:rsidRPr="00C57BDC">
        <w:rPr>
          <w:szCs w:val="26"/>
        </w:rPr>
        <w:t>Section 215 of the FPA requires a Commission-certified ERO to develop mandatory and enforceable Reliability Standards, which are subject to Commission review and approval.  Once approved, the Reliability Standards are enforced by the ERO, subject to Commission oversight, or by the Commission independently.  On March 16, 2007, the Commission issued Order No. 693, approving 83 of the 107 initial Reliability Standards filed by NERC, including the existing TOP and IRO Reliability Standards.</w:t>
      </w:r>
      <w:r w:rsidRPr="00C57BDC">
        <w:rPr>
          <w:rStyle w:val="FootnoteReference"/>
        </w:rPr>
        <w:footnoteReference w:id="5"/>
      </w:r>
      <w:r w:rsidRPr="00C57BDC">
        <w:rPr>
          <w:szCs w:val="26"/>
        </w:rPr>
        <w:t xml:space="preserve">  In </w:t>
      </w:r>
      <w:r w:rsidRPr="00C57BDC">
        <w:rPr>
          <w:szCs w:val="26"/>
        </w:rPr>
        <w:lastRenderedPageBreak/>
        <w:t>addition, in Order No. 748, the Commission approved revisions to the IRO Reliability Standards.</w:t>
      </w:r>
      <w:r w:rsidRPr="00C57BDC">
        <w:rPr>
          <w:rStyle w:val="FootnoteReference"/>
        </w:rPr>
        <w:footnoteReference w:id="6"/>
      </w:r>
    </w:p>
    <w:p w14:paraId="76229F77" w14:textId="1FAB02C8" w:rsidR="00E41801" w:rsidRPr="00C57BDC" w:rsidRDefault="00412069" w:rsidP="00B14A2C">
      <w:pPr>
        <w:pStyle w:val="FERCparanumber"/>
        <w:tabs>
          <w:tab w:val="clear" w:pos="810"/>
          <w:tab w:val="num" w:pos="720"/>
        </w:tabs>
        <w:ind w:left="0"/>
        <w:rPr>
          <w:szCs w:val="26"/>
        </w:rPr>
      </w:pPr>
      <w:r w:rsidRPr="00C57BDC">
        <w:rPr>
          <w:szCs w:val="26"/>
        </w:rPr>
        <w:t xml:space="preserve"> On April 16, 2013, in Docket No. RM13-14-000, NERC submitted for Commission approval three revised TOP Reliability Standards</w:t>
      </w:r>
      <w:r w:rsidR="00376AA8" w:rsidRPr="00C57BDC">
        <w:rPr>
          <w:szCs w:val="26"/>
        </w:rPr>
        <w:t xml:space="preserve"> </w:t>
      </w:r>
      <w:r w:rsidRPr="00C57BDC">
        <w:rPr>
          <w:szCs w:val="26"/>
        </w:rPr>
        <w:t>to replace the eight currently-effective TOP standards.</w:t>
      </w:r>
      <w:r w:rsidR="00B02339" w:rsidRPr="00C57BDC">
        <w:rPr>
          <w:rStyle w:val="FootnoteReference"/>
        </w:rPr>
        <w:footnoteReference w:id="7"/>
      </w:r>
      <w:r w:rsidR="00B02339" w:rsidRPr="00C57BDC">
        <w:rPr>
          <w:szCs w:val="26"/>
        </w:rPr>
        <w:t xml:space="preserve"> </w:t>
      </w:r>
      <w:r w:rsidRPr="00C57BDC">
        <w:rPr>
          <w:szCs w:val="26"/>
        </w:rPr>
        <w:t xml:space="preserve"> Additionally, on April 16, 2013, in Docket </w:t>
      </w:r>
      <w:r w:rsidR="00F4312C">
        <w:rPr>
          <w:szCs w:val="26"/>
        </w:rPr>
        <w:t xml:space="preserve">           </w:t>
      </w:r>
      <w:r w:rsidRPr="00C57BDC">
        <w:rPr>
          <w:szCs w:val="26"/>
        </w:rPr>
        <w:t>No. RM13-15-000, NERC submitted for Commission approval four rev</w:t>
      </w:r>
      <w:r w:rsidR="00376AA8" w:rsidRPr="00C57BDC">
        <w:rPr>
          <w:szCs w:val="26"/>
        </w:rPr>
        <w:t xml:space="preserve">ised IRO Reliability Standards </w:t>
      </w:r>
      <w:r w:rsidRPr="00C57BDC">
        <w:rPr>
          <w:szCs w:val="26"/>
        </w:rPr>
        <w:t xml:space="preserve">to replace six currently-effective IRO </w:t>
      </w:r>
      <w:r w:rsidR="001738EE" w:rsidRPr="00C57BDC">
        <w:rPr>
          <w:szCs w:val="26"/>
        </w:rPr>
        <w:t>Reliability S</w:t>
      </w:r>
      <w:r w:rsidRPr="00C57BDC">
        <w:rPr>
          <w:szCs w:val="26"/>
        </w:rPr>
        <w:t>tandards.</w:t>
      </w:r>
      <w:r w:rsidR="00376AA8" w:rsidRPr="00C57BDC">
        <w:rPr>
          <w:szCs w:val="26"/>
        </w:rPr>
        <w:t xml:space="preserve">  </w:t>
      </w:r>
      <w:r w:rsidRPr="00C57BDC">
        <w:rPr>
          <w:szCs w:val="26"/>
        </w:rPr>
        <w:t xml:space="preserve">On November 21, 2013, the Commission issued </w:t>
      </w:r>
      <w:r w:rsidR="006704CD" w:rsidRPr="00C57BDC">
        <w:rPr>
          <w:szCs w:val="26"/>
        </w:rPr>
        <w:t xml:space="preserve">the Remand NOPR in which </w:t>
      </w:r>
      <w:r w:rsidRPr="00C57BDC">
        <w:rPr>
          <w:szCs w:val="26"/>
        </w:rPr>
        <w:t xml:space="preserve">the Commission </w:t>
      </w:r>
      <w:r w:rsidR="00376AA8" w:rsidRPr="00C57BDC">
        <w:rPr>
          <w:szCs w:val="26"/>
        </w:rPr>
        <w:t xml:space="preserve">expressed </w:t>
      </w:r>
      <w:r w:rsidRPr="00C57BDC">
        <w:rPr>
          <w:szCs w:val="26"/>
        </w:rPr>
        <w:t xml:space="preserve">concern that NERC </w:t>
      </w:r>
      <w:r w:rsidR="00376AA8" w:rsidRPr="00C57BDC">
        <w:rPr>
          <w:szCs w:val="26"/>
        </w:rPr>
        <w:t>had “</w:t>
      </w:r>
      <w:r w:rsidRPr="00C57BDC">
        <w:rPr>
          <w:szCs w:val="26"/>
        </w:rPr>
        <w:t>removed critical reliability aspects that are included in the currently-effective standards without adequately addressing these aspects in the proposed standards.”</w:t>
      </w:r>
      <w:r w:rsidR="00376AA8" w:rsidRPr="00C57BDC">
        <w:rPr>
          <w:rStyle w:val="FootnoteReference"/>
        </w:rPr>
        <w:footnoteReference w:id="8"/>
      </w:r>
      <w:r w:rsidR="0002421D" w:rsidRPr="00C57BDC">
        <w:rPr>
          <w:szCs w:val="26"/>
        </w:rPr>
        <w:t xml:space="preserve">  The Commission identified two main concerns and asked for clarification and comment on a number of other issues.  </w:t>
      </w:r>
      <w:r w:rsidR="006704CD" w:rsidRPr="00C57BDC">
        <w:rPr>
          <w:szCs w:val="26"/>
        </w:rPr>
        <w:t xml:space="preserve">Among other things, </w:t>
      </w:r>
      <w:r w:rsidR="00E41801" w:rsidRPr="00C57BDC">
        <w:rPr>
          <w:szCs w:val="26"/>
        </w:rPr>
        <w:t>t</w:t>
      </w:r>
      <w:r w:rsidRPr="00C57BDC">
        <w:rPr>
          <w:szCs w:val="26"/>
        </w:rPr>
        <w:t xml:space="preserve">he Commission </w:t>
      </w:r>
      <w:r w:rsidR="003E6BFA" w:rsidRPr="00C57BDC">
        <w:rPr>
          <w:szCs w:val="26"/>
        </w:rPr>
        <w:t xml:space="preserve">expressed concern </w:t>
      </w:r>
      <w:r w:rsidRPr="00C57BDC">
        <w:rPr>
          <w:szCs w:val="26"/>
        </w:rPr>
        <w:t>tha</w:t>
      </w:r>
      <w:r w:rsidR="003E6BFA" w:rsidRPr="00C57BDC">
        <w:rPr>
          <w:szCs w:val="26"/>
        </w:rPr>
        <w:t xml:space="preserve">t the proposed TOP </w:t>
      </w:r>
      <w:r w:rsidR="00237633" w:rsidRPr="00C57BDC">
        <w:rPr>
          <w:szCs w:val="26"/>
        </w:rPr>
        <w:t xml:space="preserve">Reliability </w:t>
      </w:r>
      <w:r w:rsidR="003E6BFA" w:rsidRPr="00C57BDC">
        <w:rPr>
          <w:szCs w:val="26"/>
        </w:rPr>
        <w:t xml:space="preserve">Standards did </w:t>
      </w:r>
      <w:r w:rsidRPr="00C57BDC">
        <w:rPr>
          <w:szCs w:val="26"/>
        </w:rPr>
        <w:t xml:space="preserve">not require </w:t>
      </w:r>
      <w:r w:rsidR="003E6BFA" w:rsidRPr="00C57BDC">
        <w:rPr>
          <w:szCs w:val="26"/>
        </w:rPr>
        <w:t>t</w:t>
      </w:r>
      <w:r w:rsidRPr="00C57BDC">
        <w:rPr>
          <w:szCs w:val="26"/>
        </w:rPr>
        <w:t xml:space="preserve">ransmission </w:t>
      </w:r>
      <w:r w:rsidR="003E6BFA" w:rsidRPr="00C57BDC">
        <w:rPr>
          <w:szCs w:val="26"/>
        </w:rPr>
        <w:t>o</w:t>
      </w:r>
      <w:r w:rsidRPr="00C57BDC">
        <w:rPr>
          <w:szCs w:val="26"/>
        </w:rPr>
        <w:t>perators to plan and operate within all SOLs, which is</w:t>
      </w:r>
      <w:r w:rsidR="00B02339" w:rsidRPr="00C57BDC">
        <w:rPr>
          <w:szCs w:val="26"/>
        </w:rPr>
        <w:t xml:space="preserve"> a </w:t>
      </w:r>
      <w:r w:rsidR="00B02339" w:rsidRPr="00C57BDC">
        <w:rPr>
          <w:szCs w:val="26"/>
        </w:rPr>
        <w:lastRenderedPageBreak/>
        <w:t>requirement in the currently-</w:t>
      </w:r>
      <w:r w:rsidRPr="00C57BDC">
        <w:rPr>
          <w:szCs w:val="26"/>
        </w:rPr>
        <w:t>effective standards.</w:t>
      </w:r>
      <w:r w:rsidR="003E6BFA" w:rsidRPr="00C57BDC">
        <w:rPr>
          <w:szCs w:val="26"/>
        </w:rPr>
        <w:t xml:space="preserve">  In addition, the Commission expressed concern that </w:t>
      </w:r>
      <w:r w:rsidR="00E41801" w:rsidRPr="00C57BDC">
        <w:rPr>
          <w:szCs w:val="26"/>
        </w:rPr>
        <w:t xml:space="preserve">the proposed </w:t>
      </w:r>
      <w:r w:rsidR="00B02339" w:rsidRPr="00C57BDC">
        <w:rPr>
          <w:szCs w:val="26"/>
        </w:rPr>
        <w:t>IRO</w:t>
      </w:r>
      <w:r w:rsidR="00E41801" w:rsidRPr="00C57BDC">
        <w:rPr>
          <w:szCs w:val="26"/>
        </w:rPr>
        <w:t xml:space="preserve"> Reliability Standards did not require </w:t>
      </w:r>
      <w:r w:rsidR="00B02339" w:rsidRPr="00C57BDC">
        <w:rPr>
          <w:szCs w:val="26"/>
        </w:rPr>
        <w:t>outage coordination.</w:t>
      </w:r>
      <w:r w:rsidR="00E41801" w:rsidRPr="00C57BDC">
        <w:rPr>
          <w:szCs w:val="26"/>
        </w:rPr>
        <w:t xml:space="preserve">  </w:t>
      </w:r>
    </w:p>
    <w:p w14:paraId="294C8CAC" w14:textId="77777777" w:rsidR="00EE3540" w:rsidRPr="00C57BDC" w:rsidRDefault="00E41801" w:rsidP="00B14A2C">
      <w:pPr>
        <w:pStyle w:val="FERCparanumber"/>
        <w:tabs>
          <w:tab w:val="clear" w:pos="810"/>
          <w:tab w:val="num" w:pos="720"/>
        </w:tabs>
        <w:ind w:left="0"/>
        <w:rPr>
          <w:szCs w:val="26"/>
        </w:rPr>
      </w:pPr>
      <w:r w:rsidRPr="00C57BDC">
        <w:rPr>
          <w:szCs w:val="26"/>
        </w:rPr>
        <w:t>On December 20, 2013, NERC filed a motion requesting that the Commission defer action, until January 31, 2015, to allow NERC time to consider the reliability concerns raised by the Commission in the Remand NOPR.  The Commission granted that motion on January 14, 2014.</w:t>
      </w:r>
      <w:r w:rsidR="000D447B" w:rsidRPr="00C57BDC">
        <w:rPr>
          <w:rStyle w:val="FootnoteReference"/>
        </w:rPr>
        <w:footnoteReference w:id="9"/>
      </w:r>
      <w:r w:rsidRPr="00C57BDC">
        <w:rPr>
          <w:szCs w:val="26"/>
        </w:rPr>
        <w:t xml:space="preserve">  </w:t>
      </w:r>
      <w:r w:rsidR="00EE3540" w:rsidRPr="00C57BDC">
        <w:rPr>
          <w:szCs w:val="26"/>
        </w:rPr>
        <w:t xml:space="preserve">In response to the </w:t>
      </w:r>
      <w:r w:rsidR="000D447B" w:rsidRPr="00C57BDC">
        <w:rPr>
          <w:szCs w:val="26"/>
        </w:rPr>
        <w:t>Remand NOPR</w:t>
      </w:r>
      <w:r w:rsidR="00F66C5D" w:rsidRPr="00C57BDC">
        <w:rPr>
          <w:szCs w:val="26"/>
        </w:rPr>
        <w:t xml:space="preserve">, NERC </w:t>
      </w:r>
      <w:r w:rsidR="00EE3540" w:rsidRPr="00C57BDC">
        <w:rPr>
          <w:szCs w:val="26"/>
        </w:rPr>
        <w:t>initiated Project 2014-</w:t>
      </w:r>
      <w:r w:rsidR="000D447B" w:rsidRPr="00C57BDC">
        <w:rPr>
          <w:szCs w:val="26"/>
        </w:rPr>
        <w:t xml:space="preserve">03 to develop further revisions to the </w:t>
      </w:r>
      <w:r w:rsidR="00EE3540" w:rsidRPr="00C57BDC">
        <w:rPr>
          <w:szCs w:val="26"/>
        </w:rPr>
        <w:t>TOP</w:t>
      </w:r>
      <w:r w:rsidR="000D447B" w:rsidRPr="00C57BDC">
        <w:rPr>
          <w:szCs w:val="26"/>
        </w:rPr>
        <w:t xml:space="preserve"> and </w:t>
      </w:r>
      <w:r w:rsidR="00EE3540" w:rsidRPr="00C57BDC">
        <w:rPr>
          <w:szCs w:val="26"/>
        </w:rPr>
        <w:t xml:space="preserve">IRO Reliability Standards.  </w:t>
      </w:r>
    </w:p>
    <w:p w14:paraId="78BD6072" w14:textId="77777777" w:rsidR="00EE3540" w:rsidRPr="00C57BDC" w:rsidRDefault="00EE3540" w:rsidP="0067456F">
      <w:pPr>
        <w:pStyle w:val="FERCparanumber"/>
        <w:numPr>
          <w:ilvl w:val="0"/>
          <w:numId w:val="0"/>
        </w:numPr>
        <w:rPr>
          <w:b/>
          <w:szCs w:val="26"/>
          <w:u w:val="single"/>
        </w:rPr>
      </w:pPr>
      <w:r w:rsidRPr="00C57BDC">
        <w:rPr>
          <w:szCs w:val="26"/>
        </w:rPr>
        <w:tab/>
      </w:r>
      <w:r w:rsidRPr="00C57BDC">
        <w:rPr>
          <w:b/>
          <w:szCs w:val="26"/>
          <w:u w:val="single"/>
        </w:rPr>
        <w:t>NERC Petition</w:t>
      </w:r>
    </w:p>
    <w:p w14:paraId="1429FDF0" w14:textId="7DDCDC42" w:rsidR="005E607D" w:rsidRPr="00C57BDC" w:rsidRDefault="00BA0F30" w:rsidP="00140B72">
      <w:pPr>
        <w:pStyle w:val="FERCparanumber"/>
        <w:tabs>
          <w:tab w:val="clear" w:pos="810"/>
          <w:tab w:val="num" w:pos="720"/>
        </w:tabs>
        <w:ind w:left="0"/>
        <w:rPr>
          <w:szCs w:val="26"/>
        </w:rPr>
      </w:pPr>
      <w:r w:rsidRPr="00C57BDC">
        <w:rPr>
          <w:szCs w:val="26"/>
        </w:rPr>
        <w:t xml:space="preserve">On March 18, 2015, </w:t>
      </w:r>
      <w:r w:rsidR="006704CD" w:rsidRPr="00C57BDC">
        <w:rPr>
          <w:szCs w:val="26"/>
        </w:rPr>
        <w:t xml:space="preserve">as supplemented on May 12, 2015, </w:t>
      </w:r>
      <w:r w:rsidRPr="00C57BDC">
        <w:rPr>
          <w:szCs w:val="26"/>
        </w:rPr>
        <w:t xml:space="preserve">NERC submitted </w:t>
      </w:r>
      <w:r w:rsidR="009E3B2F" w:rsidRPr="00C57BDC">
        <w:rPr>
          <w:szCs w:val="26"/>
        </w:rPr>
        <w:t xml:space="preserve">a petition seeking approval of </w:t>
      </w:r>
      <w:r w:rsidRPr="00C57BDC">
        <w:rPr>
          <w:szCs w:val="26"/>
        </w:rPr>
        <w:t>two</w:t>
      </w:r>
      <w:r w:rsidR="009E3B2F" w:rsidRPr="00C57BDC">
        <w:rPr>
          <w:szCs w:val="26"/>
        </w:rPr>
        <w:t xml:space="preserve"> </w:t>
      </w:r>
      <w:r w:rsidRPr="00C57BDC">
        <w:rPr>
          <w:szCs w:val="26"/>
        </w:rPr>
        <w:t>sets of Reliability Standards to replace the currently-effective TOP and IRO Reliability Standards.  NERC states that t</w:t>
      </w:r>
      <w:r w:rsidR="005E607D" w:rsidRPr="00C57BDC">
        <w:rPr>
          <w:szCs w:val="26"/>
        </w:rPr>
        <w:t>he proposed TOP Reliability Standards generally address real-time operations and planning for next-day operations, and apply primarily to the respo</w:t>
      </w:r>
      <w:r w:rsidRPr="00C57BDC">
        <w:rPr>
          <w:szCs w:val="26"/>
        </w:rPr>
        <w:t>nsibilities and authorities of t</w:t>
      </w:r>
      <w:r w:rsidR="005E607D" w:rsidRPr="00C57BDC">
        <w:rPr>
          <w:szCs w:val="26"/>
        </w:rPr>
        <w:t xml:space="preserve">ransmission </w:t>
      </w:r>
      <w:r w:rsidRPr="00C57BDC">
        <w:rPr>
          <w:szCs w:val="26"/>
        </w:rPr>
        <w:t>o</w:t>
      </w:r>
      <w:r w:rsidR="005E607D" w:rsidRPr="00C57BDC">
        <w:rPr>
          <w:szCs w:val="26"/>
        </w:rPr>
        <w:t xml:space="preserve">perators, </w:t>
      </w:r>
      <w:r w:rsidRPr="00C57BDC">
        <w:rPr>
          <w:szCs w:val="26"/>
        </w:rPr>
        <w:t xml:space="preserve">with certain requirements applying </w:t>
      </w:r>
      <w:r w:rsidR="005E607D" w:rsidRPr="00C57BDC">
        <w:rPr>
          <w:szCs w:val="26"/>
        </w:rPr>
        <w:t xml:space="preserve">to the roles and </w:t>
      </w:r>
      <w:r w:rsidRPr="00C57BDC">
        <w:rPr>
          <w:szCs w:val="26"/>
        </w:rPr>
        <w:t>responsibilities of the b</w:t>
      </w:r>
      <w:r w:rsidR="005E607D" w:rsidRPr="00C57BDC">
        <w:rPr>
          <w:szCs w:val="26"/>
        </w:rPr>
        <w:t xml:space="preserve">alancing </w:t>
      </w:r>
      <w:r w:rsidRPr="00C57BDC">
        <w:rPr>
          <w:szCs w:val="26"/>
        </w:rPr>
        <w:t>a</w:t>
      </w:r>
      <w:r w:rsidR="005E607D" w:rsidRPr="00C57BDC">
        <w:rPr>
          <w:szCs w:val="26"/>
        </w:rPr>
        <w:t xml:space="preserve">uthority. </w:t>
      </w:r>
      <w:r w:rsidRPr="00C57BDC">
        <w:rPr>
          <w:szCs w:val="26"/>
        </w:rPr>
        <w:t xml:space="preserve"> NERC adds that t</w:t>
      </w:r>
      <w:r w:rsidR="005E607D" w:rsidRPr="00C57BDC">
        <w:rPr>
          <w:szCs w:val="26"/>
        </w:rPr>
        <w:t xml:space="preserve">he proposed IRO Reliability Standards set forth the responsibility and authority of </w:t>
      </w:r>
      <w:r w:rsidRPr="00C57BDC">
        <w:rPr>
          <w:szCs w:val="26"/>
        </w:rPr>
        <w:t>r</w:t>
      </w:r>
      <w:r w:rsidR="005E607D" w:rsidRPr="00C57BDC">
        <w:rPr>
          <w:szCs w:val="26"/>
        </w:rPr>
        <w:t xml:space="preserve">eliability </w:t>
      </w:r>
      <w:r w:rsidRPr="00C57BDC">
        <w:rPr>
          <w:szCs w:val="26"/>
        </w:rPr>
        <w:t>c</w:t>
      </w:r>
      <w:r w:rsidR="005E607D" w:rsidRPr="00C57BDC">
        <w:rPr>
          <w:szCs w:val="26"/>
        </w:rPr>
        <w:t xml:space="preserve">oordinators to provide for reliable operations. </w:t>
      </w:r>
      <w:r w:rsidRPr="00C57BDC">
        <w:rPr>
          <w:szCs w:val="26"/>
        </w:rPr>
        <w:t xml:space="preserve"> According to NERC, r</w:t>
      </w:r>
      <w:r w:rsidR="005E607D" w:rsidRPr="00C57BDC">
        <w:rPr>
          <w:szCs w:val="26"/>
        </w:rPr>
        <w:t xml:space="preserve">eliability </w:t>
      </w:r>
      <w:r w:rsidRPr="00C57BDC">
        <w:rPr>
          <w:szCs w:val="26"/>
        </w:rPr>
        <w:t>c</w:t>
      </w:r>
      <w:r w:rsidR="005E607D" w:rsidRPr="00C57BDC">
        <w:rPr>
          <w:szCs w:val="26"/>
        </w:rPr>
        <w:t xml:space="preserve">oordinators have an essential role in </w:t>
      </w:r>
      <w:r w:rsidR="005E607D" w:rsidRPr="00C57BDC">
        <w:rPr>
          <w:szCs w:val="26"/>
        </w:rPr>
        <w:lastRenderedPageBreak/>
        <w:t xml:space="preserve">ensuring reliable operations, as they are the functional entities with the highest level of authority and have the wide-area view of the </w:t>
      </w:r>
      <w:r w:rsidRPr="00C57BDC">
        <w:rPr>
          <w:szCs w:val="26"/>
        </w:rPr>
        <w:t>b</w:t>
      </w:r>
      <w:r w:rsidR="005E607D" w:rsidRPr="00C57BDC">
        <w:rPr>
          <w:szCs w:val="26"/>
        </w:rPr>
        <w:t xml:space="preserve">ulk </w:t>
      </w:r>
      <w:r w:rsidRPr="00C57BDC">
        <w:rPr>
          <w:szCs w:val="26"/>
        </w:rPr>
        <w:t>e</w:t>
      </w:r>
      <w:r w:rsidR="005E607D" w:rsidRPr="00C57BDC">
        <w:rPr>
          <w:szCs w:val="26"/>
        </w:rPr>
        <w:t xml:space="preserve">lectric </w:t>
      </w:r>
      <w:r w:rsidRPr="00C57BDC">
        <w:rPr>
          <w:szCs w:val="26"/>
        </w:rPr>
        <w:t>s</w:t>
      </w:r>
      <w:r w:rsidR="005E607D" w:rsidRPr="00C57BDC">
        <w:rPr>
          <w:szCs w:val="26"/>
        </w:rPr>
        <w:t>ystem.</w:t>
      </w:r>
      <w:r w:rsidR="006704CD" w:rsidRPr="00C57BDC">
        <w:rPr>
          <w:rStyle w:val="FootnoteReference"/>
        </w:rPr>
        <w:t xml:space="preserve"> </w:t>
      </w:r>
      <w:r w:rsidR="006704CD" w:rsidRPr="00C57BDC">
        <w:rPr>
          <w:rStyle w:val="FootnoteReference"/>
        </w:rPr>
        <w:footnoteReference w:id="10"/>
      </w:r>
    </w:p>
    <w:p w14:paraId="29FF91DE" w14:textId="6191ED73" w:rsidR="00BA0F30" w:rsidRPr="00C57BDC" w:rsidRDefault="00BA0F30" w:rsidP="00B14A2C">
      <w:pPr>
        <w:pStyle w:val="FERCparanumber"/>
        <w:tabs>
          <w:tab w:val="clear" w:pos="810"/>
          <w:tab w:val="num" w:pos="720"/>
        </w:tabs>
        <w:ind w:left="0"/>
        <w:rPr>
          <w:szCs w:val="26"/>
        </w:rPr>
      </w:pPr>
      <w:r w:rsidRPr="00C57BDC">
        <w:rPr>
          <w:szCs w:val="26"/>
        </w:rPr>
        <w:t>NERC states that the proposed Reliability Standards include improvements over the currently effective TOP and IRO Reliability Standards in key areas such as:</w:t>
      </w:r>
      <w:r w:rsidR="00F14FFE" w:rsidRPr="00C57BDC">
        <w:rPr>
          <w:szCs w:val="26"/>
        </w:rPr>
        <w:t xml:space="preserve"> </w:t>
      </w:r>
      <w:r w:rsidRPr="00C57BDC">
        <w:rPr>
          <w:szCs w:val="26"/>
        </w:rPr>
        <w:t xml:space="preserve"> </w:t>
      </w:r>
      <w:r w:rsidR="00AF4B0C">
        <w:rPr>
          <w:szCs w:val="26"/>
        </w:rPr>
        <w:t xml:space="preserve">           </w:t>
      </w:r>
      <w:r w:rsidRPr="00C57BDC">
        <w:rPr>
          <w:szCs w:val="26"/>
        </w:rPr>
        <w:t>(1) operating within SOLs and IROLs; (2) outage coordination; (3) situational awareness; (4) improved clarity and content in foundational definitions; and (5) requirements for operational reliability data.</w:t>
      </w:r>
    </w:p>
    <w:p w14:paraId="4C8BB588" w14:textId="7C02DA5E" w:rsidR="002221AC" w:rsidRPr="00C57BDC" w:rsidRDefault="00165352" w:rsidP="00B14A2C">
      <w:pPr>
        <w:pStyle w:val="FERCparanumber"/>
        <w:tabs>
          <w:tab w:val="clear" w:pos="810"/>
          <w:tab w:val="num" w:pos="720"/>
        </w:tabs>
        <w:ind w:left="0"/>
        <w:rPr>
          <w:szCs w:val="26"/>
        </w:rPr>
      </w:pPr>
      <w:r w:rsidRPr="00C57BDC">
        <w:rPr>
          <w:szCs w:val="26"/>
        </w:rPr>
        <w:t xml:space="preserve">NERC states that the proposed TOP and IRO Reliability Standards address the coordinated efforts to plan and reliably operate the bulk electric system under both normal and abnormal conditions.  NERC states that the proposed Reliability Standards provide a comprehensive framework for reliable operations, with important improvements to ensure the </w:t>
      </w:r>
      <w:r w:rsidR="005E607D" w:rsidRPr="00C57BDC">
        <w:rPr>
          <w:szCs w:val="26"/>
        </w:rPr>
        <w:t>b</w:t>
      </w:r>
      <w:r w:rsidRPr="00C57BDC">
        <w:rPr>
          <w:szCs w:val="26"/>
        </w:rPr>
        <w:t xml:space="preserve">ulk </w:t>
      </w:r>
      <w:r w:rsidR="005E607D" w:rsidRPr="00C57BDC">
        <w:rPr>
          <w:szCs w:val="26"/>
        </w:rPr>
        <w:t>e</w:t>
      </w:r>
      <w:r w:rsidRPr="00C57BDC">
        <w:rPr>
          <w:szCs w:val="26"/>
        </w:rPr>
        <w:t xml:space="preserve">lectric </w:t>
      </w:r>
      <w:r w:rsidR="005E607D" w:rsidRPr="00C57BDC">
        <w:rPr>
          <w:szCs w:val="26"/>
        </w:rPr>
        <w:t>s</w:t>
      </w:r>
      <w:r w:rsidRPr="00C57BDC">
        <w:rPr>
          <w:szCs w:val="26"/>
        </w:rPr>
        <w:t>ystem is operated within pre-established limits while enhancing situational awareness and strengthening operations planning.</w:t>
      </w:r>
      <w:r w:rsidR="009B5D23" w:rsidRPr="00C57BDC">
        <w:rPr>
          <w:szCs w:val="26"/>
        </w:rPr>
        <w:t xml:space="preserve"> </w:t>
      </w:r>
      <w:r w:rsidR="005E607D" w:rsidRPr="00C57BDC">
        <w:rPr>
          <w:szCs w:val="26"/>
        </w:rPr>
        <w:t xml:space="preserve"> </w:t>
      </w:r>
      <w:r w:rsidR="009B5D23" w:rsidRPr="00C57BDC">
        <w:rPr>
          <w:szCs w:val="26"/>
        </w:rPr>
        <w:t>NERC explains that t</w:t>
      </w:r>
      <w:r w:rsidRPr="00C57BDC">
        <w:rPr>
          <w:szCs w:val="26"/>
        </w:rPr>
        <w:t xml:space="preserve">he proposed Reliability Standards establish or revise requirements for operations planning, system monitoring, real-time actions, coordination between applicable entities, and operational reliability data. </w:t>
      </w:r>
      <w:r w:rsidR="005E607D" w:rsidRPr="00C57BDC">
        <w:rPr>
          <w:szCs w:val="26"/>
        </w:rPr>
        <w:t xml:space="preserve"> According to NERC, </w:t>
      </w:r>
      <w:r w:rsidRPr="00C57BDC">
        <w:rPr>
          <w:szCs w:val="26"/>
        </w:rPr>
        <w:t xml:space="preserve">the proposed Reliability Standards help to ensure that </w:t>
      </w:r>
      <w:r w:rsidR="005E607D" w:rsidRPr="00C57BDC">
        <w:rPr>
          <w:szCs w:val="26"/>
        </w:rPr>
        <w:t>r</w:t>
      </w:r>
      <w:r w:rsidRPr="00C57BDC">
        <w:rPr>
          <w:szCs w:val="26"/>
        </w:rPr>
        <w:t xml:space="preserve">eliability </w:t>
      </w:r>
      <w:r w:rsidR="005E607D" w:rsidRPr="00C57BDC">
        <w:rPr>
          <w:szCs w:val="26"/>
        </w:rPr>
        <w:t>c</w:t>
      </w:r>
      <w:r w:rsidRPr="00C57BDC">
        <w:rPr>
          <w:szCs w:val="26"/>
        </w:rPr>
        <w:t xml:space="preserve">oordinators and </w:t>
      </w:r>
      <w:r w:rsidR="005E607D" w:rsidRPr="00C57BDC">
        <w:rPr>
          <w:szCs w:val="26"/>
        </w:rPr>
        <w:t>t</w:t>
      </w:r>
      <w:r w:rsidRPr="00C57BDC">
        <w:rPr>
          <w:szCs w:val="26"/>
        </w:rPr>
        <w:t xml:space="preserve">ransmission </w:t>
      </w:r>
      <w:r w:rsidR="005E607D" w:rsidRPr="00C57BDC">
        <w:rPr>
          <w:szCs w:val="26"/>
        </w:rPr>
        <w:t>o</w:t>
      </w:r>
      <w:r w:rsidRPr="00C57BDC">
        <w:rPr>
          <w:szCs w:val="26"/>
        </w:rPr>
        <w:t xml:space="preserve">perators work together, and with other functional entities, to operate the </w:t>
      </w:r>
      <w:r w:rsidR="005E607D" w:rsidRPr="00C57BDC">
        <w:rPr>
          <w:szCs w:val="26"/>
        </w:rPr>
        <w:t>b</w:t>
      </w:r>
      <w:r w:rsidRPr="00C57BDC">
        <w:rPr>
          <w:szCs w:val="26"/>
        </w:rPr>
        <w:t xml:space="preserve">ulk </w:t>
      </w:r>
      <w:r w:rsidR="005E607D" w:rsidRPr="00C57BDC">
        <w:rPr>
          <w:szCs w:val="26"/>
        </w:rPr>
        <w:t>e</w:t>
      </w:r>
      <w:r w:rsidRPr="00C57BDC">
        <w:rPr>
          <w:szCs w:val="26"/>
        </w:rPr>
        <w:t xml:space="preserve">lectric </w:t>
      </w:r>
      <w:r w:rsidR="005E607D" w:rsidRPr="00C57BDC">
        <w:rPr>
          <w:szCs w:val="26"/>
        </w:rPr>
        <w:lastRenderedPageBreak/>
        <w:t>s</w:t>
      </w:r>
      <w:r w:rsidRPr="00C57BDC">
        <w:rPr>
          <w:szCs w:val="26"/>
        </w:rPr>
        <w:t>ystem within SOLs and IROLs.</w:t>
      </w:r>
      <w:r w:rsidR="00763052" w:rsidRPr="00C57BDC">
        <w:rPr>
          <w:rStyle w:val="FootnoteReference"/>
        </w:rPr>
        <w:footnoteReference w:id="11"/>
      </w:r>
      <w:r w:rsidRPr="00C57BDC">
        <w:rPr>
          <w:szCs w:val="26"/>
        </w:rPr>
        <w:t xml:space="preserve"> </w:t>
      </w:r>
      <w:r w:rsidR="005E607D" w:rsidRPr="00C57BDC">
        <w:rPr>
          <w:szCs w:val="26"/>
        </w:rPr>
        <w:t xml:space="preserve"> </w:t>
      </w:r>
      <w:r w:rsidR="00B54EE3" w:rsidRPr="00C57BDC">
        <w:rPr>
          <w:szCs w:val="26"/>
        </w:rPr>
        <w:t xml:space="preserve">Further, </w:t>
      </w:r>
      <w:r w:rsidR="005E607D" w:rsidRPr="00C57BDC">
        <w:rPr>
          <w:szCs w:val="26"/>
        </w:rPr>
        <w:t xml:space="preserve">NERC </w:t>
      </w:r>
      <w:r w:rsidR="00BA0F30" w:rsidRPr="00C57BDC">
        <w:rPr>
          <w:szCs w:val="26"/>
        </w:rPr>
        <w:t xml:space="preserve">explains </w:t>
      </w:r>
      <w:r w:rsidR="005E607D" w:rsidRPr="00C57BDC">
        <w:rPr>
          <w:szCs w:val="26"/>
        </w:rPr>
        <w:t xml:space="preserve">that </w:t>
      </w:r>
      <w:r w:rsidRPr="00C57BDC">
        <w:rPr>
          <w:szCs w:val="26"/>
        </w:rPr>
        <w:t xml:space="preserve">SOLs and IROLs are vital concepts in </w:t>
      </w:r>
      <w:r w:rsidR="00B845A9" w:rsidRPr="00C57BDC">
        <w:rPr>
          <w:szCs w:val="26"/>
        </w:rPr>
        <w:t xml:space="preserve">the </w:t>
      </w:r>
      <w:r w:rsidRPr="00C57BDC">
        <w:rPr>
          <w:szCs w:val="26"/>
        </w:rPr>
        <w:t xml:space="preserve">Reliability Standards </w:t>
      </w:r>
      <w:r w:rsidR="005E607D" w:rsidRPr="00C57BDC">
        <w:rPr>
          <w:szCs w:val="26"/>
        </w:rPr>
        <w:t xml:space="preserve">because </w:t>
      </w:r>
      <w:r w:rsidRPr="00C57BDC">
        <w:rPr>
          <w:szCs w:val="26"/>
        </w:rPr>
        <w:t xml:space="preserve">they establish acceptable performance criteria both pre- and post-contingency to maintain reliable </w:t>
      </w:r>
      <w:r w:rsidR="005E607D" w:rsidRPr="00C57BDC">
        <w:rPr>
          <w:szCs w:val="26"/>
        </w:rPr>
        <w:t>b</w:t>
      </w:r>
      <w:r w:rsidRPr="00C57BDC">
        <w:rPr>
          <w:szCs w:val="26"/>
        </w:rPr>
        <w:t xml:space="preserve">ulk </w:t>
      </w:r>
      <w:r w:rsidR="005E607D" w:rsidRPr="00C57BDC">
        <w:rPr>
          <w:szCs w:val="26"/>
        </w:rPr>
        <w:t>e</w:t>
      </w:r>
      <w:r w:rsidRPr="00C57BDC">
        <w:rPr>
          <w:szCs w:val="26"/>
        </w:rPr>
        <w:t xml:space="preserve">lectric </w:t>
      </w:r>
      <w:r w:rsidR="005E607D" w:rsidRPr="00C57BDC">
        <w:rPr>
          <w:szCs w:val="26"/>
        </w:rPr>
        <w:t>s</w:t>
      </w:r>
      <w:r w:rsidRPr="00C57BDC">
        <w:rPr>
          <w:szCs w:val="26"/>
        </w:rPr>
        <w:t>ystem operations.</w:t>
      </w:r>
      <w:r w:rsidR="00763052" w:rsidRPr="00C57BDC">
        <w:rPr>
          <w:szCs w:val="26"/>
        </w:rPr>
        <w:t xml:space="preserve">  </w:t>
      </w:r>
      <w:r w:rsidR="002221AC" w:rsidRPr="00C57BDC">
        <w:rPr>
          <w:szCs w:val="26"/>
        </w:rPr>
        <w:t>NERC states that when any facility rating or stability limit is exceeded, or expected to be exceeded, these conditions should be mitigated to avoid the possibility of further deteriorating system conditions and the potential for a cascading event.</w:t>
      </w:r>
      <w:r w:rsidR="00763052" w:rsidRPr="00C57BDC">
        <w:rPr>
          <w:szCs w:val="26"/>
        </w:rPr>
        <w:t xml:space="preserve">  </w:t>
      </w:r>
      <w:r w:rsidR="003F72EA" w:rsidRPr="00C57BDC">
        <w:rPr>
          <w:szCs w:val="26"/>
        </w:rPr>
        <w:t xml:space="preserve">In addition, NERC states that the standard drafting team developed a white paper on SOL definition and exceedance criteria which clarified the team’s position on establishing and exceeding SOLs, and on implementing operating plans to mitigate exceedances.  The SOL white paper </w:t>
      </w:r>
      <w:r w:rsidR="006704CD" w:rsidRPr="00C57BDC">
        <w:rPr>
          <w:szCs w:val="26"/>
        </w:rPr>
        <w:t xml:space="preserve">explains the links </w:t>
      </w:r>
      <w:r w:rsidR="003F72EA" w:rsidRPr="00C57BDC">
        <w:rPr>
          <w:szCs w:val="26"/>
        </w:rPr>
        <w:t>between relevant reliability standards and reliability concepts to establish a common understanding necessary for developing effective operating plans to mitigate SOL exceedances.</w:t>
      </w:r>
      <w:r w:rsidR="003F72EA" w:rsidRPr="00C57BDC">
        <w:rPr>
          <w:rStyle w:val="FootnoteReference"/>
        </w:rPr>
        <w:footnoteReference w:id="12"/>
      </w:r>
      <w:r w:rsidR="003F72EA" w:rsidRPr="00C57BDC">
        <w:rPr>
          <w:szCs w:val="26"/>
        </w:rPr>
        <w:t xml:space="preserve"> </w:t>
      </w:r>
      <w:r w:rsidR="002221AC" w:rsidRPr="00C57BDC">
        <w:rPr>
          <w:szCs w:val="26"/>
        </w:rPr>
        <w:t xml:space="preserve">  </w:t>
      </w:r>
    </w:p>
    <w:p w14:paraId="26C011FA" w14:textId="780E63FA" w:rsidR="00237633" w:rsidRPr="00C57BDC" w:rsidRDefault="00BA0F30" w:rsidP="00B14A2C">
      <w:pPr>
        <w:pStyle w:val="FERCparanumber"/>
        <w:tabs>
          <w:tab w:val="clear" w:pos="810"/>
          <w:tab w:val="num" w:pos="720"/>
        </w:tabs>
        <w:ind w:left="0"/>
        <w:rPr>
          <w:szCs w:val="26"/>
        </w:rPr>
      </w:pPr>
      <w:r w:rsidRPr="00C57BDC">
        <w:rPr>
          <w:szCs w:val="26"/>
        </w:rPr>
        <w:t xml:space="preserve">NERC </w:t>
      </w:r>
      <w:r w:rsidR="009B5D23" w:rsidRPr="00C57BDC">
        <w:rPr>
          <w:szCs w:val="26"/>
        </w:rPr>
        <w:t xml:space="preserve">states that it reviewed </w:t>
      </w:r>
      <w:r w:rsidR="003E6BFA" w:rsidRPr="00C57BDC">
        <w:rPr>
          <w:szCs w:val="26"/>
        </w:rPr>
        <w:t xml:space="preserve">the </w:t>
      </w:r>
      <w:r w:rsidR="002B26C9" w:rsidRPr="00C57BDC">
        <w:rPr>
          <w:szCs w:val="26"/>
        </w:rPr>
        <w:t xml:space="preserve">report on the </w:t>
      </w:r>
      <w:r w:rsidR="002B26C9" w:rsidRPr="00C57BDC">
        <w:rPr>
          <w:iCs/>
          <w:szCs w:val="26"/>
        </w:rPr>
        <w:t xml:space="preserve">Arizona-Southern California Outages on September 8, 2011, Causes and Recommendations </w:t>
      </w:r>
      <w:r w:rsidR="002B26C9" w:rsidRPr="00C57BDC">
        <w:rPr>
          <w:szCs w:val="26"/>
        </w:rPr>
        <w:t xml:space="preserve">(“2011 Southwest Outage Blackout Report”) </w:t>
      </w:r>
      <w:r w:rsidR="009220C0">
        <w:rPr>
          <w:szCs w:val="26"/>
        </w:rPr>
        <w:t xml:space="preserve">that includes </w:t>
      </w:r>
      <w:r w:rsidR="003E6BFA" w:rsidRPr="00C57BDC">
        <w:rPr>
          <w:szCs w:val="26"/>
        </w:rPr>
        <w:t xml:space="preserve">findings and recommendations applicable to </w:t>
      </w:r>
      <w:r w:rsidR="005E607D" w:rsidRPr="00C57BDC">
        <w:rPr>
          <w:szCs w:val="26"/>
        </w:rPr>
        <w:t>t</w:t>
      </w:r>
      <w:r w:rsidR="003E6BFA" w:rsidRPr="00C57BDC">
        <w:rPr>
          <w:szCs w:val="26"/>
        </w:rPr>
        <w:t xml:space="preserve">ransmission </w:t>
      </w:r>
      <w:r w:rsidR="005E607D" w:rsidRPr="00C57BDC">
        <w:rPr>
          <w:szCs w:val="26"/>
        </w:rPr>
        <w:lastRenderedPageBreak/>
        <w:t>o</w:t>
      </w:r>
      <w:r w:rsidR="003E6BFA" w:rsidRPr="00C57BDC">
        <w:rPr>
          <w:szCs w:val="26"/>
        </w:rPr>
        <w:t xml:space="preserve">perators, </w:t>
      </w:r>
      <w:r w:rsidR="005E607D" w:rsidRPr="00C57BDC">
        <w:rPr>
          <w:szCs w:val="26"/>
        </w:rPr>
        <w:t>b</w:t>
      </w:r>
      <w:r w:rsidR="003E6BFA" w:rsidRPr="00C57BDC">
        <w:rPr>
          <w:szCs w:val="26"/>
        </w:rPr>
        <w:t xml:space="preserve">alancing </w:t>
      </w:r>
      <w:r w:rsidR="005E607D" w:rsidRPr="00C57BDC">
        <w:rPr>
          <w:szCs w:val="26"/>
        </w:rPr>
        <w:t>a</w:t>
      </w:r>
      <w:r w:rsidR="003E6BFA" w:rsidRPr="00C57BDC">
        <w:rPr>
          <w:szCs w:val="26"/>
        </w:rPr>
        <w:t xml:space="preserve">uthorities and </w:t>
      </w:r>
      <w:r w:rsidR="005E607D" w:rsidRPr="00C57BDC">
        <w:rPr>
          <w:szCs w:val="26"/>
        </w:rPr>
        <w:t>r</w:t>
      </w:r>
      <w:r w:rsidR="003E6BFA" w:rsidRPr="00C57BDC">
        <w:rPr>
          <w:szCs w:val="26"/>
        </w:rPr>
        <w:t xml:space="preserve">eliability </w:t>
      </w:r>
      <w:r w:rsidR="005E607D" w:rsidRPr="00C57BDC">
        <w:rPr>
          <w:szCs w:val="26"/>
        </w:rPr>
        <w:t>c</w:t>
      </w:r>
      <w:r w:rsidR="003E6BFA" w:rsidRPr="00C57BDC">
        <w:rPr>
          <w:szCs w:val="26"/>
        </w:rPr>
        <w:t xml:space="preserve">oordinators, and </w:t>
      </w:r>
      <w:r w:rsidR="005E607D" w:rsidRPr="00C57BDC">
        <w:rPr>
          <w:szCs w:val="26"/>
        </w:rPr>
        <w:t xml:space="preserve">provides </w:t>
      </w:r>
      <w:r w:rsidR="003E6BFA" w:rsidRPr="00C57BDC">
        <w:rPr>
          <w:szCs w:val="26"/>
        </w:rPr>
        <w:t>explanation</w:t>
      </w:r>
      <w:r w:rsidR="005E607D" w:rsidRPr="00C57BDC">
        <w:rPr>
          <w:szCs w:val="26"/>
        </w:rPr>
        <w:t>s</w:t>
      </w:r>
      <w:r w:rsidR="003E6BFA" w:rsidRPr="00C57BDC">
        <w:rPr>
          <w:szCs w:val="26"/>
        </w:rPr>
        <w:t xml:space="preserve"> of how the proposed Reliability Standards address the reliability issues identified following the 2011 Southwest Outage</w:t>
      </w:r>
      <w:r w:rsidR="009220C0">
        <w:rPr>
          <w:szCs w:val="26"/>
        </w:rPr>
        <w:t xml:space="preserve"> Blackout</w:t>
      </w:r>
      <w:r w:rsidR="00F73562" w:rsidRPr="00C57BDC">
        <w:rPr>
          <w:szCs w:val="26"/>
        </w:rPr>
        <w:t xml:space="preserve"> Report</w:t>
      </w:r>
      <w:r w:rsidR="003E6BFA" w:rsidRPr="00C57BDC">
        <w:rPr>
          <w:szCs w:val="26"/>
        </w:rPr>
        <w:t>.</w:t>
      </w:r>
      <w:r w:rsidR="00237633" w:rsidRPr="00C57BDC">
        <w:rPr>
          <w:szCs w:val="26"/>
        </w:rPr>
        <w:t xml:space="preserve">  Further, NERC states that it addressed outstanding Commission directives relevant to the proposed TOP and IRO Reliability Standards.</w:t>
      </w:r>
    </w:p>
    <w:p w14:paraId="317E690E" w14:textId="77777777" w:rsidR="00EE3540" w:rsidRPr="00B14A2C" w:rsidRDefault="0002421D" w:rsidP="0067456F">
      <w:pPr>
        <w:pStyle w:val="FERCparanumber"/>
        <w:numPr>
          <w:ilvl w:val="0"/>
          <w:numId w:val="0"/>
        </w:numPr>
        <w:rPr>
          <w:b/>
          <w:szCs w:val="26"/>
          <w:u w:val="single"/>
        </w:rPr>
      </w:pPr>
      <w:r w:rsidRPr="00C57BDC">
        <w:rPr>
          <w:szCs w:val="26"/>
        </w:rPr>
        <w:tab/>
      </w:r>
      <w:r w:rsidRPr="00B14A2C">
        <w:rPr>
          <w:b/>
          <w:szCs w:val="26"/>
          <w:u w:val="single"/>
        </w:rPr>
        <w:t>Revisions to TOP Standards</w:t>
      </w:r>
    </w:p>
    <w:p w14:paraId="599111A1" w14:textId="77777777" w:rsidR="0002421D" w:rsidRPr="00C57BDC" w:rsidRDefault="00660B33" w:rsidP="00B14A2C">
      <w:pPr>
        <w:pStyle w:val="FERCparanumber"/>
        <w:tabs>
          <w:tab w:val="clear" w:pos="810"/>
          <w:tab w:val="num" w:pos="720"/>
        </w:tabs>
        <w:ind w:left="0"/>
        <w:rPr>
          <w:szCs w:val="26"/>
        </w:rPr>
      </w:pPr>
      <w:r w:rsidRPr="00C57BDC">
        <w:rPr>
          <w:szCs w:val="26"/>
        </w:rPr>
        <w:t xml:space="preserve">NERC proposes three </w:t>
      </w:r>
      <w:r w:rsidR="00672016" w:rsidRPr="00C57BDC">
        <w:rPr>
          <w:szCs w:val="26"/>
        </w:rPr>
        <w:t xml:space="preserve">TOP </w:t>
      </w:r>
      <w:r w:rsidRPr="00C57BDC">
        <w:rPr>
          <w:szCs w:val="26"/>
        </w:rPr>
        <w:t xml:space="preserve">Reliability Standards to replace the existing suite of TOP standards.  The proposed TOP Reliability Standards generally address real-time operations and planning for next-day operations, and apply primarily to the </w:t>
      </w:r>
      <w:r w:rsidR="00372849" w:rsidRPr="00C57BDC">
        <w:rPr>
          <w:szCs w:val="26"/>
        </w:rPr>
        <w:t>r</w:t>
      </w:r>
      <w:r w:rsidRPr="00C57BDC">
        <w:rPr>
          <w:szCs w:val="26"/>
        </w:rPr>
        <w:t>espo</w:t>
      </w:r>
      <w:r w:rsidR="00400AE0" w:rsidRPr="00C57BDC">
        <w:rPr>
          <w:szCs w:val="26"/>
        </w:rPr>
        <w:t>nsibilities and authorities of t</w:t>
      </w:r>
      <w:r w:rsidRPr="00C57BDC">
        <w:rPr>
          <w:szCs w:val="26"/>
        </w:rPr>
        <w:t xml:space="preserve">ransmission </w:t>
      </w:r>
      <w:r w:rsidR="00400AE0" w:rsidRPr="00C57BDC">
        <w:rPr>
          <w:szCs w:val="26"/>
        </w:rPr>
        <w:t>o</w:t>
      </w:r>
      <w:r w:rsidRPr="00C57BDC">
        <w:rPr>
          <w:szCs w:val="26"/>
        </w:rPr>
        <w:t xml:space="preserve">perators. </w:t>
      </w:r>
      <w:r w:rsidR="00BA0F30" w:rsidRPr="00C57BDC">
        <w:rPr>
          <w:szCs w:val="26"/>
        </w:rPr>
        <w:t xml:space="preserve"> </w:t>
      </w:r>
      <w:r w:rsidRPr="00C57BDC">
        <w:rPr>
          <w:szCs w:val="26"/>
        </w:rPr>
        <w:t xml:space="preserve">Among other things, </w:t>
      </w:r>
      <w:r w:rsidR="00BA0F30" w:rsidRPr="00C57BDC">
        <w:rPr>
          <w:szCs w:val="26"/>
        </w:rPr>
        <w:t xml:space="preserve">NERC states that </w:t>
      </w:r>
      <w:r w:rsidRPr="00C57BDC">
        <w:rPr>
          <w:szCs w:val="26"/>
        </w:rPr>
        <w:t xml:space="preserve">the proposed revisions to the TOP Reliability Standards help ensure that </w:t>
      </w:r>
      <w:r w:rsidR="00BA0F30" w:rsidRPr="00C57BDC">
        <w:rPr>
          <w:szCs w:val="26"/>
        </w:rPr>
        <w:t>t</w:t>
      </w:r>
      <w:r w:rsidRPr="00C57BDC">
        <w:rPr>
          <w:szCs w:val="26"/>
        </w:rPr>
        <w:t xml:space="preserve">ransmission </w:t>
      </w:r>
      <w:r w:rsidR="00BA0F30" w:rsidRPr="00C57BDC">
        <w:rPr>
          <w:szCs w:val="26"/>
        </w:rPr>
        <w:t>o</w:t>
      </w:r>
      <w:r w:rsidRPr="00C57BDC">
        <w:rPr>
          <w:szCs w:val="26"/>
        </w:rPr>
        <w:t xml:space="preserve">perators plan </w:t>
      </w:r>
      <w:r w:rsidR="00343DC1" w:rsidRPr="00C57BDC">
        <w:rPr>
          <w:szCs w:val="26"/>
        </w:rPr>
        <w:t xml:space="preserve">and </w:t>
      </w:r>
      <w:r w:rsidRPr="00C57BDC">
        <w:rPr>
          <w:szCs w:val="26"/>
        </w:rPr>
        <w:t xml:space="preserve">operate within all SOLs.  </w:t>
      </w:r>
    </w:p>
    <w:p w14:paraId="2D5E3BA2" w14:textId="77777777" w:rsidR="0047360C" w:rsidRPr="00CD5216" w:rsidRDefault="0047360C" w:rsidP="0067456F">
      <w:pPr>
        <w:pStyle w:val="FERCparanumber"/>
        <w:numPr>
          <w:ilvl w:val="0"/>
          <w:numId w:val="0"/>
        </w:numPr>
        <w:rPr>
          <w:b/>
          <w:szCs w:val="26"/>
          <w:u w:val="single"/>
        </w:rPr>
      </w:pPr>
      <w:r w:rsidRPr="00C57BDC">
        <w:rPr>
          <w:szCs w:val="26"/>
        </w:rPr>
        <w:tab/>
      </w:r>
      <w:r w:rsidR="00400AE0" w:rsidRPr="00CD5216">
        <w:rPr>
          <w:b/>
          <w:szCs w:val="26"/>
          <w:u w:val="single"/>
        </w:rPr>
        <w:t>TOP-001-3</w:t>
      </w:r>
      <w:r w:rsidRPr="00CD5216">
        <w:rPr>
          <w:b/>
          <w:szCs w:val="26"/>
          <w:u w:val="single"/>
        </w:rPr>
        <w:t xml:space="preserve"> (Transmission Operations)</w:t>
      </w:r>
    </w:p>
    <w:p w14:paraId="13229025" w14:textId="1F247A3D" w:rsidR="00372849" w:rsidRPr="00C57BDC" w:rsidRDefault="00400AE0" w:rsidP="00CD5216">
      <w:pPr>
        <w:pStyle w:val="FERCparanumber"/>
        <w:tabs>
          <w:tab w:val="clear" w:pos="810"/>
          <w:tab w:val="num" w:pos="720"/>
        </w:tabs>
        <w:ind w:left="0"/>
      </w:pPr>
      <w:r w:rsidRPr="00C57BDC">
        <w:t>NERC proposes Reliability Standard TOP-001-3 (Transmission Operations)</w:t>
      </w:r>
      <w:r w:rsidR="00A2018E" w:rsidRPr="00C57BDC">
        <w:t>,</w:t>
      </w:r>
      <w:r w:rsidRPr="00C57BDC">
        <w:t xml:space="preserve"> which contains twenty requirements.  </w:t>
      </w:r>
      <w:r w:rsidR="00660B33" w:rsidRPr="00C57BDC">
        <w:rPr>
          <w:szCs w:val="26"/>
        </w:rPr>
        <w:t xml:space="preserve">The purpose of proposed Reliability Standard TOP-001-3 is to prevent instability, uncontrolled separation, or </w:t>
      </w:r>
      <w:r w:rsidR="00372849" w:rsidRPr="00C57BDC">
        <w:rPr>
          <w:szCs w:val="26"/>
        </w:rPr>
        <w:t>c</w:t>
      </w:r>
      <w:r w:rsidR="00660B33" w:rsidRPr="00C57BDC">
        <w:rPr>
          <w:szCs w:val="26"/>
        </w:rPr>
        <w:t xml:space="preserve">ascading outages that adversely affect the reliability of the </w:t>
      </w:r>
      <w:r w:rsidR="00BA0F30" w:rsidRPr="00C57BDC">
        <w:rPr>
          <w:szCs w:val="26"/>
        </w:rPr>
        <w:t>i</w:t>
      </w:r>
      <w:r w:rsidR="00660B33" w:rsidRPr="00C57BDC">
        <w:rPr>
          <w:szCs w:val="26"/>
        </w:rPr>
        <w:t>nterconnection</w:t>
      </w:r>
      <w:r w:rsidR="00316B1F" w:rsidRPr="00C57BDC">
        <w:rPr>
          <w:szCs w:val="26"/>
        </w:rPr>
        <w:t>,</w:t>
      </w:r>
      <w:r w:rsidR="00660B33" w:rsidRPr="00C57BDC">
        <w:rPr>
          <w:szCs w:val="26"/>
        </w:rPr>
        <w:t xml:space="preserve"> by ensuring prompt action to preven</w:t>
      </w:r>
      <w:r w:rsidRPr="00C57BDC">
        <w:rPr>
          <w:szCs w:val="26"/>
        </w:rPr>
        <w:t>t or mitigate such occurrences.  According to NERC, t</w:t>
      </w:r>
      <w:r w:rsidR="00660B33" w:rsidRPr="00C57BDC">
        <w:rPr>
          <w:szCs w:val="26"/>
        </w:rPr>
        <w:t>he proposed standard achieves this reliability goal by providing appropriate entities with the authority to take actions, or direct the actions of others, to maintain reliabili</w:t>
      </w:r>
      <w:r w:rsidRPr="00C57BDC">
        <w:rPr>
          <w:szCs w:val="26"/>
        </w:rPr>
        <w:t xml:space="preserve">ty during </w:t>
      </w:r>
      <w:r w:rsidR="00131C57" w:rsidRPr="00C57BDC">
        <w:rPr>
          <w:szCs w:val="26"/>
        </w:rPr>
        <w:t>r</w:t>
      </w:r>
      <w:r w:rsidRPr="00C57BDC">
        <w:rPr>
          <w:szCs w:val="26"/>
        </w:rPr>
        <w:t xml:space="preserve">eal-time operations.  NERC explains that the standard </w:t>
      </w:r>
      <w:r w:rsidR="00660B33" w:rsidRPr="00C57BDC">
        <w:rPr>
          <w:szCs w:val="26"/>
        </w:rPr>
        <w:t xml:space="preserve">includes </w:t>
      </w:r>
      <w:r w:rsidRPr="00C57BDC">
        <w:rPr>
          <w:szCs w:val="26"/>
        </w:rPr>
        <w:t>r</w:t>
      </w:r>
      <w:r w:rsidR="00660B33" w:rsidRPr="00C57BDC">
        <w:rPr>
          <w:szCs w:val="26"/>
        </w:rPr>
        <w:t xml:space="preserve">eal-time monitoring and </w:t>
      </w:r>
      <w:r w:rsidRPr="00C57BDC">
        <w:rPr>
          <w:szCs w:val="26"/>
        </w:rPr>
        <w:t>r</w:t>
      </w:r>
      <w:r w:rsidR="00660B33" w:rsidRPr="00C57BDC">
        <w:rPr>
          <w:szCs w:val="26"/>
        </w:rPr>
        <w:t xml:space="preserve">eal-time assessment </w:t>
      </w:r>
      <w:r w:rsidR="00660B33" w:rsidRPr="00C57BDC">
        <w:rPr>
          <w:szCs w:val="26"/>
        </w:rPr>
        <w:lastRenderedPageBreak/>
        <w:t xml:space="preserve">requirements to preserve reliability and ensure that applicable entities identify and address </w:t>
      </w:r>
      <w:r w:rsidR="000C690F" w:rsidRPr="00C57BDC">
        <w:rPr>
          <w:szCs w:val="26"/>
        </w:rPr>
        <w:t xml:space="preserve">all </w:t>
      </w:r>
      <w:r w:rsidR="00660B33" w:rsidRPr="00C57BDC">
        <w:rPr>
          <w:szCs w:val="26"/>
        </w:rPr>
        <w:t>SOL exceedances.</w:t>
      </w:r>
      <w:r w:rsidR="00372849" w:rsidRPr="00C57BDC">
        <w:rPr>
          <w:szCs w:val="26"/>
        </w:rPr>
        <w:t xml:space="preserve">  </w:t>
      </w:r>
    </w:p>
    <w:p w14:paraId="30008A33" w14:textId="2FE785D2" w:rsidR="00372849" w:rsidRPr="00C57BDC" w:rsidRDefault="00660B33" w:rsidP="008D7C24">
      <w:pPr>
        <w:pStyle w:val="FERCparanumber"/>
        <w:tabs>
          <w:tab w:val="clear" w:pos="810"/>
          <w:tab w:val="num" w:pos="720"/>
        </w:tabs>
        <w:ind w:left="0"/>
        <w:rPr>
          <w:szCs w:val="26"/>
        </w:rPr>
      </w:pPr>
      <w:r w:rsidRPr="00C57BDC">
        <w:rPr>
          <w:iCs/>
          <w:szCs w:val="26"/>
        </w:rPr>
        <w:t xml:space="preserve">Requirements R1 and R2 </w:t>
      </w:r>
      <w:r w:rsidRPr="00C57BDC">
        <w:rPr>
          <w:szCs w:val="26"/>
        </w:rPr>
        <w:t xml:space="preserve">require each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 and </w:t>
      </w:r>
      <w:r w:rsidR="00400AE0" w:rsidRPr="00C57BDC">
        <w:rPr>
          <w:szCs w:val="26"/>
        </w:rPr>
        <w:t>b</w:t>
      </w:r>
      <w:r w:rsidRPr="00C57BDC">
        <w:rPr>
          <w:szCs w:val="26"/>
        </w:rPr>
        <w:t xml:space="preserve">alancing </w:t>
      </w:r>
      <w:r w:rsidR="00400AE0" w:rsidRPr="00C57BDC">
        <w:rPr>
          <w:szCs w:val="26"/>
        </w:rPr>
        <w:t xml:space="preserve">authority </w:t>
      </w:r>
      <w:r w:rsidRPr="00C57BDC">
        <w:rPr>
          <w:szCs w:val="26"/>
        </w:rPr>
        <w:t xml:space="preserve">to </w:t>
      </w:r>
      <w:r w:rsidR="00372849" w:rsidRPr="00C57BDC">
        <w:rPr>
          <w:szCs w:val="26"/>
        </w:rPr>
        <w:t xml:space="preserve">explicitly and affirmatively </w:t>
      </w:r>
      <w:r w:rsidRPr="00C57BDC">
        <w:rPr>
          <w:szCs w:val="26"/>
        </w:rPr>
        <w:t xml:space="preserve">act to address the reliability of its area through its own actions or by issuing </w:t>
      </w:r>
      <w:r w:rsidR="00400AE0" w:rsidRPr="00C57BDC">
        <w:rPr>
          <w:szCs w:val="26"/>
        </w:rPr>
        <w:t>o</w:t>
      </w:r>
      <w:r w:rsidRPr="00C57BDC">
        <w:rPr>
          <w:szCs w:val="26"/>
        </w:rPr>
        <w:t xml:space="preserve">perating </w:t>
      </w:r>
      <w:r w:rsidR="00400AE0" w:rsidRPr="00C57BDC">
        <w:rPr>
          <w:szCs w:val="26"/>
        </w:rPr>
        <w:t>i</w:t>
      </w:r>
      <w:r w:rsidRPr="00C57BDC">
        <w:rPr>
          <w:szCs w:val="26"/>
        </w:rPr>
        <w:t xml:space="preserve">nstructions. </w:t>
      </w:r>
      <w:r w:rsidR="00372849" w:rsidRPr="00C57BDC">
        <w:rPr>
          <w:szCs w:val="26"/>
        </w:rPr>
        <w:t xml:space="preserve"> </w:t>
      </w:r>
      <w:r w:rsidRPr="00C57BDC">
        <w:rPr>
          <w:szCs w:val="26"/>
        </w:rPr>
        <w:t xml:space="preserve">In contrast, </w:t>
      </w:r>
      <w:r w:rsidR="00372849" w:rsidRPr="00C57BDC">
        <w:rPr>
          <w:szCs w:val="26"/>
        </w:rPr>
        <w:t xml:space="preserve">NERC notes that </w:t>
      </w:r>
      <w:r w:rsidRPr="00C57BDC">
        <w:rPr>
          <w:szCs w:val="26"/>
        </w:rPr>
        <w:t>the obligation to act in currently effective Reliability Standard TOP-001-1a is implied</w:t>
      </w:r>
      <w:r w:rsidR="0074534B" w:rsidRPr="00C57BDC">
        <w:rPr>
          <w:szCs w:val="26"/>
        </w:rPr>
        <w:t>, but not an explicit</w:t>
      </w:r>
      <w:r w:rsidRPr="00C57BDC">
        <w:rPr>
          <w:szCs w:val="26"/>
        </w:rPr>
        <w:t xml:space="preserve"> requirement. </w:t>
      </w:r>
      <w:r w:rsidR="00400AE0" w:rsidRPr="00C57BDC">
        <w:rPr>
          <w:szCs w:val="26"/>
        </w:rPr>
        <w:t xml:space="preserve"> </w:t>
      </w:r>
      <w:r w:rsidRPr="00C57BDC">
        <w:rPr>
          <w:iCs/>
          <w:szCs w:val="26"/>
        </w:rPr>
        <w:t>Requirement</w:t>
      </w:r>
      <w:r w:rsidR="00372849" w:rsidRPr="00C57BDC">
        <w:rPr>
          <w:iCs/>
          <w:szCs w:val="26"/>
        </w:rPr>
        <w:t>s</w:t>
      </w:r>
      <w:r w:rsidRPr="00C57BDC">
        <w:rPr>
          <w:iCs/>
          <w:szCs w:val="26"/>
        </w:rPr>
        <w:t xml:space="preserve"> R3</w:t>
      </w:r>
      <w:r w:rsidR="00372849" w:rsidRPr="00C57BDC">
        <w:rPr>
          <w:iCs/>
          <w:szCs w:val="26"/>
        </w:rPr>
        <w:t xml:space="preserve"> and R4</w:t>
      </w:r>
      <w:r w:rsidRPr="00C57BDC">
        <w:rPr>
          <w:iCs/>
          <w:szCs w:val="26"/>
        </w:rPr>
        <w:t xml:space="preserve"> </w:t>
      </w:r>
      <w:r w:rsidR="00316B1F" w:rsidRPr="00C57BDC">
        <w:rPr>
          <w:iCs/>
          <w:szCs w:val="26"/>
        </w:rPr>
        <w:t xml:space="preserve">together </w:t>
      </w:r>
      <w:r w:rsidR="00316B1F" w:rsidRPr="00C57BDC">
        <w:rPr>
          <w:szCs w:val="26"/>
        </w:rPr>
        <w:t>provide</w:t>
      </w:r>
      <w:r w:rsidRPr="00C57BDC">
        <w:rPr>
          <w:szCs w:val="26"/>
        </w:rPr>
        <w:t xml:space="preserve"> that each </w:t>
      </w:r>
      <w:r w:rsidR="00372849" w:rsidRPr="00C57BDC">
        <w:rPr>
          <w:szCs w:val="26"/>
        </w:rPr>
        <w:t>applicable entity</w:t>
      </w:r>
      <w:r w:rsidRPr="00C57BDC">
        <w:rPr>
          <w:szCs w:val="26"/>
        </w:rPr>
        <w:t xml:space="preserve"> must comply with each </w:t>
      </w:r>
      <w:r w:rsidR="00400AE0" w:rsidRPr="00C57BDC">
        <w:rPr>
          <w:szCs w:val="26"/>
        </w:rPr>
        <w:t>o</w:t>
      </w:r>
      <w:r w:rsidRPr="00C57BDC">
        <w:rPr>
          <w:szCs w:val="26"/>
        </w:rPr>
        <w:t xml:space="preserve">perating </w:t>
      </w:r>
      <w:r w:rsidR="00400AE0" w:rsidRPr="00C57BDC">
        <w:rPr>
          <w:szCs w:val="26"/>
        </w:rPr>
        <w:t>i</w:t>
      </w:r>
      <w:r w:rsidRPr="00C57BDC">
        <w:rPr>
          <w:szCs w:val="26"/>
        </w:rPr>
        <w:t xml:space="preserve">nstruction issued by its </w:t>
      </w:r>
      <w:r w:rsidR="00400AE0" w:rsidRPr="00C57BDC">
        <w:rPr>
          <w:szCs w:val="26"/>
        </w:rPr>
        <w:t>t</w:t>
      </w:r>
      <w:r w:rsidRPr="00C57BDC">
        <w:rPr>
          <w:szCs w:val="26"/>
        </w:rPr>
        <w:t xml:space="preserve">ransmission </w:t>
      </w:r>
      <w:r w:rsidR="00400AE0" w:rsidRPr="00C57BDC">
        <w:rPr>
          <w:szCs w:val="26"/>
        </w:rPr>
        <w:t>o</w:t>
      </w:r>
      <w:r w:rsidRPr="00C57BDC">
        <w:rPr>
          <w:szCs w:val="26"/>
        </w:rPr>
        <w:t>perator, unless doing so would violate safety, equipment, regulatory, or statutory requirements or the action cannot be physically implemented</w:t>
      </w:r>
      <w:r w:rsidR="00316B1F" w:rsidRPr="00C57BDC">
        <w:rPr>
          <w:szCs w:val="26"/>
        </w:rPr>
        <w:t xml:space="preserve">, and require an applicable entity to </w:t>
      </w:r>
      <w:r w:rsidRPr="00C57BDC">
        <w:rPr>
          <w:szCs w:val="26"/>
        </w:rPr>
        <w:t xml:space="preserve">notify the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 if it is unable to comply with the </w:t>
      </w:r>
      <w:r w:rsidR="00400AE0" w:rsidRPr="00C57BDC">
        <w:rPr>
          <w:szCs w:val="26"/>
        </w:rPr>
        <w:t>t</w:t>
      </w:r>
      <w:r w:rsidRPr="00C57BDC">
        <w:rPr>
          <w:szCs w:val="26"/>
        </w:rPr>
        <w:t xml:space="preserve">ransmission </w:t>
      </w:r>
      <w:r w:rsidR="00400AE0" w:rsidRPr="00C57BDC">
        <w:rPr>
          <w:szCs w:val="26"/>
        </w:rPr>
        <w:t>o</w:t>
      </w:r>
      <w:r w:rsidRPr="00C57BDC">
        <w:rPr>
          <w:szCs w:val="26"/>
        </w:rPr>
        <w:t>p</w:t>
      </w:r>
      <w:r w:rsidR="00372849" w:rsidRPr="00C57BDC">
        <w:rPr>
          <w:szCs w:val="26"/>
        </w:rPr>
        <w:t xml:space="preserve">erator’s </w:t>
      </w:r>
      <w:r w:rsidR="00400AE0" w:rsidRPr="00C57BDC">
        <w:rPr>
          <w:szCs w:val="26"/>
        </w:rPr>
        <w:t>o</w:t>
      </w:r>
      <w:r w:rsidR="00372849" w:rsidRPr="00C57BDC">
        <w:rPr>
          <w:szCs w:val="26"/>
        </w:rPr>
        <w:t xml:space="preserve">perating </w:t>
      </w:r>
      <w:r w:rsidR="00400AE0" w:rsidRPr="00C57BDC">
        <w:rPr>
          <w:szCs w:val="26"/>
        </w:rPr>
        <w:t>i</w:t>
      </w:r>
      <w:r w:rsidR="00372849" w:rsidRPr="00C57BDC">
        <w:rPr>
          <w:szCs w:val="26"/>
        </w:rPr>
        <w:t>nstruction.  Similarly</w:t>
      </w:r>
      <w:r w:rsidR="00400AE0" w:rsidRPr="00C57BDC">
        <w:rPr>
          <w:szCs w:val="26"/>
        </w:rPr>
        <w:t>,</w:t>
      </w:r>
      <w:r w:rsidR="00372849" w:rsidRPr="00C57BDC">
        <w:rPr>
          <w:szCs w:val="26"/>
        </w:rPr>
        <w:t xml:space="preserve"> </w:t>
      </w:r>
      <w:r w:rsidRPr="00C57BDC">
        <w:rPr>
          <w:iCs/>
          <w:szCs w:val="26"/>
        </w:rPr>
        <w:t>Requirement</w:t>
      </w:r>
      <w:r w:rsidR="00372849" w:rsidRPr="00C57BDC">
        <w:rPr>
          <w:iCs/>
          <w:szCs w:val="26"/>
        </w:rPr>
        <w:t>s</w:t>
      </w:r>
      <w:r w:rsidRPr="00C57BDC">
        <w:rPr>
          <w:iCs/>
          <w:szCs w:val="26"/>
        </w:rPr>
        <w:t xml:space="preserve"> R5 </w:t>
      </w:r>
      <w:r w:rsidR="00372849" w:rsidRPr="00C57BDC">
        <w:rPr>
          <w:iCs/>
          <w:szCs w:val="26"/>
        </w:rPr>
        <w:t xml:space="preserve">and R6 </w:t>
      </w:r>
      <w:r w:rsidRPr="00C57BDC">
        <w:rPr>
          <w:szCs w:val="26"/>
        </w:rPr>
        <w:t xml:space="preserve">require </w:t>
      </w:r>
      <w:r w:rsidR="00372849" w:rsidRPr="00C57BDC">
        <w:rPr>
          <w:szCs w:val="26"/>
        </w:rPr>
        <w:t>the same actions of applicable entities with respect to an</w:t>
      </w:r>
      <w:r w:rsidRPr="00C57BDC">
        <w:rPr>
          <w:szCs w:val="26"/>
        </w:rPr>
        <w:t xml:space="preserve"> </w:t>
      </w:r>
      <w:r w:rsidR="00400AE0" w:rsidRPr="00C57BDC">
        <w:rPr>
          <w:szCs w:val="26"/>
        </w:rPr>
        <w:t>o</w:t>
      </w:r>
      <w:r w:rsidRPr="00C57BDC">
        <w:rPr>
          <w:szCs w:val="26"/>
        </w:rPr>
        <w:t xml:space="preserve">perating </w:t>
      </w:r>
      <w:r w:rsidR="00400AE0" w:rsidRPr="00C57BDC">
        <w:rPr>
          <w:szCs w:val="26"/>
        </w:rPr>
        <w:t>i</w:t>
      </w:r>
      <w:r w:rsidRPr="00C57BDC">
        <w:rPr>
          <w:szCs w:val="26"/>
        </w:rPr>
        <w:t>nstruction iss</w:t>
      </w:r>
      <w:r w:rsidR="00372849" w:rsidRPr="00C57BDC">
        <w:rPr>
          <w:szCs w:val="26"/>
        </w:rPr>
        <w:t xml:space="preserve">ued by </w:t>
      </w:r>
      <w:r w:rsidR="00400AE0" w:rsidRPr="00C57BDC">
        <w:rPr>
          <w:szCs w:val="26"/>
        </w:rPr>
        <w:t>a b</w:t>
      </w:r>
      <w:r w:rsidR="00372849" w:rsidRPr="00C57BDC">
        <w:rPr>
          <w:szCs w:val="26"/>
        </w:rPr>
        <w:t xml:space="preserve">alancing </w:t>
      </w:r>
      <w:r w:rsidR="00400AE0" w:rsidRPr="00C57BDC">
        <w:rPr>
          <w:szCs w:val="26"/>
        </w:rPr>
        <w:t>a</w:t>
      </w:r>
      <w:r w:rsidR="00372849" w:rsidRPr="00C57BDC">
        <w:rPr>
          <w:szCs w:val="26"/>
        </w:rPr>
        <w:t xml:space="preserve">uthority.  </w:t>
      </w:r>
    </w:p>
    <w:p w14:paraId="1FC28731" w14:textId="784EE7E8" w:rsidR="00372849" w:rsidRPr="00C57BDC" w:rsidRDefault="00660B33" w:rsidP="008D7C24">
      <w:pPr>
        <w:pStyle w:val="FERCparanumber"/>
        <w:tabs>
          <w:tab w:val="clear" w:pos="810"/>
          <w:tab w:val="num" w:pos="720"/>
        </w:tabs>
        <w:ind w:left="0"/>
        <w:rPr>
          <w:szCs w:val="26"/>
        </w:rPr>
      </w:pPr>
      <w:r w:rsidRPr="00C57BDC">
        <w:rPr>
          <w:iCs/>
          <w:szCs w:val="26"/>
        </w:rPr>
        <w:t xml:space="preserve">Requirement R7 </w:t>
      </w:r>
      <w:r w:rsidR="0047360C" w:rsidRPr="00C57BDC">
        <w:rPr>
          <w:iCs/>
          <w:szCs w:val="26"/>
        </w:rPr>
        <w:t xml:space="preserve">requires </w:t>
      </w:r>
      <w:r w:rsidR="00B338E3" w:rsidRPr="00C57BDC">
        <w:rPr>
          <w:iCs/>
          <w:szCs w:val="26"/>
        </w:rPr>
        <w:t xml:space="preserve">each </w:t>
      </w:r>
      <w:r w:rsidR="00400AE0" w:rsidRPr="00C57BDC">
        <w:rPr>
          <w:iCs/>
          <w:szCs w:val="26"/>
        </w:rPr>
        <w:t>t</w:t>
      </w:r>
      <w:r w:rsidRPr="00C57BDC">
        <w:rPr>
          <w:szCs w:val="26"/>
        </w:rPr>
        <w:t xml:space="preserve">ransmission </w:t>
      </w:r>
      <w:r w:rsidR="00400AE0" w:rsidRPr="00C57BDC">
        <w:rPr>
          <w:szCs w:val="26"/>
        </w:rPr>
        <w:t>o</w:t>
      </w:r>
      <w:r w:rsidRPr="00C57BDC">
        <w:rPr>
          <w:szCs w:val="26"/>
        </w:rPr>
        <w:t xml:space="preserve">perator </w:t>
      </w:r>
      <w:r w:rsidR="0047360C" w:rsidRPr="00C57BDC">
        <w:rPr>
          <w:szCs w:val="26"/>
        </w:rPr>
        <w:t xml:space="preserve">to </w:t>
      </w:r>
      <w:r w:rsidRPr="00C57BDC">
        <w:rPr>
          <w:szCs w:val="26"/>
        </w:rPr>
        <w:t xml:space="preserve">assist other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perators within its </w:t>
      </w:r>
      <w:r w:rsidR="00400AE0" w:rsidRPr="00C57BDC">
        <w:rPr>
          <w:szCs w:val="26"/>
        </w:rPr>
        <w:t>r</w:t>
      </w:r>
      <w:r w:rsidRPr="00C57BDC">
        <w:rPr>
          <w:szCs w:val="26"/>
        </w:rPr>
        <w:t xml:space="preserve">eliability </w:t>
      </w:r>
      <w:r w:rsidR="00400AE0" w:rsidRPr="00C57BDC">
        <w:rPr>
          <w:szCs w:val="26"/>
        </w:rPr>
        <w:t>c</w:t>
      </w:r>
      <w:r w:rsidRPr="00C57BDC">
        <w:rPr>
          <w:szCs w:val="26"/>
        </w:rPr>
        <w:t xml:space="preserve">oordinator </w:t>
      </w:r>
      <w:r w:rsidR="00400AE0" w:rsidRPr="00C57BDC">
        <w:rPr>
          <w:szCs w:val="26"/>
        </w:rPr>
        <w:t>a</w:t>
      </w:r>
      <w:r w:rsidRPr="00C57BDC">
        <w:rPr>
          <w:szCs w:val="26"/>
        </w:rPr>
        <w:t xml:space="preserve">rea, </w:t>
      </w:r>
      <w:r w:rsidR="00400AE0" w:rsidRPr="00C57BDC">
        <w:rPr>
          <w:szCs w:val="26"/>
        </w:rPr>
        <w:t xml:space="preserve">and </w:t>
      </w:r>
      <w:r w:rsidRPr="00C57BDC">
        <w:rPr>
          <w:iCs/>
          <w:szCs w:val="26"/>
        </w:rPr>
        <w:t xml:space="preserve">Requirement R8 </w:t>
      </w:r>
      <w:r w:rsidR="0047360C" w:rsidRPr="00C57BDC">
        <w:rPr>
          <w:szCs w:val="26"/>
        </w:rPr>
        <w:t xml:space="preserve">requires a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 </w:t>
      </w:r>
      <w:r w:rsidR="0047360C" w:rsidRPr="00C57BDC">
        <w:rPr>
          <w:szCs w:val="26"/>
        </w:rPr>
        <w:t xml:space="preserve">to </w:t>
      </w:r>
      <w:r w:rsidRPr="00C57BDC">
        <w:rPr>
          <w:szCs w:val="26"/>
        </w:rPr>
        <w:t xml:space="preserve">inform </w:t>
      </w:r>
      <w:r w:rsidR="0047360C" w:rsidRPr="00C57BDC">
        <w:rPr>
          <w:szCs w:val="26"/>
        </w:rPr>
        <w:t xml:space="preserve">applicable entities </w:t>
      </w:r>
      <w:r w:rsidRPr="00C57BDC">
        <w:rPr>
          <w:szCs w:val="26"/>
        </w:rPr>
        <w:t xml:space="preserve">of the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perator’s actual or expected operations that result in, or could result in, an </w:t>
      </w:r>
      <w:r w:rsidR="0047360C" w:rsidRPr="00C57BDC">
        <w:rPr>
          <w:szCs w:val="26"/>
        </w:rPr>
        <w:t>e</w:t>
      </w:r>
      <w:r w:rsidRPr="00C57BDC">
        <w:rPr>
          <w:szCs w:val="26"/>
        </w:rPr>
        <w:t>mergency.</w:t>
      </w:r>
      <w:r w:rsidRPr="00C57BDC">
        <w:rPr>
          <w:i/>
          <w:iCs/>
          <w:szCs w:val="26"/>
        </w:rPr>
        <w:t xml:space="preserve"> </w:t>
      </w:r>
    </w:p>
    <w:p w14:paraId="04C93347" w14:textId="1D183478" w:rsidR="0047360C" w:rsidRPr="00C57BDC" w:rsidRDefault="00660B33" w:rsidP="0067456F">
      <w:pPr>
        <w:pStyle w:val="FERCparanumber"/>
        <w:ind w:left="0"/>
        <w:rPr>
          <w:szCs w:val="26"/>
        </w:rPr>
      </w:pPr>
      <w:r w:rsidRPr="00C57BDC">
        <w:rPr>
          <w:iCs/>
          <w:szCs w:val="26"/>
        </w:rPr>
        <w:t>Requirements R9, R16, and R17</w:t>
      </w:r>
      <w:r w:rsidRPr="00C57BDC">
        <w:rPr>
          <w:i/>
          <w:iCs/>
          <w:szCs w:val="26"/>
        </w:rPr>
        <w:t xml:space="preserve"> </w:t>
      </w:r>
      <w:r w:rsidRPr="00C57BDC">
        <w:rPr>
          <w:szCs w:val="26"/>
        </w:rPr>
        <w:t xml:space="preserve">address outage coordination of monitoring and control equipment. </w:t>
      </w:r>
      <w:r w:rsidR="00400AE0" w:rsidRPr="00C57BDC">
        <w:rPr>
          <w:szCs w:val="26"/>
        </w:rPr>
        <w:t xml:space="preserve"> </w:t>
      </w:r>
      <w:r w:rsidR="00BA0F30" w:rsidRPr="00C57BDC">
        <w:rPr>
          <w:iCs/>
          <w:szCs w:val="26"/>
        </w:rPr>
        <w:t xml:space="preserve">Requirement R9 provides that each balancing authority and transmission operator must notify its reliability coordinator and known impacted interconnected entities of all planned outages, and unplanned outages of 30 minutes or </w:t>
      </w:r>
      <w:r w:rsidR="00BA0F30" w:rsidRPr="00C57BDC">
        <w:rPr>
          <w:iCs/>
          <w:szCs w:val="26"/>
        </w:rPr>
        <w:lastRenderedPageBreak/>
        <w:t>more, for telemetering and control equipment, monitoring and assessment capabilities, and associated communication channels between the affected entities</w:t>
      </w:r>
      <w:r w:rsidR="00BA0F30" w:rsidRPr="00C57BDC">
        <w:rPr>
          <w:szCs w:val="26"/>
        </w:rPr>
        <w:t xml:space="preserve">.  </w:t>
      </w:r>
      <w:r w:rsidRPr="00C57BDC">
        <w:rPr>
          <w:szCs w:val="26"/>
        </w:rPr>
        <w:t>Requirements</w:t>
      </w:r>
      <w:r w:rsidR="00BA0F30" w:rsidRPr="00C57BDC">
        <w:rPr>
          <w:szCs w:val="26"/>
        </w:rPr>
        <w:t xml:space="preserve"> R16 and R17 </w:t>
      </w:r>
      <w:r w:rsidR="00B338E3" w:rsidRPr="00C57BDC">
        <w:rPr>
          <w:szCs w:val="26"/>
        </w:rPr>
        <w:t xml:space="preserve">state that </w:t>
      </w:r>
      <w:r w:rsidR="00BA0F30" w:rsidRPr="00C57BDC">
        <w:rPr>
          <w:szCs w:val="26"/>
        </w:rPr>
        <w:t>each t</w:t>
      </w:r>
      <w:r w:rsidRPr="00C57BDC">
        <w:rPr>
          <w:szCs w:val="26"/>
        </w:rPr>
        <w:t xml:space="preserve">ransmission </w:t>
      </w:r>
      <w:r w:rsidR="00BA0F30" w:rsidRPr="00C57BDC">
        <w:rPr>
          <w:szCs w:val="26"/>
        </w:rPr>
        <w:t>o</w:t>
      </w:r>
      <w:r w:rsidRPr="00C57BDC">
        <w:rPr>
          <w:szCs w:val="26"/>
        </w:rPr>
        <w:t xml:space="preserve">perator and </w:t>
      </w:r>
      <w:r w:rsidR="00BA0F30" w:rsidRPr="00C57BDC">
        <w:rPr>
          <w:szCs w:val="26"/>
        </w:rPr>
        <w:t>b</w:t>
      </w:r>
      <w:r w:rsidRPr="00C57BDC">
        <w:rPr>
          <w:szCs w:val="26"/>
        </w:rPr>
        <w:t xml:space="preserve">alancing </w:t>
      </w:r>
      <w:r w:rsidR="00BA0F30" w:rsidRPr="00C57BDC">
        <w:rPr>
          <w:szCs w:val="26"/>
        </w:rPr>
        <w:t>a</w:t>
      </w:r>
      <w:r w:rsidRPr="00C57BDC">
        <w:rPr>
          <w:szCs w:val="26"/>
        </w:rPr>
        <w:t xml:space="preserve">uthority must provide its </w:t>
      </w:r>
      <w:r w:rsidR="00400AE0" w:rsidRPr="00C57BDC">
        <w:rPr>
          <w:szCs w:val="26"/>
        </w:rPr>
        <w:t>s</w:t>
      </w:r>
      <w:r w:rsidRPr="00C57BDC">
        <w:rPr>
          <w:szCs w:val="26"/>
        </w:rPr>
        <w:t xml:space="preserve">ystem </w:t>
      </w:r>
      <w:r w:rsidR="00400AE0" w:rsidRPr="00C57BDC">
        <w:rPr>
          <w:szCs w:val="26"/>
        </w:rPr>
        <w:t>o</w:t>
      </w:r>
      <w:r w:rsidRPr="00C57BDC">
        <w:rPr>
          <w:szCs w:val="26"/>
        </w:rPr>
        <w:t>perators with the authority to approve planned outages and maintenance.</w:t>
      </w:r>
    </w:p>
    <w:p w14:paraId="35C0E16B" w14:textId="77777777" w:rsidR="00400AE0" w:rsidRPr="00C57BDC" w:rsidRDefault="00660B33" w:rsidP="00B67D64">
      <w:pPr>
        <w:pStyle w:val="FERCparanumber"/>
        <w:tabs>
          <w:tab w:val="clear" w:pos="810"/>
          <w:tab w:val="num" w:pos="720"/>
        </w:tabs>
        <w:ind w:left="0"/>
        <w:rPr>
          <w:szCs w:val="26"/>
        </w:rPr>
      </w:pPr>
      <w:r w:rsidRPr="00C57BDC">
        <w:rPr>
          <w:iCs/>
          <w:szCs w:val="26"/>
        </w:rPr>
        <w:t xml:space="preserve">Requirement R10 </w:t>
      </w:r>
      <w:r w:rsidRPr="00C57BDC">
        <w:rPr>
          <w:szCs w:val="26"/>
        </w:rPr>
        <w:t xml:space="preserve">addresses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 monitoring obligations to help ensure that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perators have the necessary situational awareness to maintain reliable operations. </w:t>
      </w:r>
      <w:r w:rsidR="00400AE0" w:rsidRPr="00C57BDC">
        <w:rPr>
          <w:szCs w:val="26"/>
        </w:rPr>
        <w:t xml:space="preserve"> </w:t>
      </w:r>
      <w:r w:rsidRPr="00C57BDC">
        <w:rPr>
          <w:szCs w:val="26"/>
        </w:rPr>
        <w:t xml:space="preserve">Requirement R10 provides that each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 must take certain steps for determining SOL exceedances within its </w:t>
      </w:r>
      <w:r w:rsidR="00400AE0" w:rsidRPr="00C57BDC">
        <w:rPr>
          <w:szCs w:val="26"/>
        </w:rPr>
        <w:t>t</w:t>
      </w:r>
      <w:r w:rsidRPr="00C57BDC">
        <w:rPr>
          <w:szCs w:val="26"/>
        </w:rPr>
        <w:t xml:space="preserve">ransmission </w:t>
      </w:r>
      <w:r w:rsidR="00400AE0" w:rsidRPr="00C57BDC">
        <w:rPr>
          <w:szCs w:val="26"/>
        </w:rPr>
        <w:t>o</w:t>
      </w:r>
      <w:r w:rsidRPr="00C57BDC">
        <w:rPr>
          <w:szCs w:val="26"/>
        </w:rPr>
        <w:t xml:space="preserve">perator </w:t>
      </w:r>
      <w:r w:rsidR="00400AE0" w:rsidRPr="00C57BDC">
        <w:rPr>
          <w:szCs w:val="26"/>
        </w:rPr>
        <w:t>a</w:t>
      </w:r>
      <w:r w:rsidRPr="00C57BDC">
        <w:rPr>
          <w:szCs w:val="26"/>
        </w:rPr>
        <w:t xml:space="preserve">rea. </w:t>
      </w:r>
      <w:r w:rsidR="00400AE0" w:rsidRPr="00C57BDC">
        <w:rPr>
          <w:szCs w:val="26"/>
        </w:rPr>
        <w:t xml:space="preserve">NERC explains that </w:t>
      </w:r>
      <w:r w:rsidRPr="00C57BDC">
        <w:rPr>
          <w:szCs w:val="26"/>
        </w:rPr>
        <w:t xml:space="preserve">Requirement R10 addresses the Commission’s concerns that the </w:t>
      </w:r>
      <w:r w:rsidR="004C6377" w:rsidRPr="00C57BDC">
        <w:rPr>
          <w:szCs w:val="26"/>
        </w:rPr>
        <w:t xml:space="preserve">TOP and </w:t>
      </w:r>
      <w:r w:rsidRPr="00C57BDC">
        <w:rPr>
          <w:szCs w:val="26"/>
        </w:rPr>
        <w:t xml:space="preserve">IRO </w:t>
      </w:r>
      <w:r w:rsidR="00BA0F30" w:rsidRPr="00C57BDC">
        <w:rPr>
          <w:szCs w:val="26"/>
        </w:rPr>
        <w:t>Reliability Standards</w:t>
      </w:r>
      <w:r w:rsidR="0049515A" w:rsidRPr="00C57BDC">
        <w:rPr>
          <w:szCs w:val="26"/>
        </w:rPr>
        <w:t>,</w:t>
      </w:r>
      <w:r w:rsidRPr="00C57BDC">
        <w:rPr>
          <w:szCs w:val="26"/>
        </w:rPr>
        <w:t xml:space="preserve"> </w:t>
      </w:r>
      <w:r w:rsidR="00400AE0" w:rsidRPr="00C57BDC">
        <w:rPr>
          <w:szCs w:val="26"/>
        </w:rPr>
        <w:t>that were the subject of the Remand NOPR</w:t>
      </w:r>
      <w:r w:rsidR="0049515A" w:rsidRPr="00C57BDC">
        <w:rPr>
          <w:szCs w:val="26"/>
        </w:rPr>
        <w:t>,</w:t>
      </w:r>
      <w:r w:rsidR="00400AE0" w:rsidRPr="00C57BDC">
        <w:rPr>
          <w:szCs w:val="26"/>
        </w:rPr>
        <w:t xml:space="preserve"> </w:t>
      </w:r>
      <w:r w:rsidRPr="00C57BDC">
        <w:rPr>
          <w:szCs w:val="26"/>
        </w:rPr>
        <w:t>did not have sufficient requirements for real-time monitoring</w:t>
      </w:r>
      <w:r w:rsidR="008B43EC" w:rsidRPr="00C57BDC">
        <w:rPr>
          <w:szCs w:val="26"/>
        </w:rPr>
        <w:t xml:space="preserve">.  </w:t>
      </w:r>
      <w:r w:rsidR="008B43EC" w:rsidRPr="00C57BDC">
        <w:rPr>
          <w:iCs/>
          <w:szCs w:val="26"/>
        </w:rPr>
        <w:t xml:space="preserve">Requirement R11 </w:t>
      </w:r>
      <w:r w:rsidR="008B43EC" w:rsidRPr="00C57BDC">
        <w:rPr>
          <w:szCs w:val="26"/>
        </w:rPr>
        <w:t xml:space="preserve">is the equivalent of Requirement R10 for </w:t>
      </w:r>
      <w:r w:rsidR="00BA0F30" w:rsidRPr="00C57BDC">
        <w:rPr>
          <w:szCs w:val="26"/>
        </w:rPr>
        <w:t>b</w:t>
      </w:r>
      <w:r w:rsidR="008B43EC" w:rsidRPr="00C57BDC">
        <w:rPr>
          <w:szCs w:val="26"/>
        </w:rPr>
        <w:t xml:space="preserve">alancing </w:t>
      </w:r>
      <w:r w:rsidR="00BA0F30" w:rsidRPr="00C57BDC">
        <w:rPr>
          <w:szCs w:val="26"/>
        </w:rPr>
        <w:t>a</w:t>
      </w:r>
      <w:r w:rsidR="008B43EC" w:rsidRPr="00C57BDC">
        <w:rPr>
          <w:szCs w:val="26"/>
        </w:rPr>
        <w:t xml:space="preserve">uthorities.  </w:t>
      </w:r>
    </w:p>
    <w:p w14:paraId="4394894F" w14:textId="526DC5AD" w:rsidR="0047360C" w:rsidRPr="00C57BDC" w:rsidRDefault="008B43EC" w:rsidP="00B67D64">
      <w:pPr>
        <w:pStyle w:val="FERCparanumber"/>
        <w:tabs>
          <w:tab w:val="clear" w:pos="810"/>
          <w:tab w:val="num" w:pos="720"/>
        </w:tabs>
        <w:ind w:left="0"/>
        <w:rPr>
          <w:szCs w:val="26"/>
        </w:rPr>
      </w:pPr>
      <w:r w:rsidRPr="00C57BDC">
        <w:rPr>
          <w:iCs/>
          <w:szCs w:val="26"/>
        </w:rPr>
        <w:t xml:space="preserve">Requirement R12 </w:t>
      </w:r>
      <w:r w:rsidR="00BA0F30" w:rsidRPr="00C57BDC">
        <w:rPr>
          <w:szCs w:val="26"/>
        </w:rPr>
        <w:t>provides that each t</w:t>
      </w:r>
      <w:r w:rsidRPr="00C57BDC">
        <w:rPr>
          <w:szCs w:val="26"/>
        </w:rPr>
        <w:t xml:space="preserve">ransmission </w:t>
      </w:r>
      <w:r w:rsidR="00BA0F30" w:rsidRPr="00C57BDC">
        <w:rPr>
          <w:szCs w:val="26"/>
        </w:rPr>
        <w:t>o</w:t>
      </w:r>
      <w:r w:rsidRPr="00C57BDC">
        <w:rPr>
          <w:szCs w:val="26"/>
        </w:rPr>
        <w:t xml:space="preserve">perator must not operate outside of any identified IROL for a continuous duration exceeding its associated IROL </w:t>
      </w:r>
      <w:proofErr w:type="spellStart"/>
      <w:r w:rsidRPr="00C57BDC">
        <w:rPr>
          <w:szCs w:val="26"/>
        </w:rPr>
        <w:t>T</w:t>
      </w:r>
      <w:r w:rsidRPr="00C57BDC">
        <w:rPr>
          <w:szCs w:val="26"/>
          <w:vertAlign w:val="subscript"/>
        </w:rPr>
        <w:t>v</w:t>
      </w:r>
      <w:proofErr w:type="spellEnd"/>
      <w:r w:rsidR="00B54EE3" w:rsidRPr="00C57BDC">
        <w:rPr>
          <w:szCs w:val="26"/>
          <w:vertAlign w:val="subscript"/>
        </w:rPr>
        <w:t>.</w:t>
      </w:r>
      <w:r w:rsidR="00B54EE3" w:rsidRPr="00C57BDC">
        <w:rPr>
          <w:szCs w:val="26"/>
        </w:rPr>
        <w:t xml:space="preserve">  NERC states that this </w:t>
      </w:r>
      <w:r w:rsidR="00B338E3" w:rsidRPr="00C57BDC">
        <w:rPr>
          <w:szCs w:val="26"/>
        </w:rPr>
        <w:t xml:space="preserve">requirement </w:t>
      </w:r>
      <w:r w:rsidR="00B54EE3" w:rsidRPr="00C57BDC">
        <w:rPr>
          <w:szCs w:val="26"/>
        </w:rPr>
        <w:t xml:space="preserve">will </w:t>
      </w:r>
      <w:r w:rsidR="000952C9" w:rsidRPr="00C57BDC">
        <w:rPr>
          <w:szCs w:val="26"/>
        </w:rPr>
        <w:t>provide consistency with the reliability coordinators requirements contained in currently-effective Reliability Standard IRO-009-1</w:t>
      </w:r>
      <w:r w:rsidRPr="00C57BDC">
        <w:rPr>
          <w:szCs w:val="26"/>
        </w:rPr>
        <w:t>.</w:t>
      </w:r>
      <w:r w:rsidR="00FA2AB3" w:rsidRPr="00C57BDC">
        <w:rPr>
          <w:rStyle w:val="FootnoteReference"/>
        </w:rPr>
        <w:footnoteReference w:id="13"/>
      </w:r>
      <w:r w:rsidRPr="00C57BDC">
        <w:rPr>
          <w:szCs w:val="26"/>
        </w:rPr>
        <w:t xml:space="preserve"> </w:t>
      </w:r>
      <w:r w:rsidR="0047360C" w:rsidRPr="00C57BDC">
        <w:rPr>
          <w:szCs w:val="26"/>
        </w:rPr>
        <w:t xml:space="preserve"> </w:t>
      </w:r>
      <w:r w:rsidRPr="00C57BDC">
        <w:rPr>
          <w:iCs/>
          <w:szCs w:val="26"/>
        </w:rPr>
        <w:t xml:space="preserve">Requirement R13 </w:t>
      </w:r>
      <w:r w:rsidR="00BA0F30" w:rsidRPr="00C57BDC">
        <w:rPr>
          <w:szCs w:val="26"/>
        </w:rPr>
        <w:t>provides that each t</w:t>
      </w:r>
      <w:r w:rsidRPr="00C57BDC">
        <w:rPr>
          <w:szCs w:val="26"/>
        </w:rPr>
        <w:t xml:space="preserve">ransmission </w:t>
      </w:r>
      <w:r w:rsidR="00BA0F30" w:rsidRPr="00C57BDC">
        <w:rPr>
          <w:szCs w:val="26"/>
        </w:rPr>
        <w:t>o</w:t>
      </w:r>
      <w:r w:rsidRPr="00C57BDC">
        <w:rPr>
          <w:szCs w:val="26"/>
        </w:rPr>
        <w:t xml:space="preserve">perator must ensure that a </w:t>
      </w:r>
      <w:r w:rsidR="00BA0F30" w:rsidRPr="00C57BDC">
        <w:rPr>
          <w:szCs w:val="26"/>
        </w:rPr>
        <w:t>r</w:t>
      </w:r>
      <w:r w:rsidRPr="00C57BDC">
        <w:rPr>
          <w:szCs w:val="26"/>
        </w:rPr>
        <w:t xml:space="preserve">eal-time </w:t>
      </w:r>
      <w:r w:rsidR="00BA0F30" w:rsidRPr="00C57BDC">
        <w:rPr>
          <w:szCs w:val="26"/>
        </w:rPr>
        <w:t>a</w:t>
      </w:r>
      <w:r w:rsidRPr="00C57BDC">
        <w:rPr>
          <w:szCs w:val="26"/>
        </w:rPr>
        <w:t>ssessment is performed at least once every 30 minutes.</w:t>
      </w:r>
      <w:r w:rsidR="00BA0F30" w:rsidRPr="00C57BDC">
        <w:rPr>
          <w:szCs w:val="26"/>
        </w:rPr>
        <w:t xml:space="preserve">  </w:t>
      </w:r>
      <w:r w:rsidR="00D711D2" w:rsidRPr="00C57BDC">
        <w:rPr>
          <w:szCs w:val="26"/>
        </w:rPr>
        <w:t xml:space="preserve">The revised </w:t>
      </w:r>
      <w:r w:rsidR="00B338E3" w:rsidRPr="00C57BDC">
        <w:rPr>
          <w:szCs w:val="26"/>
        </w:rPr>
        <w:t xml:space="preserve">definition of </w:t>
      </w:r>
      <w:r w:rsidR="00B338E3" w:rsidRPr="00C57BDC">
        <w:rPr>
          <w:szCs w:val="26"/>
        </w:rPr>
        <w:lastRenderedPageBreak/>
        <w:t>“</w:t>
      </w:r>
      <w:r w:rsidR="00D711D2" w:rsidRPr="00C57BDC">
        <w:rPr>
          <w:szCs w:val="26"/>
        </w:rPr>
        <w:t>real-time assessment</w:t>
      </w:r>
      <w:r w:rsidR="00B338E3" w:rsidRPr="00C57BDC">
        <w:rPr>
          <w:szCs w:val="26"/>
        </w:rPr>
        <w:t>”</w:t>
      </w:r>
      <w:r w:rsidR="00D711D2" w:rsidRPr="00C57BDC">
        <w:rPr>
          <w:szCs w:val="26"/>
        </w:rPr>
        <w:t xml:space="preserve"> includes additional specificity regarding various inputs </w:t>
      </w:r>
      <w:r w:rsidR="00B338E3" w:rsidRPr="00C57BDC">
        <w:rPr>
          <w:szCs w:val="26"/>
        </w:rPr>
        <w:t>for the assessment</w:t>
      </w:r>
      <w:r w:rsidR="00D711D2" w:rsidRPr="00C57BDC">
        <w:rPr>
          <w:szCs w:val="26"/>
        </w:rPr>
        <w:t xml:space="preserve"> and how that information may be provided through third-party services, which may provide smaller entities an efficient method for compliance.  </w:t>
      </w:r>
      <w:r w:rsidRPr="00C57BDC">
        <w:rPr>
          <w:iCs/>
          <w:szCs w:val="26"/>
        </w:rPr>
        <w:t>Requirement R14</w:t>
      </w:r>
      <w:r w:rsidRPr="00C57BDC">
        <w:rPr>
          <w:i/>
          <w:iCs/>
          <w:szCs w:val="26"/>
        </w:rPr>
        <w:t xml:space="preserve"> </w:t>
      </w:r>
      <w:r w:rsidRPr="00C57BDC">
        <w:rPr>
          <w:szCs w:val="26"/>
        </w:rPr>
        <w:t xml:space="preserve">provides that each </w:t>
      </w:r>
      <w:r w:rsidR="00BA0F30" w:rsidRPr="00C57BDC">
        <w:rPr>
          <w:szCs w:val="26"/>
        </w:rPr>
        <w:t>t</w:t>
      </w:r>
      <w:r w:rsidRPr="00C57BDC">
        <w:rPr>
          <w:szCs w:val="26"/>
        </w:rPr>
        <w:t xml:space="preserve">ransmission </w:t>
      </w:r>
      <w:r w:rsidR="00BA0F30" w:rsidRPr="00C57BDC">
        <w:rPr>
          <w:szCs w:val="26"/>
        </w:rPr>
        <w:t>o</w:t>
      </w:r>
      <w:r w:rsidRPr="00C57BDC">
        <w:rPr>
          <w:szCs w:val="26"/>
        </w:rPr>
        <w:t xml:space="preserve">perator must initiate its </w:t>
      </w:r>
      <w:r w:rsidR="00BA0F30" w:rsidRPr="00C57BDC">
        <w:rPr>
          <w:szCs w:val="26"/>
        </w:rPr>
        <w:t>o</w:t>
      </w:r>
      <w:r w:rsidRPr="00C57BDC">
        <w:rPr>
          <w:szCs w:val="26"/>
        </w:rPr>
        <w:t xml:space="preserve">perating </w:t>
      </w:r>
      <w:r w:rsidR="00BA0F30" w:rsidRPr="00C57BDC">
        <w:rPr>
          <w:szCs w:val="26"/>
        </w:rPr>
        <w:t>p</w:t>
      </w:r>
      <w:r w:rsidRPr="00C57BDC">
        <w:rPr>
          <w:szCs w:val="26"/>
        </w:rPr>
        <w:t xml:space="preserve">lan to mitigate a SOL exceedance identified as part of its </w:t>
      </w:r>
      <w:r w:rsidR="00BA0F30" w:rsidRPr="00C57BDC">
        <w:rPr>
          <w:szCs w:val="26"/>
        </w:rPr>
        <w:t>r</w:t>
      </w:r>
      <w:r w:rsidRPr="00C57BDC">
        <w:rPr>
          <w:szCs w:val="26"/>
        </w:rPr>
        <w:t xml:space="preserve">eal-time monitoring or </w:t>
      </w:r>
      <w:r w:rsidR="00BA0F30" w:rsidRPr="00C57BDC">
        <w:rPr>
          <w:szCs w:val="26"/>
        </w:rPr>
        <w:t>r</w:t>
      </w:r>
      <w:r w:rsidRPr="00C57BDC">
        <w:rPr>
          <w:szCs w:val="26"/>
        </w:rPr>
        <w:t xml:space="preserve">eal-time </w:t>
      </w:r>
      <w:r w:rsidR="00BA0F30" w:rsidRPr="00C57BDC">
        <w:rPr>
          <w:szCs w:val="26"/>
        </w:rPr>
        <w:t>a</w:t>
      </w:r>
      <w:r w:rsidRPr="00C57BDC">
        <w:rPr>
          <w:szCs w:val="26"/>
        </w:rPr>
        <w:t>ssessment.</w:t>
      </w:r>
      <w:r w:rsidR="00BA0F30" w:rsidRPr="00C57BDC">
        <w:rPr>
          <w:rStyle w:val="FootnoteReference"/>
        </w:rPr>
        <w:footnoteReference w:id="14"/>
      </w:r>
    </w:p>
    <w:p w14:paraId="34646175" w14:textId="54F27461" w:rsidR="0067456F" w:rsidRPr="00C57BDC" w:rsidRDefault="008B43EC" w:rsidP="00B67D64">
      <w:pPr>
        <w:pStyle w:val="FERCparanumber"/>
        <w:tabs>
          <w:tab w:val="clear" w:pos="810"/>
          <w:tab w:val="num" w:pos="720"/>
        </w:tabs>
        <w:ind w:left="0"/>
        <w:rPr>
          <w:szCs w:val="26"/>
        </w:rPr>
      </w:pPr>
      <w:r w:rsidRPr="00C57BDC">
        <w:rPr>
          <w:iCs/>
          <w:szCs w:val="26"/>
        </w:rPr>
        <w:t xml:space="preserve">Requirement R15 </w:t>
      </w:r>
      <w:r w:rsidR="00BA0F30" w:rsidRPr="00C57BDC">
        <w:rPr>
          <w:szCs w:val="26"/>
        </w:rPr>
        <w:t>provides that each t</w:t>
      </w:r>
      <w:r w:rsidRPr="00C57BDC">
        <w:rPr>
          <w:szCs w:val="26"/>
        </w:rPr>
        <w:t xml:space="preserve">ransmission </w:t>
      </w:r>
      <w:r w:rsidR="00BA0F30" w:rsidRPr="00C57BDC">
        <w:rPr>
          <w:szCs w:val="26"/>
        </w:rPr>
        <w:t>o</w:t>
      </w:r>
      <w:r w:rsidRPr="00C57BDC">
        <w:rPr>
          <w:szCs w:val="26"/>
        </w:rPr>
        <w:t xml:space="preserve">perator must inform its </w:t>
      </w:r>
      <w:r w:rsidR="00BA0F30" w:rsidRPr="00C57BDC">
        <w:rPr>
          <w:szCs w:val="26"/>
        </w:rPr>
        <w:t>r</w:t>
      </w:r>
      <w:r w:rsidRPr="00C57BDC">
        <w:rPr>
          <w:szCs w:val="26"/>
        </w:rPr>
        <w:t xml:space="preserve">eliability </w:t>
      </w:r>
      <w:r w:rsidR="00BA0F30" w:rsidRPr="00C57BDC">
        <w:rPr>
          <w:szCs w:val="26"/>
        </w:rPr>
        <w:t>c</w:t>
      </w:r>
      <w:r w:rsidRPr="00C57BDC">
        <w:rPr>
          <w:szCs w:val="26"/>
        </w:rPr>
        <w:t xml:space="preserve">oordinator of actions taken to return the system to within limits when a SOL has been exceeded. </w:t>
      </w:r>
      <w:r w:rsidR="0047360C" w:rsidRPr="00C57BDC">
        <w:rPr>
          <w:szCs w:val="26"/>
        </w:rPr>
        <w:t xml:space="preserve"> </w:t>
      </w:r>
      <w:r w:rsidRPr="00C57BDC">
        <w:rPr>
          <w:iCs/>
          <w:szCs w:val="26"/>
        </w:rPr>
        <w:t xml:space="preserve">Requirement R18 </w:t>
      </w:r>
      <w:r w:rsidR="00175A34" w:rsidRPr="00C57BDC">
        <w:rPr>
          <w:szCs w:val="26"/>
        </w:rPr>
        <w:t>provides that each t</w:t>
      </w:r>
      <w:r w:rsidRPr="00C57BDC">
        <w:rPr>
          <w:szCs w:val="26"/>
        </w:rPr>
        <w:t xml:space="preserve">ransmission </w:t>
      </w:r>
      <w:r w:rsidR="00175A34" w:rsidRPr="00C57BDC">
        <w:rPr>
          <w:szCs w:val="26"/>
        </w:rPr>
        <w:t>o</w:t>
      </w:r>
      <w:r w:rsidRPr="00C57BDC">
        <w:rPr>
          <w:szCs w:val="26"/>
        </w:rPr>
        <w:t xml:space="preserve">perator must operate to the most limiting parameter in instances where there is a difference in SOLs. </w:t>
      </w:r>
      <w:r w:rsidRPr="00C57BDC">
        <w:rPr>
          <w:iCs/>
          <w:szCs w:val="26"/>
        </w:rPr>
        <w:t xml:space="preserve">Requirements R19 and R20 </w:t>
      </w:r>
      <w:r w:rsidR="00175A34" w:rsidRPr="00C57BDC">
        <w:rPr>
          <w:szCs w:val="26"/>
        </w:rPr>
        <w:t>provide that each t</w:t>
      </w:r>
      <w:r w:rsidRPr="00C57BDC">
        <w:rPr>
          <w:szCs w:val="26"/>
        </w:rPr>
        <w:t xml:space="preserve">ransmission </w:t>
      </w:r>
      <w:r w:rsidR="00175A34" w:rsidRPr="00C57BDC">
        <w:rPr>
          <w:szCs w:val="26"/>
        </w:rPr>
        <w:t>o</w:t>
      </w:r>
      <w:r w:rsidRPr="00C57BDC">
        <w:rPr>
          <w:szCs w:val="26"/>
        </w:rPr>
        <w:t xml:space="preserve">perator and </w:t>
      </w:r>
      <w:r w:rsidR="00175A34" w:rsidRPr="00C57BDC">
        <w:rPr>
          <w:szCs w:val="26"/>
        </w:rPr>
        <w:t>b</w:t>
      </w:r>
      <w:r w:rsidRPr="00C57BDC">
        <w:rPr>
          <w:szCs w:val="26"/>
        </w:rPr>
        <w:t xml:space="preserve">alancing </w:t>
      </w:r>
      <w:r w:rsidR="00175A34" w:rsidRPr="00C57BDC">
        <w:rPr>
          <w:szCs w:val="26"/>
        </w:rPr>
        <w:t>a</w:t>
      </w:r>
      <w:r w:rsidRPr="00C57BDC">
        <w:rPr>
          <w:szCs w:val="26"/>
        </w:rPr>
        <w:t>uthority must have data exchange capabilities with the entities from which it needs data in order to m</w:t>
      </w:r>
      <w:r w:rsidR="0067456F" w:rsidRPr="00C57BDC">
        <w:rPr>
          <w:szCs w:val="26"/>
        </w:rPr>
        <w:t>aintain reliability in its area</w:t>
      </w:r>
      <w:r w:rsidR="008F6D5C" w:rsidRPr="00C57BDC">
        <w:rPr>
          <w:szCs w:val="26"/>
        </w:rPr>
        <w:t>.</w:t>
      </w:r>
    </w:p>
    <w:p w14:paraId="09FBA378" w14:textId="6F603CA3" w:rsidR="00C80218" w:rsidRPr="00C57BDC" w:rsidRDefault="0047360C" w:rsidP="00AB7B18">
      <w:pPr>
        <w:pStyle w:val="FERCparanumber"/>
        <w:tabs>
          <w:tab w:val="clear" w:pos="810"/>
          <w:tab w:val="num" w:pos="720"/>
        </w:tabs>
        <w:ind w:left="0"/>
        <w:rPr>
          <w:szCs w:val="26"/>
        </w:rPr>
      </w:pPr>
      <w:r w:rsidRPr="00C57BDC">
        <w:rPr>
          <w:szCs w:val="26"/>
        </w:rPr>
        <w:t>In addition, NERC states that it removed the load-serving entity (LSE) function from proposed TOP-001-3, Requirements R3</w:t>
      </w:r>
      <w:r w:rsidR="00E37D32" w:rsidRPr="00C57BDC">
        <w:rPr>
          <w:szCs w:val="26"/>
        </w:rPr>
        <w:t xml:space="preserve"> through </w:t>
      </w:r>
      <w:r w:rsidR="00C80218" w:rsidRPr="00C57BDC">
        <w:rPr>
          <w:szCs w:val="26"/>
        </w:rPr>
        <w:t>R6</w:t>
      </w:r>
      <w:r w:rsidRPr="00C57BDC">
        <w:rPr>
          <w:szCs w:val="26"/>
        </w:rPr>
        <w:t xml:space="preserve"> due to the November 2014 NERC Board of Trustees action to remove the LSE as a functional entity from NERC’s Rules of Procedure.</w:t>
      </w:r>
      <w:r w:rsidR="00225CA4" w:rsidRPr="00C57BDC">
        <w:rPr>
          <w:rStyle w:val="FootnoteReference"/>
        </w:rPr>
        <w:footnoteReference w:id="15"/>
      </w:r>
      <w:r w:rsidR="00C80218" w:rsidRPr="00C57BDC">
        <w:rPr>
          <w:szCs w:val="26"/>
        </w:rPr>
        <w:t xml:space="preserve">  On May 12, 2015, NERC supplemented its filing with additional explanation for the removal of the LSE function.  </w:t>
      </w:r>
    </w:p>
    <w:p w14:paraId="4022F547" w14:textId="77777777" w:rsidR="00AB7B18" w:rsidRDefault="00A05AEF" w:rsidP="0067456F">
      <w:pPr>
        <w:pStyle w:val="FERCparanumber"/>
        <w:numPr>
          <w:ilvl w:val="0"/>
          <w:numId w:val="0"/>
        </w:numPr>
        <w:rPr>
          <w:szCs w:val="26"/>
        </w:rPr>
      </w:pPr>
      <w:r w:rsidRPr="00C57BDC">
        <w:rPr>
          <w:szCs w:val="26"/>
        </w:rPr>
        <w:tab/>
      </w:r>
    </w:p>
    <w:p w14:paraId="15BADD88" w14:textId="521EA91F" w:rsidR="00660B33" w:rsidRPr="00AB7B18" w:rsidRDefault="00AB7B18" w:rsidP="0067456F">
      <w:pPr>
        <w:pStyle w:val="FERCparanumber"/>
        <w:numPr>
          <w:ilvl w:val="0"/>
          <w:numId w:val="0"/>
        </w:numPr>
        <w:rPr>
          <w:szCs w:val="26"/>
          <w:u w:val="single"/>
        </w:rPr>
      </w:pPr>
      <w:r>
        <w:rPr>
          <w:b/>
          <w:szCs w:val="26"/>
        </w:rPr>
        <w:lastRenderedPageBreak/>
        <w:tab/>
      </w:r>
      <w:r w:rsidR="00660B33" w:rsidRPr="00AB7B18">
        <w:rPr>
          <w:b/>
          <w:szCs w:val="26"/>
          <w:u w:val="single"/>
        </w:rPr>
        <w:t>TOP-002-4 (Operations Planning)</w:t>
      </w:r>
      <w:r w:rsidR="00660B33" w:rsidRPr="00AB7B18">
        <w:rPr>
          <w:szCs w:val="26"/>
          <w:u w:val="single"/>
        </w:rPr>
        <w:t xml:space="preserve"> </w:t>
      </w:r>
    </w:p>
    <w:p w14:paraId="3CD160F4" w14:textId="77777777" w:rsidR="00FB2DA0" w:rsidRPr="00C57BDC" w:rsidRDefault="00A6179C" w:rsidP="00AB7B18">
      <w:pPr>
        <w:pStyle w:val="FERCparanumber"/>
        <w:tabs>
          <w:tab w:val="clear" w:pos="810"/>
          <w:tab w:val="num" w:pos="720"/>
        </w:tabs>
        <w:ind w:left="0"/>
        <w:rPr>
          <w:szCs w:val="26"/>
        </w:rPr>
      </w:pPr>
      <w:r w:rsidRPr="00C57BDC">
        <w:rPr>
          <w:szCs w:val="26"/>
        </w:rPr>
        <w:t xml:space="preserve">Proposed Reliability Standard TOP-002-4 </w:t>
      </w:r>
      <w:r w:rsidR="009012AC" w:rsidRPr="00C57BDC">
        <w:rPr>
          <w:szCs w:val="26"/>
        </w:rPr>
        <w:t xml:space="preserve">contains </w:t>
      </w:r>
      <w:r w:rsidRPr="00C57BDC">
        <w:rPr>
          <w:szCs w:val="26"/>
        </w:rPr>
        <w:t>seven requirements relat</w:t>
      </w:r>
      <w:r w:rsidR="002F1DD8" w:rsidRPr="00C57BDC">
        <w:rPr>
          <w:szCs w:val="26"/>
        </w:rPr>
        <w:t>ing to operations planning for t</w:t>
      </w:r>
      <w:r w:rsidRPr="00C57BDC">
        <w:rPr>
          <w:szCs w:val="26"/>
        </w:rPr>
        <w:t xml:space="preserve">ransmission </w:t>
      </w:r>
      <w:r w:rsidR="002F1DD8" w:rsidRPr="00C57BDC">
        <w:rPr>
          <w:szCs w:val="26"/>
        </w:rPr>
        <w:t>o</w:t>
      </w:r>
      <w:r w:rsidRPr="00C57BDC">
        <w:rPr>
          <w:szCs w:val="26"/>
        </w:rPr>
        <w:t>perato</w:t>
      </w:r>
      <w:r w:rsidR="0047360C" w:rsidRPr="00C57BDC">
        <w:rPr>
          <w:szCs w:val="26"/>
        </w:rPr>
        <w:t xml:space="preserve">rs and </w:t>
      </w:r>
      <w:r w:rsidR="002F1DD8" w:rsidRPr="00C57BDC">
        <w:rPr>
          <w:szCs w:val="26"/>
        </w:rPr>
        <w:t>b</w:t>
      </w:r>
      <w:r w:rsidR="0047360C" w:rsidRPr="00C57BDC">
        <w:rPr>
          <w:szCs w:val="26"/>
        </w:rPr>
        <w:t xml:space="preserve">alancing </w:t>
      </w:r>
      <w:r w:rsidR="002F1DD8" w:rsidRPr="00C57BDC">
        <w:rPr>
          <w:szCs w:val="26"/>
        </w:rPr>
        <w:t>a</w:t>
      </w:r>
      <w:r w:rsidR="0047360C" w:rsidRPr="00C57BDC">
        <w:rPr>
          <w:szCs w:val="26"/>
        </w:rPr>
        <w:t xml:space="preserve">uthorities.  NERC explains that the </w:t>
      </w:r>
      <w:r w:rsidRPr="00C57BDC">
        <w:rPr>
          <w:szCs w:val="26"/>
        </w:rPr>
        <w:t>proposed standard addresses next-day planning and provide</w:t>
      </w:r>
      <w:r w:rsidR="00B84948" w:rsidRPr="00C57BDC">
        <w:rPr>
          <w:szCs w:val="26"/>
        </w:rPr>
        <w:t>s</w:t>
      </w:r>
      <w:r w:rsidRPr="00C57BDC">
        <w:rPr>
          <w:szCs w:val="26"/>
        </w:rPr>
        <w:t xml:space="preserve"> for the necessary notifications and coordination between various functional entities. </w:t>
      </w:r>
      <w:r w:rsidR="005730A1" w:rsidRPr="00C57BDC">
        <w:rPr>
          <w:szCs w:val="26"/>
        </w:rPr>
        <w:t xml:space="preserve"> </w:t>
      </w:r>
      <w:r w:rsidR="0047360C" w:rsidRPr="00C57BDC">
        <w:rPr>
          <w:szCs w:val="26"/>
        </w:rPr>
        <w:t xml:space="preserve">NERC adds that </w:t>
      </w:r>
      <w:r w:rsidR="005730A1" w:rsidRPr="00C57BDC">
        <w:rPr>
          <w:szCs w:val="26"/>
        </w:rPr>
        <w:t xml:space="preserve">the </w:t>
      </w:r>
      <w:r w:rsidRPr="00C57BDC">
        <w:rPr>
          <w:szCs w:val="26"/>
        </w:rPr>
        <w:t xml:space="preserve">revised definition of </w:t>
      </w:r>
      <w:r w:rsidR="002F1DD8" w:rsidRPr="00C57BDC">
        <w:rPr>
          <w:szCs w:val="26"/>
        </w:rPr>
        <w:t>“o</w:t>
      </w:r>
      <w:r w:rsidRPr="00C57BDC">
        <w:rPr>
          <w:szCs w:val="26"/>
        </w:rPr>
        <w:t xml:space="preserve">perational </w:t>
      </w:r>
      <w:r w:rsidR="002F1DD8" w:rsidRPr="00C57BDC">
        <w:rPr>
          <w:szCs w:val="26"/>
        </w:rPr>
        <w:t>p</w:t>
      </w:r>
      <w:r w:rsidRPr="00C57BDC">
        <w:rPr>
          <w:szCs w:val="26"/>
        </w:rPr>
        <w:t xml:space="preserve">lanning </w:t>
      </w:r>
      <w:r w:rsidR="002F1DD8" w:rsidRPr="00C57BDC">
        <w:rPr>
          <w:szCs w:val="26"/>
        </w:rPr>
        <w:t>a</w:t>
      </w:r>
      <w:r w:rsidRPr="00C57BDC">
        <w:rPr>
          <w:szCs w:val="26"/>
        </w:rPr>
        <w:t>nalysis</w:t>
      </w:r>
      <w:r w:rsidR="002F1DD8" w:rsidRPr="00C57BDC">
        <w:rPr>
          <w:szCs w:val="26"/>
        </w:rPr>
        <w:t>”</w:t>
      </w:r>
      <w:r w:rsidRPr="00C57BDC">
        <w:rPr>
          <w:szCs w:val="26"/>
        </w:rPr>
        <w:t xml:space="preserve"> specifies the scope and inputs required for next-day analyses. </w:t>
      </w:r>
      <w:r w:rsidR="0047360C" w:rsidRPr="00C57BDC">
        <w:rPr>
          <w:szCs w:val="26"/>
        </w:rPr>
        <w:t xml:space="preserve"> According to NERC, t</w:t>
      </w:r>
      <w:r w:rsidRPr="00C57BDC">
        <w:rPr>
          <w:szCs w:val="26"/>
        </w:rPr>
        <w:t xml:space="preserve">he proposed standard also improves coordination of next-day operations by requiring </w:t>
      </w:r>
      <w:r w:rsidR="002F1DD8" w:rsidRPr="00C57BDC">
        <w:rPr>
          <w:szCs w:val="26"/>
        </w:rPr>
        <w:t>t</w:t>
      </w:r>
      <w:r w:rsidRPr="00C57BDC">
        <w:rPr>
          <w:szCs w:val="26"/>
        </w:rPr>
        <w:t xml:space="preserve">ransmission </w:t>
      </w:r>
      <w:r w:rsidR="002F1DD8" w:rsidRPr="00C57BDC">
        <w:rPr>
          <w:szCs w:val="26"/>
        </w:rPr>
        <w:t>o</w:t>
      </w:r>
      <w:r w:rsidRPr="00C57BDC">
        <w:rPr>
          <w:szCs w:val="26"/>
        </w:rPr>
        <w:t xml:space="preserve">perators and </w:t>
      </w:r>
      <w:r w:rsidR="002F1DD8" w:rsidRPr="00C57BDC">
        <w:rPr>
          <w:szCs w:val="26"/>
        </w:rPr>
        <w:t>b</w:t>
      </w:r>
      <w:r w:rsidRPr="00C57BDC">
        <w:rPr>
          <w:szCs w:val="26"/>
        </w:rPr>
        <w:t xml:space="preserve">alancing </w:t>
      </w:r>
      <w:r w:rsidR="002F1DD8" w:rsidRPr="00C57BDC">
        <w:rPr>
          <w:szCs w:val="26"/>
        </w:rPr>
        <w:t>a</w:t>
      </w:r>
      <w:r w:rsidRPr="00C57BDC">
        <w:rPr>
          <w:szCs w:val="26"/>
        </w:rPr>
        <w:t xml:space="preserve">uthorities to provide </w:t>
      </w:r>
      <w:r w:rsidR="002F1DD8" w:rsidRPr="00C57BDC">
        <w:rPr>
          <w:szCs w:val="26"/>
        </w:rPr>
        <w:t>o</w:t>
      </w:r>
      <w:r w:rsidRPr="00C57BDC">
        <w:rPr>
          <w:szCs w:val="26"/>
        </w:rPr>
        <w:t xml:space="preserve">perating </w:t>
      </w:r>
      <w:r w:rsidR="002F1DD8" w:rsidRPr="00C57BDC">
        <w:rPr>
          <w:szCs w:val="26"/>
        </w:rPr>
        <w:t>p</w:t>
      </w:r>
      <w:r w:rsidRPr="00C57BDC">
        <w:rPr>
          <w:szCs w:val="26"/>
        </w:rPr>
        <w:t xml:space="preserve">lans to their </w:t>
      </w:r>
      <w:r w:rsidR="002F1DD8" w:rsidRPr="00C57BDC">
        <w:rPr>
          <w:szCs w:val="26"/>
        </w:rPr>
        <w:t>r</w:t>
      </w:r>
      <w:r w:rsidRPr="00C57BDC">
        <w:rPr>
          <w:szCs w:val="26"/>
        </w:rPr>
        <w:t xml:space="preserve">eliability </w:t>
      </w:r>
      <w:r w:rsidR="002F1DD8" w:rsidRPr="00C57BDC">
        <w:rPr>
          <w:szCs w:val="26"/>
        </w:rPr>
        <w:t>c</w:t>
      </w:r>
      <w:r w:rsidRPr="00C57BDC">
        <w:rPr>
          <w:szCs w:val="26"/>
        </w:rPr>
        <w:t xml:space="preserve">oordinators. </w:t>
      </w:r>
    </w:p>
    <w:p w14:paraId="47815379" w14:textId="779528DB" w:rsidR="00A6179C" w:rsidRPr="00C57BDC" w:rsidRDefault="00A6179C" w:rsidP="00997969">
      <w:pPr>
        <w:pStyle w:val="FERCparanumber"/>
        <w:tabs>
          <w:tab w:val="clear" w:pos="810"/>
          <w:tab w:val="num" w:pos="720"/>
        </w:tabs>
        <w:ind w:left="0"/>
        <w:rPr>
          <w:szCs w:val="26"/>
        </w:rPr>
      </w:pPr>
      <w:r w:rsidRPr="00C57BDC">
        <w:rPr>
          <w:szCs w:val="26"/>
        </w:rPr>
        <w:t xml:space="preserve">Proposed Requirements R1 through R3 and R6 apply to </w:t>
      </w:r>
      <w:r w:rsidR="007668CC" w:rsidRPr="00C57BDC">
        <w:rPr>
          <w:szCs w:val="26"/>
        </w:rPr>
        <w:t>t</w:t>
      </w:r>
      <w:r w:rsidRPr="00C57BDC">
        <w:rPr>
          <w:szCs w:val="26"/>
        </w:rPr>
        <w:t xml:space="preserve">ransmission </w:t>
      </w:r>
      <w:r w:rsidR="007668CC" w:rsidRPr="00C57BDC">
        <w:rPr>
          <w:szCs w:val="26"/>
        </w:rPr>
        <w:t>o</w:t>
      </w:r>
      <w:r w:rsidRPr="00C57BDC">
        <w:rPr>
          <w:szCs w:val="26"/>
        </w:rPr>
        <w:t xml:space="preserve">perators, and proposed Requirements R4, R5, and R7 apply to </w:t>
      </w:r>
      <w:r w:rsidR="007668CC" w:rsidRPr="00C57BDC">
        <w:rPr>
          <w:szCs w:val="26"/>
        </w:rPr>
        <w:t>b</w:t>
      </w:r>
      <w:r w:rsidRPr="00C57BDC">
        <w:rPr>
          <w:szCs w:val="26"/>
        </w:rPr>
        <w:t xml:space="preserve">alancing </w:t>
      </w:r>
      <w:r w:rsidR="007668CC" w:rsidRPr="00C57BDC">
        <w:rPr>
          <w:szCs w:val="26"/>
        </w:rPr>
        <w:t>a</w:t>
      </w:r>
      <w:r w:rsidRPr="00C57BDC">
        <w:rPr>
          <w:szCs w:val="26"/>
        </w:rPr>
        <w:t>uthorities.</w:t>
      </w:r>
      <w:r w:rsidR="0065026A" w:rsidRPr="00C57BDC">
        <w:rPr>
          <w:szCs w:val="26"/>
        </w:rPr>
        <w:t xml:space="preserve">  </w:t>
      </w:r>
      <w:r w:rsidRPr="00C57BDC">
        <w:rPr>
          <w:iCs/>
          <w:szCs w:val="26"/>
        </w:rPr>
        <w:t xml:space="preserve">Requirement R1 </w:t>
      </w:r>
      <w:r w:rsidRPr="00C57BDC">
        <w:rPr>
          <w:szCs w:val="26"/>
        </w:rPr>
        <w:t>requires eac</w:t>
      </w:r>
      <w:r w:rsidR="0065026A" w:rsidRPr="00C57BDC">
        <w:rPr>
          <w:szCs w:val="26"/>
        </w:rPr>
        <w:t>h t</w:t>
      </w:r>
      <w:r w:rsidRPr="00C57BDC">
        <w:rPr>
          <w:szCs w:val="26"/>
        </w:rPr>
        <w:t xml:space="preserve">ransmission </w:t>
      </w:r>
      <w:r w:rsidR="0065026A" w:rsidRPr="00C57BDC">
        <w:rPr>
          <w:szCs w:val="26"/>
        </w:rPr>
        <w:t>operator to have an o</w:t>
      </w:r>
      <w:r w:rsidRPr="00C57BDC">
        <w:rPr>
          <w:szCs w:val="26"/>
        </w:rPr>
        <w:t xml:space="preserve">perational </w:t>
      </w:r>
      <w:r w:rsidR="0065026A" w:rsidRPr="00C57BDC">
        <w:rPr>
          <w:szCs w:val="26"/>
        </w:rPr>
        <w:t>p</w:t>
      </w:r>
      <w:r w:rsidRPr="00C57BDC">
        <w:rPr>
          <w:szCs w:val="26"/>
        </w:rPr>
        <w:t xml:space="preserve">lanning </w:t>
      </w:r>
      <w:r w:rsidR="0065026A" w:rsidRPr="00C57BDC">
        <w:rPr>
          <w:szCs w:val="26"/>
        </w:rPr>
        <w:t>a</w:t>
      </w:r>
      <w:r w:rsidRPr="00C57BDC">
        <w:rPr>
          <w:szCs w:val="26"/>
        </w:rPr>
        <w:t>nalysis that will allow it to assess whether its planned operatio</w:t>
      </w:r>
      <w:r w:rsidR="0065026A" w:rsidRPr="00C57BDC">
        <w:rPr>
          <w:szCs w:val="26"/>
        </w:rPr>
        <w:t>ns for the next day within its t</w:t>
      </w:r>
      <w:r w:rsidRPr="00C57BDC">
        <w:rPr>
          <w:szCs w:val="26"/>
        </w:rPr>
        <w:t xml:space="preserve">ransmission </w:t>
      </w:r>
      <w:r w:rsidR="0065026A" w:rsidRPr="00C57BDC">
        <w:rPr>
          <w:szCs w:val="26"/>
        </w:rPr>
        <w:t>o</w:t>
      </w:r>
      <w:r w:rsidRPr="00C57BDC">
        <w:rPr>
          <w:szCs w:val="26"/>
        </w:rPr>
        <w:t xml:space="preserve">perator </w:t>
      </w:r>
      <w:r w:rsidR="0065026A" w:rsidRPr="00C57BDC">
        <w:rPr>
          <w:szCs w:val="26"/>
        </w:rPr>
        <w:t>a</w:t>
      </w:r>
      <w:r w:rsidRPr="00C57BDC">
        <w:rPr>
          <w:szCs w:val="26"/>
        </w:rPr>
        <w:t xml:space="preserve">rea will exceed any of its SOLs. </w:t>
      </w:r>
      <w:r w:rsidR="00FB2DA0" w:rsidRPr="00C57BDC">
        <w:rPr>
          <w:szCs w:val="26"/>
        </w:rPr>
        <w:t xml:space="preserve"> </w:t>
      </w:r>
      <w:r w:rsidRPr="00C57BDC">
        <w:rPr>
          <w:iCs/>
          <w:szCs w:val="26"/>
        </w:rPr>
        <w:t xml:space="preserve">Requirement R2 </w:t>
      </w:r>
      <w:r w:rsidRPr="00C57BDC">
        <w:rPr>
          <w:szCs w:val="26"/>
        </w:rPr>
        <w:t xml:space="preserve">requires each </w:t>
      </w:r>
      <w:r w:rsidR="0065026A" w:rsidRPr="00C57BDC">
        <w:rPr>
          <w:szCs w:val="26"/>
        </w:rPr>
        <w:t>t</w:t>
      </w:r>
      <w:r w:rsidRPr="00C57BDC">
        <w:rPr>
          <w:szCs w:val="26"/>
        </w:rPr>
        <w:t xml:space="preserve">ransmission </w:t>
      </w:r>
      <w:r w:rsidR="0065026A" w:rsidRPr="00C57BDC">
        <w:rPr>
          <w:szCs w:val="26"/>
        </w:rPr>
        <w:t>o</w:t>
      </w:r>
      <w:r w:rsidRPr="00C57BDC">
        <w:rPr>
          <w:szCs w:val="26"/>
        </w:rPr>
        <w:t>per</w:t>
      </w:r>
      <w:r w:rsidR="0065026A" w:rsidRPr="00C57BDC">
        <w:rPr>
          <w:szCs w:val="26"/>
        </w:rPr>
        <w:t>ator to have o</w:t>
      </w:r>
      <w:r w:rsidRPr="00C57BDC">
        <w:rPr>
          <w:szCs w:val="26"/>
        </w:rPr>
        <w:t xml:space="preserve">perating </w:t>
      </w:r>
      <w:r w:rsidR="0065026A" w:rsidRPr="00C57BDC">
        <w:rPr>
          <w:szCs w:val="26"/>
        </w:rPr>
        <w:t>p</w:t>
      </w:r>
      <w:r w:rsidRPr="00C57BDC">
        <w:rPr>
          <w:szCs w:val="26"/>
        </w:rPr>
        <w:t>lan</w:t>
      </w:r>
      <w:r w:rsidR="0065026A" w:rsidRPr="00C57BDC">
        <w:rPr>
          <w:szCs w:val="26"/>
        </w:rPr>
        <w:t xml:space="preserve">s </w:t>
      </w:r>
      <w:r w:rsidRPr="00C57BDC">
        <w:rPr>
          <w:szCs w:val="26"/>
        </w:rPr>
        <w:t xml:space="preserve">for next-day operations to address potential SOL exceedances identified in the </w:t>
      </w:r>
      <w:r w:rsidR="0065026A" w:rsidRPr="00C57BDC">
        <w:rPr>
          <w:szCs w:val="26"/>
        </w:rPr>
        <w:t>o</w:t>
      </w:r>
      <w:r w:rsidRPr="00C57BDC">
        <w:rPr>
          <w:szCs w:val="26"/>
        </w:rPr>
        <w:t xml:space="preserve">perational </w:t>
      </w:r>
      <w:r w:rsidR="0065026A" w:rsidRPr="00C57BDC">
        <w:rPr>
          <w:szCs w:val="26"/>
        </w:rPr>
        <w:t>p</w:t>
      </w:r>
      <w:r w:rsidRPr="00C57BDC">
        <w:rPr>
          <w:szCs w:val="26"/>
        </w:rPr>
        <w:t xml:space="preserve">lanning </w:t>
      </w:r>
      <w:r w:rsidR="0065026A" w:rsidRPr="00C57BDC">
        <w:rPr>
          <w:szCs w:val="26"/>
        </w:rPr>
        <w:t>a</w:t>
      </w:r>
      <w:r w:rsidRPr="00C57BDC">
        <w:rPr>
          <w:szCs w:val="26"/>
        </w:rPr>
        <w:t xml:space="preserve">nalysis performed pursuant to Requirement R1. </w:t>
      </w:r>
      <w:r w:rsidR="00FB2DA0" w:rsidRPr="00C57BDC">
        <w:rPr>
          <w:szCs w:val="26"/>
        </w:rPr>
        <w:t xml:space="preserve"> </w:t>
      </w:r>
      <w:r w:rsidRPr="00C57BDC">
        <w:rPr>
          <w:iCs/>
          <w:szCs w:val="26"/>
        </w:rPr>
        <w:t xml:space="preserve">Requirement R4 </w:t>
      </w:r>
      <w:r w:rsidR="0065026A" w:rsidRPr="00C57BDC">
        <w:rPr>
          <w:szCs w:val="26"/>
        </w:rPr>
        <w:t>requires each b</w:t>
      </w:r>
      <w:r w:rsidRPr="00C57BDC">
        <w:rPr>
          <w:szCs w:val="26"/>
        </w:rPr>
        <w:t xml:space="preserve">alancing </w:t>
      </w:r>
      <w:r w:rsidR="0065026A" w:rsidRPr="00C57BDC">
        <w:rPr>
          <w:szCs w:val="26"/>
        </w:rPr>
        <w:t>authority to have o</w:t>
      </w:r>
      <w:r w:rsidRPr="00C57BDC">
        <w:rPr>
          <w:szCs w:val="26"/>
        </w:rPr>
        <w:t xml:space="preserve">perating </w:t>
      </w:r>
      <w:r w:rsidR="0065026A" w:rsidRPr="00C57BDC">
        <w:rPr>
          <w:szCs w:val="26"/>
        </w:rPr>
        <w:t>p</w:t>
      </w:r>
      <w:r w:rsidRPr="00C57BDC">
        <w:rPr>
          <w:szCs w:val="26"/>
        </w:rPr>
        <w:t xml:space="preserve">lans for the </w:t>
      </w:r>
      <w:r w:rsidR="0065026A" w:rsidRPr="00C57BDC">
        <w:rPr>
          <w:szCs w:val="26"/>
        </w:rPr>
        <w:t xml:space="preserve">next day that address </w:t>
      </w:r>
      <w:r w:rsidRPr="00C57BDC">
        <w:rPr>
          <w:szCs w:val="26"/>
        </w:rPr>
        <w:t>expected generation r</w:t>
      </w:r>
      <w:r w:rsidR="0065026A" w:rsidRPr="00C57BDC">
        <w:rPr>
          <w:szCs w:val="26"/>
        </w:rPr>
        <w:t xml:space="preserve">esource commitment and dispatch, interchange scheduling, </w:t>
      </w:r>
      <w:r w:rsidRPr="00C57BDC">
        <w:rPr>
          <w:szCs w:val="26"/>
        </w:rPr>
        <w:t>demand patterns</w:t>
      </w:r>
      <w:r w:rsidR="0065026A" w:rsidRPr="00C57BDC">
        <w:rPr>
          <w:szCs w:val="26"/>
        </w:rPr>
        <w:t xml:space="preserve">, </w:t>
      </w:r>
      <w:r w:rsidRPr="00C57BDC">
        <w:rPr>
          <w:szCs w:val="26"/>
        </w:rPr>
        <w:t>and</w:t>
      </w:r>
      <w:r w:rsidR="0065026A" w:rsidRPr="00C57BDC">
        <w:rPr>
          <w:szCs w:val="26"/>
        </w:rPr>
        <w:t xml:space="preserve"> </w:t>
      </w:r>
      <w:r w:rsidRPr="00C57BDC">
        <w:rPr>
          <w:szCs w:val="26"/>
        </w:rPr>
        <w:t>capacity and energy reserve requirements, inclu</w:t>
      </w:r>
      <w:r w:rsidR="00FB2DA0" w:rsidRPr="00C57BDC">
        <w:rPr>
          <w:szCs w:val="26"/>
        </w:rPr>
        <w:t xml:space="preserve">ding deliverability capability.  </w:t>
      </w:r>
      <w:r w:rsidRPr="00C57BDC">
        <w:rPr>
          <w:iCs/>
          <w:szCs w:val="26"/>
        </w:rPr>
        <w:t xml:space="preserve">Requirements R3 and R5 </w:t>
      </w:r>
      <w:r w:rsidRPr="00C57BDC">
        <w:rPr>
          <w:szCs w:val="26"/>
        </w:rPr>
        <w:t xml:space="preserve">require each </w:t>
      </w:r>
      <w:r w:rsidR="0065026A" w:rsidRPr="00C57BDC">
        <w:rPr>
          <w:szCs w:val="26"/>
        </w:rPr>
        <w:t>t</w:t>
      </w:r>
      <w:r w:rsidRPr="00C57BDC">
        <w:rPr>
          <w:szCs w:val="26"/>
        </w:rPr>
        <w:t xml:space="preserve">ransmission </w:t>
      </w:r>
      <w:r w:rsidR="0065026A" w:rsidRPr="00C57BDC">
        <w:rPr>
          <w:szCs w:val="26"/>
        </w:rPr>
        <w:t>o</w:t>
      </w:r>
      <w:r w:rsidRPr="00C57BDC">
        <w:rPr>
          <w:szCs w:val="26"/>
        </w:rPr>
        <w:t xml:space="preserve">perator and </w:t>
      </w:r>
      <w:r w:rsidR="0065026A" w:rsidRPr="00C57BDC">
        <w:rPr>
          <w:szCs w:val="26"/>
        </w:rPr>
        <w:t>b</w:t>
      </w:r>
      <w:r w:rsidRPr="00C57BDC">
        <w:rPr>
          <w:szCs w:val="26"/>
        </w:rPr>
        <w:t xml:space="preserve">alancing </w:t>
      </w:r>
      <w:r w:rsidR="0065026A" w:rsidRPr="00C57BDC">
        <w:rPr>
          <w:szCs w:val="26"/>
        </w:rPr>
        <w:t>a</w:t>
      </w:r>
      <w:r w:rsidRPr="00C57BDC">
        <w:rPr>
          <w:szCs w:val="26"/>
        </w:rPr>
        <w:t>uthority</w:t>
      </w:r>
      <w:r w:rsidR="00B338E3" w:rsidRPr="00C57BDC">
        <w:rPr>
          <w:szCs w:val="26"/>
        </w:rPr>
        <w:t>, respectively,</w:t>
      </w:r>
      <w:r w:rsidRPr="00C57BDC">
        <w:rPr>
          <w:szCs w:val="26"/>
        </w:rPr>
        <w:t xml:space="preserve"> to notify the entities identified in their </w:t>
      </w:r>
      <w:r w:rsidR="0065026A" w:rsidRPr="00C57BDC">
        <w:rPr>
          <w:szCs w:val="26"/>
        </w:rPr>
        <w:t>o</w:t>
      </w:r>
      <w:r w:rsidRPr="00C57BDC">
        <w:rPr>
          <w:szCs w:val="26"/>
        </w:rPr>
        <w:t xml:space="preserve">perating </w:t>
      </w:r>
      <w:r w:rsidR="0065026A" w:rsidRPr="00C57BDC">
        <w:rPr>
          <w:szCs w:val="26"/>
        </w:rPr>
        <w:t>p</w:t>
      </w:r>
      <w:r w:rsidRPr="00C57BDC">
        <w:rPr>
          <w:szCs w:val="26"/>
        </w:rPr>
        <w:t xml:space="preserve">lan as to their roles in that plan. </w:t>
      </w:r>
      <w:r w:rsidR="00FB2DA0" w:rsidRPr="00C57BDC">
        <w:rPr>
          <w:szCs w:val="26"/>
        </w:rPr>
        <w:t xml:space="preserve"> </w:t>
      </w:r>
      <w:r w:rsidRPr="00C57BDC">
        <w:rPr>
          <w:iCs/>
          <w:szCs w:val="26"/>
        </w:rPr>
        <w:t xml:space="preserve">Requirements R6 and R7 </w:t>
      </w:r>
      <w:r w:rsidRPr="00C57BDC">
        <w:rPr>
          <w:szCs w:val="26"/>
        </w:rPr>
        <w:lastRenderedPageBreak/>
        <w:t xml:space="preserve">require each </w:t>
      </w:r>
      <w:r w:rsidR="0065026A" w:rsidRPr="00C57BDC">
        <w:rPr>
          <w:szCs w:val="26"/>
        </w:rPr>
        <w:t>t</w:t>
      </w:r>
      <w:r w:rsidRPr="00C57BDC">
        <w:rPr>
          <w:szCs w:val="26"/>
        </w:rPr>
        <w:t xml:space="preserve">ransmission </w:t>
      </w:r>
      <w:r w:rsidR="0065026A" w:rsidRPr="00C57BDC">
        <w:rPr>
          <w:szCs w:val="26"/>
        </w:rPr>
        <w:t>o</w:t>
      </w:r>
      <w:r w:rsidRPr="00C57BDC">
        <w:rPr>
          <w:szCs w:val="26"/>
        </w:rPr>
        <w:t xml:space="preserve">perator and </w:t>
      </w:r>
      <w:r w:rsidR="0065026A" w:rsidRPr="00C57BDC">
        <w:rPr>
          <w:szCs w:val="26"/>
        </w:rPr>
        <w:t>b</w:t>
      </w:r>
      <w:r w:rsidRPr="00C57BDC">
        <w:rPr>
          <w:szCs w:val="26"/>
        </w:rPr>
        <w:t xml:space="preserve">alancing </w:t>
      </w:r>
      <w:r w:rsidR="0065026A" w:rsidRPr="00C57BDC">
        <w:rPr>
          <w:szCs w:val="26"/>
        </w:rPr>
        <w:t>a</w:t>
      </w:r>
      <w:r w:rsidRPr="00C57BDC">
        <w:rPr>
          <w:szCs w:val="26"/>
        </w:rPr>
        <w:t xml:space="preserve">uthority to provide its </w:t>
      </w:r>
      <w:r w:rsidR="00B338E3" w:rsidRPr="00C57BDC">
        <w:rPr>
          <w:szCs w:val="26"/>
        </w:rPr>
        <w:t xml:space="preserve">operating </w:t>
      </w:r>
      <w:r w:rsidRPr="00C57BDC">
        <w:rPr>
          <w:szCs w:val="26"/>
        </w:rPr>
        <w:t xml:space="preserve">plan to its </w:t>
      </w:r>
      <w:r w:rsidR="0065026A" w:rsidRPr="00C57BDC">
        <w:rPr>
          <w:szCs w:val="26"/>
        </w:rPr>
        <w:t>r</w:t>
      </w:r>
      <w:r w:rsidRPr="00C57BDC">
        <w:rPr>
          <w:szCs w:val="26"/>
        </w:rPr>
        <w:t xml:space="preserve">eliability </w:t>
      </w:r>
      <w:r w:rsidR="0065026A" w:rsidRPr="00C57BDC">
        <w:rPr>
          <w:szCs w:val="26"/>
        </w:rPr>
        <w:t>c</w:t>
      </w:r>
      <w:r w:rsidRPr="00C57BDC">
        <w:rPr>
          <w:szCs w:val="26"/>
        </w:rPr>
        <w:t>oordinator.</w:t>
      </w:r>
    </w:p>
    <w:p w14:paraId="476C12D6" w14:textId="77777777" w:rsidR="00660B33" w:rsidRPr="00997969" w:rsidRDefault="00FB2DA0" w:rsidP="0067456F">
      <w:pPr>
        <w:pStyle w:val="FERCparanumber"/>
        <w:numPr>
          <w:ilvl w:val="0"/>
          <w:numId w:val="0"/>
        </w:numPr>
        <w:rPr>
          <w:b/>
          <w:szCs w:val="26"/>
          <w:u w:val="single"/>
        </w:rPr>
      </w:pPr>
      <w:r w:rsidRPr="00C57BDC">
        <w:rPr>
          <w:szCs w:val="26"/>
        </w:rPr>
        <w:tab/>
      </w:r>
      <w:r w:rsidR="00660B33" w:rsidRPr="00997969">
        <w:rPr>
          <w:b/>
          <w:szCs w:val="26"/>
          <w:u w:val="single"/>
        </w:rPr>
        <w:t xml:space="preserve">TOP-003-3 (Operational Reliability Data) </w:t>
      </w:r>
    </w:p>
    <w:p w14:paraId="181B7955" w14:textId="77777777" w:rsidR="00A6179C" w:rsidRPr="00C57BDC" w:rsidRDefault="00A6179C" w:rsidP="00997969">
      <w:pPr>
        <w:pStyle w:val="FERCparanumber"/>
        <w:tabs>
          <w:tab w:val="clear" w:pos="810"/>
          <w:tab w:val="num" w:pos="720"/>
        </w:tabs>
        <w:ind w:left="0"/>
        <w:rPr>
          <w:szCs w:val="26"/>
        </w:rPr>
      </w:pPr>
      <w:r w:rsidRPr="00C57BDC">
        <w:rPr>
          <w:szCs w:val="26"/>
        </w:rPr>
        <w:t xml:space="preserve">Proposed Reliability Standard TOP-003-3 (Operational Reliability Data) establishes requirements for the provision of information and data needed by the </w:t>
      </w:r>
      <w:r w:rsidR="00DB1A35" w:rsidRPr="00C57BDC">
        <w:rPr>
          <w:szCs w:val="26"/>
        </w:rPr>
        <w:t>t</w:t>
      </w:r>
      <w:r w:rsidRPr="00C57BDC">
        <w:rPr>
          <w:szCs w:val="26"/>
        </w:rPr>
        <w:t xml:space="preserve">ransmission </w:t>
      </w:r>
      <w:r w:rsidR="00DB1A35" w:rsidRPr="00C57BDC">
        <w:rPr>
          <w:szCs w:val="26"/>
        </w:rPr>
        <w:t>o</w:t>
      </w:r>
      <w:r w:rsidRPr="00C57BDC">
        <w:rPr>
          <w:szCs w:val="26"/>
        </w:rPr>
        <w:t xml:space="preserve">perator and </w:t>
      </w:r>
      <w:r w:rsidR="00DB1A35" w:rsidRPr="00C57BDC">
        <w:rPr>
          <w:szCs w:val="26"/>
        </w:rPr>
        <w:t>b</w:t>
      </w:r>
      <w:r w:rsidRPr="00C57BDC">
        <w:rPr>
          <w:szCs w:val="26"/>
        </w:rPr>
        <w:t xml:space="preserve">alancing </w:t>
      </w:r>
      <w:r w:rsidR="00DB1A35" w:rsidRPr="00C57BDC">
        <w:rPr>
          <w:szCs w:val="26"/>
        </w:rPr>
        <w:t>a</w:t>
      </w:r>
      <w:r w:rsidRPr="00C57BDC">
        <w:rPr>
          <w:szCs w:val="26"/>
        </w:rPr>
        <w:t>u</w:t>
      </w:r>
      <w:r w:rsidR="00DB1A35" w:rsidRPr="00C57BDC">
        <w:rPr>
          <w:szCs w:val="26"/>
        </w:rPr>
        <w:t>thority for reliable operations</w:t>
      </w:r>
      <w:r w:rsidRPr="00C57BDC">
        <w:rPr>
          <w:szCs w:val="26"/>
        </w:rPr>
        <w:t xml:space="preserve">. </w:t>
      </w:r>
      <w:r w:rsidR="00DB1A35" w:rsidRPr="00C57BDC">
        <w:rPr>
          <w:szCs w:val="26"/>
        </w:rPr>
        <w:t xml:space="preserve"> </w:t>
      </w:r>
      <w:r w:rsidRPr="00C57BDC">
        <w:rPr>
          <w:szCs w:val="26"/>
        </w:rPr>
        <w:t xml:space="preserve">The purpose of proposed Reliability Standard TOP-003-3 is to ensure that </w:t>
      </w:r>
      <w:r w:rsidR="00DB1A35" w:rsidRPr="00C57BDC">
        <w:rPr>
          <w:szCs w:val="26"/>
        </w:rPr>
        <w:t>t</w:t>
      </w:r>
      <w:r w:rsidRPr="00C57BDC">
        <w:rPr>
          <w:szCs w:val="26"/>
        </w:rPr>
        <w:t xml:space="preserve">ransmission </w:t>
      </w:r>
      <w:r w:rsidR="00DB1A35" w:rsidRPr="00C57BDC">
        <w:rPr>
          <w:szCs w:val="26"/>
        </w:rPr>
        <w:t>o</w:t>
      </w:r>
      <w:r w:rsidRPr="00C57BDC">
        <w:rPr>
          <w:szCs w:val="26"/>
        </w:rPr>
        <w:t xml:space="preserve">perators and </w:t>
      </w:r>
      <w:r w:rsidR="00DB1A35" w:rsidRPr="00C57BDC">
        <w:rPr>
          <w:szCs w:val="26"/>
        </w:rPr>
        <w:t>b</w:t>
      </w:r>
      <w:r w:rsidRPr="00C57BDC">
        <w:rPr>
          <w:szCs w:val="26"/>
        </w:rPr>
        <w:t xml:space="preserve">alancing </w:t>
      </w:r>
      <w:r w:rsidR="00DB1A35" w:rsidRPr="00C57BDC">
        <w:rPr>
          <w:szCs w:val="26"/>
        </w:rPr>
        <w:t>a</w:t>
      </w:r>
      <w:r w:rsidRPr="00C57BDC">
        <w:rPr>
          <w:szCs w:val="26"/>
        </w:rPr>
        <w:t xml:space="preserve">uthorities have the data needed to fulfill their operational and planning responsibilities.  The proposed Reliability Standard consists of five Requirements, including requirements for </w:t>
      </w:r>
      <w:r w:rsidR="00ED6113" w:rsidRPr="00C57BDC">
        <w:rPr>
          <w:szCs w:val="26"/>
        </w:rPr>
        <w:t>b</w:t>
      </w:r>
      <w:r w:rsidRPr="00C57BDC">
        <w:rPr>
          <w:szCs w:val="26"/>
        </w:rPr>
        <w:t xml:space="preserve">alancing </w:t>
      </w:r>
      <w:r w:rsidR="00ED6113" w:rsidRPr="00C57BDC">
        <w:rPr>
          <w:szCs w:val="26"/>
        </w:rPr>
        <w:t>a</w:t>
      </w:r>
      <w:r w:rsidRPr="00C57BDC">
        <w:rPr>
          <w:szCs w:val="26"/>
        </w:rPr>
        <w:t xml:space="preserve">uthorities and </w:t>
      </w:r>
      <w:r w:rsidR="00ED6113" w:rsidRPr="00C57BDC">
        <w:rPr>
          <w:szCs w:val="26"/>
        </w:rPr>
        <w:t>t</w:t>
      </w:r>
      <w:r w:rsidRPr="00C57BDC">
        <w:rPr>
          <w:szCs w:val="26"/>
        </w:rPr>
        <w:t xml:space="preserve">ransmission </w:t>
      </w:r>
      <w:r w:rsidR="00ED6113" w:rsidRPr="00C57BDC">
        <w:rPr>
          <w:szCs w:val="26"/>
        </w:rPr>
        <w:t>o</w:t>
      </w:r>
      <w:r w:rsidRPr="00C57BDC">
        <w:rPr>
          <w:szCs w:val="26"/>
        </w:rPr>
        <w:t>perators to maintain and distribute to relevant entities data specifications needed to perform various analyses and assessments. The proposed Reliability Standard also requires entities receiving data specifications to respond according to mutually agreed upon parameters</w:t>
      </w:r>
      <w:r w:rsidR="009134F0" w:rsidRPr="00C57BDC">
        <w:rPr>
          <w:szCs w:val="26"/>
        </w:rPr>
        <w:t xml:space="preserve"> </w:t>
      </w:r>
      <w:r w:rsidR="00140E3B" w:rsidRPr="00C57BDC">
        <w:rPr>
          <w:szCs w:val="26"/>
        </w:rPr>
        <w:t xml:space="preserve">including </w:t>
      </w:r>
      <w:r w:rsidR="009134F0" w:rsidRPr="00C57BDC">
        <w:rPr>
          <w:szCs w:val="26"/>
        </w:rPr>
        <w:t>format and security protocols</w:t>
      </w:r>
      <w:r w:rsidRPr="00C57BDC">
        <w:rPr>
          <w:szCs w:val="26"/>
        </w:rPr>
        <w:t xml:space="preserve">. </w:t>
      </w:r>
    </w:p>
    <w:p w14:paraId="710A6055" w14:textId="77777777" w:rsidR="00A6179C" w:rsidRPr="00C57BDC" w:rsidRDefault="00A6179C" w:rsidP="000855EE">
      <w:pPr>
        <w:pStyle w:val="FERCparanumber"/>
        <w:tabs>
          <w:tab w:val="clear" w:pos="810"/>
          <w:tab w:val="num" w:pos="720"/>
        </w:tabs>
        <w:ind w:left="0"/>
        <w:rPr>
          <w:szCs w:val="26"/>
        </w:rPr>
      </w:pPr>
      <w:r w:rsidRPr="00C57BDC">
        <w:rPr>
          <w:iCs/>
          <w:szCs w:val="26"/>
        </w:rPr>
        <w:t xml:space="preserve">Requirement R1 </w:t>
      </w:r>
      <w:r w:rsidRPr="00C57BDC">
        <w:rPr>
          <w:szCs w:val="26"/>
        </w:rPr>
        <w:t xml:space="preserve">requires each </w:t>
      </w:r>
      <w:r w:rsidR="00ED6113" w:rsidRPr="00C57BDC">
        <w:rPr>
          <w:szCs w:val="26"/>
        </w:rPr>
        <w:t>t</w:t>
      </w:r>
      <w:r w:rsidRPr="00C57BDC">
        <w:rPr>
          <w:szCs w:val="26"/>
        </w:rPr>
        <w:t xml:space="preserve">ransmission </w:t>
      </w:r>
      <w:r w:rsidR="00ED6113" w:rsidRPr="00C57BDC">
        <w:rPr>
          <w:szCs w:val="26"/>
        </w:rPr>
        <w:t>o</w:t>
      </w:r>
      <w:r w:rsidRPr="00C57BDC">
        <w:rPr>
          <w:szCs w:val="26"/>
        </w:rPr>
        <w:t>perator to maintain a documented specification for the data necessary</w:t>
      </w:r>
      <w:r w:rsidR="00DA32E3" w:rsidRPr="00C57BDC">
        <w:rPr>
          <w:szCs w:val="26"/>
        </w:rPr>
        <w:t>, including non-bulk electric system and external network data,</w:t>
      </w:r>
      <w:r w:rsidRPr="00C57BDC">
        <w:rPr>
          <w:szCs w:val="26"/>
        </w:rPr>
        <w:t xml:space="preserve"> for it to perform its </w:t>
      </w:r>
      <w:r w:rsidR="00ED6113" w:rsidRPr="00C57BDC">
        <w:rPr>
          <w:szCs w:val="26"/>
        </w:rPr>
        <w:t>o</w:t>
      </w:r>
      <w:r w:rsidRPr="00C57BDC">
        <w:rPr>
          <w:szCs w:val="26"/>
        </w:rPr>
        <w:t xml:space="preserve">perational </w:t>
      </w:r>
      <w:r w:rsidR="00ED6113" w:rsidRPr="00C57BDC">
        <w:rPr>
          <w:szCs w:val="26"/>
        </w:rPr>
        <w:t>p</w:t>
      </w:r>
      <w:r w:rsidRPr="00C57BDC">
        <w:rPr>
          <w:szCs w:val="26"/>
        </w:rPr>
        <w:t xml:space="preserve">lanning </w:t>
      </w:r>
      <w:r w:rsidR="00ED6113" w:rsidRPr="00C57BDC">
        <w:rPr>
          <w:szCs w:val="26"/>
        </w:rPr>
        <w:t>a</w:t>
      </w:r>
      <w:r w:rsidRPr="00C57BDC">
        <w:rPr>
          <w:szCs w:val="26"/>
        </w:rPr>
        <w:t>nalys</w:t>
      </w:r>
      <w:r w:rsidR="00F81491" w:rsidRPr="00C57BDC">
        <w:rPr>
          <w:szCs w:val="26"/>
        </w:rPr>
        <w:t>i</w:t>
      </w:r>
      <w:r w:rsidRPr="00C57BDC">
        <w:rPr>
          <w:szCs w:val="26"/>
        </w:rPr>
        <w:t xml:space="preserve">s, </w:t>
      </w:r>
      <w:r w:rsidR="00ED6113" w:rsidRPr="00C57BDC">
        <w:rPr>
          <w:szCs w:val="26"/>
        </w:rPr>
        <w:t>r</w:t>
      </w:r>
      <w:r w:rsidRPr="00C57BDC">
        <w:rPr>
          <w:szCs w:val="26"/>
        </w:rPr>
        <w:t xml:space="preserve">eal-time monitoring, and </w:t>
      </w:r>
      <w:r w:rsidR="00ED6113" w:rsidRPr="00C57BDC">
        <w:rPr>
          <w:szCs w:val="26"/>
        </w:rPr>
        <w:t>r</w:t>
      </w:r>
      <w:r w:rsidRPr="00C57BDC">
        <w:rPr>
          <w:szCs w:val="26"/>
        </w:rPr>
        <w:t xml:space="preserve">eal-time </w:t>
      </w:r>
      <w:r w:rsidR="00ED6113" w:rsidRPr="00C57BDC">
        <w:rPr>
          <w:szCs w:val="26"/>
        </w:rPr>
        <w:t>a</w:t>
      </w:r>
      <w:r w:rsidRPr="00C57BDC">
        <w:rPr>
          <w:szCs w:val="26"/>
        </w:rPr>
        <w:t>ssessments.</w:t>
      </w:r>
      <w:r w:rsidR="00FB2DA0" w:rsidRPr="00C57BDC">
        <w:rPr>
          <w:szCs w:val="26"/>
        </w:rPr>
        <w:t xml:space="preserve">  </w:t>
      </w:r>
      <w:r w:rsidRPr="00C57BDC">
        <w:rPr>
          <w:iCs/>
          <w:szCs w:val="26"/>
        </w:rPr>
        <w:t xml:space="preserve">Requirement R2 </w:t>
      </w:r>
      <w:r w:rsidRPr="00C57BDC">
        <w:rPr>
          <w:szCs w:val="26"/>
        </w:rPr>
        <w:t xml:space="preserve">requires each </w:t>
      </w:r>
      <w:r w:rsidR="00ED6113" w:rsidRPr="00C57BDC">
        <w:rPr>
          <w:szCs w:val="26"/>
        </w:rPr>
        <w:t>b</w:t>
      </w:r>
      <w:r w:rsidRPr="00C57BDC">
        <w:rPr>
          <w:szCs w:val="26"/>
        </w:rPr>
        <w:t xml:space="preserve">alancing </w:t>
      </w:r>
      <w:r w:rsidR="00ED6113" w:rsidRPr="00C57BDC">
        <w:rPr>
          <w:szCs w:val="26"/>
        </w:rPr>
        <w:t>a</w:t>
      </w:r>
      <w:r w:rsidRPr="00C57BDC">
        <w:rPr>
          <w:szCs w:val="26"/>
        </w:rPr>
        <w:t xml:space="preserve">uthority to maintain a documented specification for the data necessary for it to perform its analysis functions and </w:t>
      </w:r>
      <w:r w:rsidR="00ED6113" w:rsidRPr="00C57BDC">
        <w:rPr>
          <w:szCs w:val="26"/>
        </w:rPr>
        <w:t>r</w:t>
      </w:r>
      <w:r w:rsidRPr="00C57BDC">
        <w:rPr>
          <w:szCs w:val="26"/>
        </w:rPr>
        <w:t>eal-time monitoring.</w:t>
      </w:r>
      <w:r w:rsidR="00FB2DA0" w:rsidRPr="00C57BDC">
        <w:rPr>
          <w:szCs w:val="26"/>
        </w:rPr>
        <w:t xml:space="preserve">  </w:t>
      </w:r>
      <w:r w:rsidRPr="00C57BDC">
        <w:rPr>
          <w:iCs/>
          <w:szCs w:val="26"/>
        </w:rPr>
        <w:t xml:space="preserve">Requirements R3 and R4 </w:t>
      </w:r>
      <w:r w:rsidRPr="00C57BDC">
        <w:rPr>
          <w:szCs w:val="26"/>
        </w:rPr>
        <w:t xml:space="preserve">require each </w:t>
      </w:r>
      <w:r w:rsidR="00ED6113" w:rsidRPr="00C57BDC">
        <w:rPr>
          <w:szCs w:val="26"/>
        </w:rPr>
        <w:t>t</w:t>
      </w:r>
      <w:r w:rsidRPr="00C57BDC">
        <w:rPr>
          <w:szCs w:val="26"/>
        </w:rPr>
        <w:t xml:space="preserve">ransmission </w:t>
      </w:r>
      <w:r w:rsidR="00ED6113" w:rsidRPr="00C57BDC">
        <w:rPr>
          <w:szCs w:val="26"/>
        </w:rPr>
        <w:t>o</w:t>
      </w:r>
      <w:r w:rsidRPr="00C57BDC">
        <w:rPr>
          <w:szCs w:val="26"/>
        </w:rPr>
        <w:t xml:space="preserve">perator and </w:t>
      </w:r>
      <w:r w:rsidR="00ED6113" w:rsidRPr="00C57BDC">
        <w:rPr>
          <w:szCs w:val="26"/>
        </w:rPr>
        <w:t>b</w:t>
      </w:r>
      <w:r w:rsidRPr="00C57BDC">
        <w:rPr>
          <w:szCs w:val="26"/>
        </w:rPr>
        <w:t xml:space="preserve">alancing </w:t>
      </w:r>
      <w:r w:rsidR="00ED6113" w:rsidRPr="00C57BDC">
        <w:rPr>
          <w:szCs w:val="26"/>
        </w:rPr>
        <w:t>a</w:t>
      </w:r>
      <w:r w:rsidRPr="00C57BDC">
        <w:rPr>
          <w:szCs w:val="26"/>
        </w:rPr>
        <w:t>uthority</w:t>
      </w:r>
      <w:r w:rsidR="00ED6113" w:rsidRPr="00C57BDC">
        <w:rPr>
          <w:szCs w:val="26"/>
        </w:rPr>
        <w:t xml:space="preserve"> </w:t>
      </w:r>
      <w:r w:rsidRPr="00C57BDC">
        <w:rPr>
          <w:szCs w:val="26"/>
        </w:rPr>
        <w:t xml:space="preserve">to distribute its data specification to the entities that have the necessary data. </w:t>
      </w:r>
      <w:r w:rsidR="00FB2DA0" w:rsidRPr="00C57BDC">
        <w:rPr>
          <w:szCs w:val="26"/>
        </w:rPr>
        <w:t xml:space="preserve"> </w:t>
      </w:r>
      <w:r w:rsidRPr="00C57BDC">
        <w:rPr>
          <w:iCs/>
          <w:szCs w:val="26"/>
        </w:rPr>
        <w:t xml:space="preserve">Requirement R5 </w:t>
      </w:r>
      <w:r w:rsidRPr="00C57BDC">
        <w:rPr>
          <w:szCs w:val="26"/>
        </w:rPr>
        <w:t xml:space="preserve">requires each </w:t>
      </w:r>
      <w:r w:rsidR="00ED6113" w:rsidRPr="00C57BDC">
        <w:rPr>
          <w:szCs w:val="26"/>
        </w:rPr>
        <w:t xml:space="preserve">applicable entity </w:t>
      </w:r>
      <w:r w:rsidRPr="00C57BDC">
        <w:rPr>
          <w:szCs w:val="26"/>
        </w:rPr>
        <w:t xml:space="preserve">receiving a data </w:t>
      </w:r>
      <w:r w:rsidRPr="00C57BDC">
        <w:rPr>
          <w:szCs w:val="26"/>
        </w:rPr>
        <w:lastRenderedPageBreak/>
        <w:t>specification pursuant to Requirement R3 or R4 to satisfy the obligations of the documented data specification</w:t>
      </w:r>
      <w:r w:rsidR="00FB2DA0" w:rsidRPr="00C57BDC">
        <w:rPr>
          <w:szCs w:val="26"/>
        </w:rPr>
        <w:t>.</w:t>
      </w:r>
    </w:p>
    <w:p w14:paraId="361E8E65" w14:textId="77777777" w:rsidR="00256E84" w:rsidRPr="00C57BDC" w:rsidRDefault="00ED6113" w:rsidP="000855EE">
      <w:pPr>
        <w:pStyle w:val="FERCparanumber"/>
        <w:tabs>
          <w:tab w:val="clear" w:pos="810"/>
          <w:tab w:val="num" w:pos="720"/>
        </w:tabs>
        <w:ind w:left="0"/>
        <w:rPr>
          <w:szCs w:val="26"/>
        </w:rPr>
      </w:pPr>
      <w:r w:rsidRPr="00C57BDC">
        <w:rPr>
          <w:szCs w:val="26"/>
        </w:rPr>
        <w:t>In</w:t>
      </w:r>
      <w:r w:rsidR="00646900" w:rsidRPr="00C57BDC">
        <w:rPr>
          <w:szCs w:val="26"/>
        </w:rPr>
        <w:t xml:space="preserve"> </w:t>
      </w:r>
      <w:r w:rsidR="00256E84" w:rsidRPr="00C57BDC">
        <w:rPr>
          <w:szCs w:val="26"/>
        </w:rPr>
        <w:t>response to the Commission’s concerns in the Remand NOPR with regard to</w:t>
      </w:r>
      <w:r w:rsidR="00FB2DA0" w:rsidRPr="00C57BDC">
        <w:rPr>
          <w:szCs w:val="26"/>
        </w:rPr>
        <w:t xml:space="preserve"> the need for including external networks </w:t>
      </w:r>
      <w:r w:rsidR="007668CC" w:rsidRPr="00C57BDC">
        <w:rPr>
          <w:szCs w:val="26"/>
        </w:rPr>
        <w:t>and</w:t>
      </w:r>
      <w:r w:rsidR="00FB2DA0" w:rsidRPr="00C57BDC">
        <w:rPr>
          <w:szCs w:val="26"/>
        </w:rPr>
        <w:t xml:space="preserve"> sub-100 kV facilities in the </w:t>
      </w:r>
      <w:r w:rsidRPr="00C57BDC">
        <w:rPr>
          <w:szCs w:val="26"/>
        </w:rPr>
        <w:t>o</w:t>
      </w:r>
      <w:r w:rsidR="00FB2DA0" w:rsidRPr="00C57BDC">
        <w:rPr>
          <w:szCs w:val="26"/>
        </w:rPr>
        <w:t xml:space="preserve">perational </w:t>
      </w:r>
      <w:r w:rsidRPr="00C57BDC">
        <w:rPr>
          <w:szCs w:val="26"/>
        </w:rPr>
        <w:t>p</w:t>
      </w:r>
      <w:r w:rsidR="00FB2DA0" w:rsidRPr="00C57BDC">
        <w:rPr>
          <w:szCs w:val="26"/>
        </w:rPr>
        <w:t xml:space="preserve">lanning </w:t>
      </w:r>
      <w:r w:rsidRPr="00C57BDC">
        <w:rPr>
          <w:szCs w:val="26"/>
        </w:rPr>
        <w:t>a</w:t>
      </w:r>
      <w:r w:rsidR="00FB2DA0" w:rsidRPr="00C57BDC">
        <w:rPr>
          <w:szCs w:val="26"/>
        </w:rPr>
        <w:t>nalysis cond</w:t>
      </w:r>
      <w:r w:rsidR="00256E84" w:rsidRPr="00C57BDC">
        <w:rPr>
          <w:szCs w:val="26"/>
        </w:rPr>
        <w:t xml:space="preserve">ucted by </w:t>
      </w:r>
      <w:r w:rsidRPr="00C57BDC">
        <w:rPr>
          <w:szCs w:val="26"/>
        </w:rPr>
        <w:t>t</w:t>
      </w:r>
      <w:r w:rsidR="00256E84" w:rsidRPr="00C57BDC">
        <w:rPr>
          <w:szCs w:val="26"/>
        </w:rPr>
        <w:t xml:space="preserve">ransmission </w:t>
      </w:r>
      <w:r w:rsidRPr="00C57BDC">
        <w:rPr>
          <w:szCs w:val="26"/>
        </w:rPr>
        <w:t>o</w:t>
      </w:r>
      <w:r w:rsidR="00256E84" w:rsidRPr="00C57BDC">
        <w:rPr>
          <w:szCs w:val="26"/>
        </w:rPr>
        <w:t>perators, NERC explains that</w:t>
      </w:r>
      <w:r w:rsidR="00FB2DA0" w:rsidRPr="00C57BDC">
        <w:rPr>
          <w:szCs w:val="26"/>
        </w:rPr>
        <w:t xml:space="preserve"> </w:t>
      </w:r>
      <w:r w:rsidR="00256E84" w:rsidRPr="00C57BDC">
        <w:rPr>
          <w:szCs w:val="26"/>
        </w:rPr>
        <w:t>p</w:t>
      </w:r>
      <w:r w:rsidR="00FB2DA0" w:rsidRPr="00C57BDC">
        <w:rPr>
          <w:szCs w:val="26"/>
        </w:rPr>
        <w:t>roposed Reliability Standard TOP-003-3 requires each applicable entity to develop a data specification that would cover its data needs for monitoring and analysis purposes, including non-</w:t>
      </w:r>
      <w:r w:rsidRPr="00C57BDC">
        <w:rPr>
          <w:szCs w:val="26"/>
        </w:rPr>
        <w:t>b</w:t>
      </w:r>
      <w:r w:rsidR="00FB2DA0" w:rsidRPr="00C57BDC">
        <w:rPr>
          <w:szCs w:val="26"/>
        </w:rPr>
        <w:t xml:space="preserve">ulk </w:t>
      </w:r>
      <w:r w:rsidRPr="00C57BDC">
        <w:rPr>
          <w:szCs w:val="26"/>
        </w:rPr>
        <w:t>electric s</w:t>
      </w:r>
      <w:r w:rsidR="00FB2DA0" w:rsidRPr="00C57BDC">
        <w:rPr>
          <w:szCs w:val="26"/>
        </w:rPr>
        <w:t>ystem data and external networ</w:t>
      </w:r>
      <w:r w:rsidRPr="00C57BDC">
        <w:rPr>
          <w:szCs w:val="26"/>
        </w:rPr>
        <w:t>k data deemed necessary by the t</w:t>
      </w:r>
      <w:r w:rsidR="00FB2DA0" w:rsidRPr="00C57BDC">
        <w:rPr>
          <w:szCs w:val="26"/>
        </w:rPr>
        <w:t xml:space="preserve">ransmission </w:t>
      </w:r>
      <w:r w:rsidRPr="00C57BDC">
        <w:rPr>
          <w:szCs w:val="26"/>
        </w:rPr>
        <w:t>o</w:t>
      </w:r>
      <w:r w:rsidR="00FB2DA0" w:rsidRPr="00C57BDC">
        <w:rPr>
          <w:szCs w:val="26"/>
        </w:rPr>
        <w:t xml:space="preserve">perator to support its </w:t>
      </w:r>
      <w:r w:rsidRPr="00C57BDC">
        <w:rPr>
          <w:szCs w:val="26"/>
        </w:rPr>
        <w:t>o</w:t>
      </w:r>
      <w:r w:rsidR="00FB2DA0" w:rsidRPr="00C57BDC">
        <w:rPr>
          <w:szCs w:val="26"/>
        </w:rPr>
        <w:t xml:space="preserve">perational </w:t>
      </w:r>
      <w:r w:rsidRPr="00C57BDC">
        <w:rPr>
          <w:szCs w:val="26"/>
        </w:rPr>
        <w:t>p</w:t>
      </w:r>
      <w:r w:rsidR="00FB2DA0" w:rsidRPr="00C57BDC">
        <w:rPr>
          <w:szCs w:val="26"/>
        </w:rPr>
        <w:t xml:space="preserve">lanning </w:t>
      </w:r>
      <w:r w:rsidRPr="00C57BDC">
        <w:rPr>
          <w:szCs w:val="26"/>
        </w:rPr>
        <w:t>a</w:t>
      </w:r>
      <w:r w:rsidR="00FB2DA0" w:rsidRPr="00C57BDC">
        <w:rPr>
          <w:szCs w:val="26"/>
        </w:rPr>
        <w:t xml:space="preserve">nalyses, </w:t>
      </w:r>
      <w:r w:rsidRPr="00C57BDC">
        <w:rPr>
          <w:szCs w:val="26"/>
        </w:rPr>
        <w:t>r</w:t>
      </w:r>
      <w:r w:rsidR="00FB2DA0" w:rsidRPr="00C57BDC">
        <w:rPr>
          <w:szCs w:val="26"/>
        </w:rPr>
        <w:t>eal-time monito</w:t>
      </w:r>
      <w:r w:rsidR="00256E84" w:rsidRPr="00C57BDC">
        <w:rPr>
          <w:szCs w:val="26"/>
        </w:rPr>
        <w:t xml:space="preserve">ring, and </w:t>
      </w:r>
      <w:r w:rsidRPr="00C57BDC">
        <w:rPr>
          <w:szCs w:val="26"/>
        </w:rPr>
        <w:t>r</w:t>
      </w:r>
      <w:r w:rsidR="00256E84" w:rsidRPr="00C57BDC">
        <w:rPr>
          <w:szCs w:val="26"/>
        </w:rPr>
        <w:t xml:space="preserve">eal-time </w:t>
      </w:r>
      <w:r w:rsidRPr="00C57BDC">
        <w:rPr>
          <w:szCs w:val="26"/>
        </w:rPr>
        <w:t>a</w:t>
      </w:r>
      <w:r w:rsidR="00256E84" w:rsidRPr="00C57BDC">
        <w:rPr>
          <w:szCs w:val="26"/>
        </w:rPr>
        <w:t>ssessments</w:t>
      </w:r>
      <w:r w:rsidR="00FB2DA0" w:rsidRPr="00C57BDC">
        <w:rPr>
          <w:szCs w:val="26"/>
        </w:rPr>
        <w:t xml:space="preserve">. </w:t>
      </w:r>
      <w:r w:rsidRPr="00C57BDC">
        <w:rPr>
          <w:szCs w:val="26"/>
        </w:rPr>
        <w:t xml:space="preserve"> </w:t>
      </w:r>
      <w:r w:rsidR="00256E84" w:rsidRPr="00C57BDC">
        <w:rPr>
          <w:szCs w:val="26"/>
        </w:rPr>
        <w:t xml:space="preserve">With respect to sub-100 kV facilities, </w:t>
      </w:r>
      <w:r w:rsidR="006A5D3C" w:rsidRPr="00C57BDC">
        <w:rPr>
          <w:szCs w:val="26"/>
        </w:rPr>
        <w:t xml:space="preserve">NERC </w:t>
      </w:r>
      <w:r w:rsidR="00256E84" w:rsidRPr="00C57BDC">
        <w:rPr>
          <w:szCs w:val="26"/>
        </w:rPr>
        <w:t xml:space="preserve">determined that any sub-100 kV </w:t>
      </w:r>
      <w:r w:rsidR="00635E76" w:rsidRPr="00C57BDC">
        <w:rPr>
          <w:szCs w:val="26"/>
        </w:rPr>
        <w:t>elements that are</w:t>
      </w:r>
      <w:r w:rsidR="00256E84" w:rsidRPr="00C57BDC">
        <w:rPr>
          <w:szCs w:val="26"/>
        </w:rPr>
        <w:t xml:space="preserve"> necessary for reliable operation of the </w:t>
      </w:r>
      <w:r w:rsidR="006A5D3C" w:rsidRPr="00C57BDC">
        <w:rPr>
          <w:szCs w:val="26"/>
        </w:rPr>
        <w:t>b</w:t>
      </w:r>
      <w:r w:rsidR="00256E84" w:rsidRPr="00C57BDC">
        <w:rPr>
          <w:szCs w:val="26"/>
        </w:rPr>
        <w:t xml:space="preserve">ulk </w:t>
      </w:r>
      <w:r w:rsidR="006A5D3C" w:rsidRPr="00C57BDC">
        <w:rPr>
          <w:szCs w:val="26"/>
        </w:rPr>
        <w:t>e</w:t>
      </w:r>
      <w:r w:rsidR="00256E84" w:rsidRPr="00C57BDC">
        <w:rPr>
          <w:szCs w:val="26"/>
        </w:rPr>
        <w:t xml:space="preserve">lectric </w:t>
      </w:r>
      <w:r w:rsidR="006A5D3C" w:rsidRPr="00C57BDC">
        <w:rPr>
          <w:szCs w:val="26"/>
        </w:rPr>
        <w:t>s</w:t>
      </w:r>
      <w:r w:rsidR="00256E84" w:rsidRPr="00C57BDC">
        <w:rPr>
          <w:szCs w:val="26"/>
        </w:rPr>
        <w:t xml:space="preserve">ystem would be included as </w:t>
      </w:r>
      <w:r w:rsidR="006A5D3C" w:rsidRPr="00C57BDC">
        <w:rPr>
          <w:szCs w:val="26"/>
        </w:rPr>
        <w:t>b</w:t>
      </w:r>
      <w:r w:rsidR="00256E84" w:rsidRPr="00C57BDC">
        <w:rPr>
          <w:szCs w:val="26"/>
        </w:rPr>
        <w:t xml:space="preserve">ulk </w:t>
      </w:r>
      <w:r w:rsidR="006A5D3C" w:rsidRPr="00C57BDC">
        <w:rPr>
          <w:szCs w:val="26"/>
        </w:rPr>
        <w:t>e</w:t>
      </w:r>
      <w:r w:rsidR="00256E84" w:rsidRPr="00C57BDC">
        <w:rPr>
          <w:szCs w:val="26"/>
        </w:rPr>
        <w:t xml:space="preserve">lectric </w:t>
      </w:r>
      <w:r w:rsidR="006A5D3C" w:rsidRPr="00C57BDC">
        <w:rPr>
          <w:szCs w:val="26"/>
        </w:rPr>
        <w:t>s</w:t>
      </w:r>
      <w:r w:rsidR="00256E84" w:rsidRPr="00C57BDC">
        <w:rPr>
          <w:szCs w:val="26"/>
        </w:rPr>
        <w:t xml:space="preserve">ystem facilities through the exception process provided in Appendix 5C </w:t>
      </w:r>
      <w:r w:rsidR="006A5D3C" w:rsidRPr="00C57BDC">
        <w:rPr>
          <w:szCs w:val="26"/>
        </w:rPr>
        <w:t>to the NERC Rules of Procedure.  NERC explains that t</w:t>
      </w:r>
      <w:r w:rsidR="00256E84" w:rsidRPr="00C57BDC">
        <w:rPr>
          <w:szCs w:val="26"/>
        </w:rPr>
        <w:t xml:space="preserve">he exception process provides the means for </w:t>
      </w:r>
      <w:r w:rsidR="006A5D3C" w:rsidRPr="00C57BDC">
        <w:rPr>
          <w:szCs w:val="26"/>
        </w:rPr>
        <w:t>t</w:t>
      </w:r>
      <w:r w:rsidR="00256E84" w:rsidRPr="00C57BDC">
        <w:rPr>
          <w:szCs w:val="26"/>
        </w:rPr>
        <w:t xml:space="preserve">ransmission </w:t>
      </w:r>
      <w:r w:rsidR="006A5D3C" w:rsidRPr="00C57BDC">
        <w:rPr>
          <w:szCs w:val="26"/>
        </w:rPr>
        <w:t>o</w:t>
      </w:r>
      <w:r w:rsidR="00256E84" w:rsidRPr="00C57BDC">
        <w:rPr>
          <w:szCs w:val="26"/>
        </w:rPr>
        <w:t xml:space="preserve">perators and </w:t>
      </w:r>
      <w:r w:rsidR="006A5D3C" w:rsidRPr="00C57BDC">
        <w:rPr>
          <w:szCs w:val="26"/>
        </w:rPr>
        <w:t>r</w:t>
      </w:r>
      <w:r w:rsidR="00256E84" w:rsidRPr="00C57BDC">
        <w:rPr>
          <w:szCs w:val="26"/>
        </w:rPr>
        <w:t xml:space="preserve">eliability </w:t>
      </w:r>
      <w:r w:rsidR="006A5D3C" w:rsidRPr="00C57BDC">
        <w:rPr>
          <w:szCs w:val="26"/>
        </w:rPr>
        <w:t>c</w:t>
      </w:r>
      <w:r w:rsidR="00256E84" w:rsidRPr="00C57BDC">
        <w:rPr>
          <w:szCs w:val="26"/>
        </w:rPr>
        <w:t xml:space="preserve">oordinators to include </w:t>
      </w:r>
      <w:r w:rsidR="006A5D3C" w:rsidRPr="00C57BDC">
        <w:rPr>
          <w:szCs w:val="26"/>
        </w:rPr>
        <w:t>e</w:t>
      </w:r>
      <w:r w:rsidR="00256E84" w:rsidRPr="00C57BDC">
        <w:rPr>
          <w:szCs w:val="26"/>
        </w:rPr>
        <w:t xml:space="preserve">lements in the </w:t>
      </w:r>
      <w:r w:rsidR="006A5D3C" w:rsidRPr="00C57BDC">
        <w:rPr>
          <w:szCs w:val="26"/>
        </w:rPr>
        <w:t>b</w:t>
      </w:r>
      <w:r w:rsidR="00256E84" w:rsidRPr="00C57BDC">
        <w:rPr>
          <w:szCs w:val="26"/>
        </w:rPr>
        <w:t xml:space="preserve">ulk </w:t>
      </w:r>
      <w:r w:rsidR="006A5D3C" w:rsidRPr="00C57BDC">
        <w:rPr>
          <w:szCs w:val="26"/>
        </w:rPr>
        <w:t>e</w:t>
      </w:r>
      <w:r w:rsidR="00256E84" w:rsidRPr="00C57BDC">
        <w:rPr>
          <w:szCs w:val="26"/>
        </w:rPr>
        <w:t xml:space="preserve">lectric </w:t>
      </w:r>
      <w:r w:rsidR="006A5D3C" w:rsidRPr="00C57BDC">
        <w:rPr>
          <w:szCs w:val="26"/>
        </w:rPr>
        <w:t>s</w:t>
      </w:r>
      <w:r w:rsidR="00256E84" w:rsidRPr="00C57BDC">
        <w:rPr>
          <w:szCs w:val="26"/>
        </w:rPr>
        <w:t xml:space="preserve">ystem that are necessary for the reliable operation of the interconnected transmission system but were not identified in the </w:t>
      </w:r>
      <w:r w:rsidR="006A5D3C" w:rsidRPr="00C57BDC">
        <w:rPr>
          <w:szCs w:val="26"/>
        </w:rPr>
        <w:t>b</w:t>
      </w:r>
      <w:r w:rsidR="00256E84" w:rsidRPr="00C57BDC">
        <w:rPr>
          <w:szCs w:val="26"/>
        </w:rPr>
        <w:t xml:space="preserve">ulk </w:t>
      </w:r>
      <w:r w:rsidR="006A5D3C" w:rsidRPr="00C57BDC">
        <w:rPr>
          <w:szCs w:val="26"/>
        </w:rPr>
        <w:t>e</w:t>
      </w:r>
      <w:r w:rsidR="00256E84" w:rsidRPr="00C57BDC">
        <w:rPr>
          <w:szCs w:val="26"/>
        </w:rPr>
        <w:t xml:space="preserve">lectric </w:t>
      </w:r>
      <w:r w:rsidR="006A5D3C" w:rsidRPr="00C57BDC">
        <w:rPr>
          <w:szCs w:val="26"/>
        </w:rPr>
        <w:t>s</w:t>
      </w:r>
      <w:r w:rsidR="00256E84" w:rsidRPr="00C57BDC">
        <w:rPr>
          <w:szCs w:val="26"/>
        </w:rPr>
        <w:t>ystem definition.</w:t>
      </w:r>
      <w:r w:rsidR="006A5D3C" w:rsidRPr="00C57BDC">
        <w:rPr>
          <w:szCs w:val="26"/>
        </w:rPr>
        <w:t xml:space="preserve">  Accordingly, NERC concludes that </w:t>
      </w:r>
      <w:r w:rsidR="00256E84" w:rsidRPr="00C57BDC">
        <w:rPr>
          <w:szCs w:val="26"/>
        </w:rPr>
        <w:t xml:space="preserve">it is </w:t>
      </w:r>
      <w:r w:rsidR="006A5D3C" w:rsidRPr="00C57BDC">
        <w:rPr>
          <w:szCs w:val="26"/>
        </w:rPr>
        <w:t xml:space="preserve">not </w:t>
      </w:r>
      <w:r w:rsidR="00256E84" w:rsidRPr="00C57BDC">
        <w:rPr>
          <w:szCs w:val="26"/>
        </w:rPr>
        <w:t>necessary to include non-</w:t>
      </w:r>
      <w:r w:rsidR="006A5D3C" w:rsidRPr="00C57BDC">
        <w:rPr>
          <w:szCs w:val="26"/>
        </w:rPr>
        <w:t>b</w:t>
      </w:r>
      <w:r w:rsidR="00256E84" w:rsidRPr="00C57BDC">
        <w:rPr>
          <w:szCs w:val="26"/>
        </w:rPr>
        <w:t xml:space="preserve">ulk </w:t>
      </w:r>
      <w:r w:rsidR="006A5D3C" w:rsidRPr="00C57BDC">
        <w:rPr>
          <w:szCs w:val="26"/>
        </w:rPr>
        <w:t>e</w:t>
      </w:r>
      <w:r w:rsidR="00256E84" w:rsidRPr="00C57BDC">
        <w:rPr>
          <w:szCs w:val="26"/>
        </w:rPr>
        <w:t xml:space="preserve">lectric </w:t>
      </w:r>
      <w:r w:rsidR="006A5D3C" w:rsidRPr="00C57BDC">
        <w:rPr>
          <w:szCs w:val="26"/>
        </w:rPr>
        <w:t>s</w:t>
      </w:r>
      <w:r w:rsidR="00256E84" w:rsidRPr="00C57BDC">
        <w:rPr>
          <w:szCs w:val="26"/>
        </w:rPr>
        <w:t>ystem monitoring</w:t>
      </w:r>
      <w:r w:rsidR="0003788B" w:rsidRPr="00C57BDC">
        <w:rPr>
          <w:szCs w:val="26"/>
        </w:rPr>
        <w:t xml:space="preserve"> in Reliability Standard TOP-001-3</w:t>
      </w:r>
      <w:r w:rsidR="00256E84" w:rsidRPr="00C57BDC">
        <w:rPr>
          <w:szCs w:val="26"/>
        </w:rPr>
        <w:t>.</w:t>
      </w:r>
      <w:r w:rsidR="006A5D3C" w:rsidRPr="00C57BDC">
        <w:rPr>
          <w:szCs w:val="26"/>
        </w:rPr>
        <w:t xml:space="preserve"> </w:t>
      </w:r>
      <w:r w:rsidR="00256E84" w:rsidRPr="00C57BDC">
        <w:rPr>
          <w:szCs w:val="26"/>
        </w:rPr>
        <w:t xml:space="preserve"> In addition, </w:t>
      </w:r>
      <w:r w:rsidR="006A5D3C" w:rsidRPr="00C57BDC">
        <w:rPr>
          <w:szCs w:val="26"/>
        </w:rPr>
        <w:t xml:space="preserve">NERC explains that </w:t>
      </w:r>
      <w:r w:rsidR="00256E84" w:rsidRPr="00C57BDC">
        <w:rPr>
          <w:szCs w:val="26"/>
        </w:rPr>
        <w:t xml:space="preserve">proposed Reliability Standard TOP-001-3, Requirement R10 requires </w:t>
      </w:r>
      <w:r w:rsidR="006A5D3C" w:rsidRPr="00C57BDC">
        <w:rPr>
          <w:szCs w:val="26"/>
        </w:rPr>
        <w:t>t</w:t>
      </w:r>
      <w:r w:rsidR="00256E84" w:rsidRPr="00C57BDC">
        <w:rPr>
          <w:szCs w:val="26"/>
        </w:rPr>
        <w:t xml:space="preserve">ransmission </w:t>
      </w:r>
      <w:r w:rsidR="006A5D3C" w:rsidRPr="00C57BDC">
        <w:rPr>
          <w:szCs w:val="26"/>
        </w:rPr>
        <w:t>o</w:t>
      </w:r>
      <w:r w:rsidR="00256E84" w:rsidRPr="00C57BDC">
        <w:rPr>
          <w:szCs w:val="26"/>
        </w:rPr>
        <w:t xml:space="preserve">perators to monitor </w:t>
      </w:r>
      <w:r w:rsidR="00046685" w:rsidRPr="00C57BDC">
        <w:rPr>
          <w:szCs w:val="26"/>
        </w:rPr>
        <w:t xml:space="preserve">bulk electric system </w:t>
      </w:r>
      <w:r w:rsidR="006A5D3C" w:rsidRPr="00C57BDC">
        <w:rPr>
          <w:szCs w:val="26"/>
        </w:rPr>
        <w:t>f</w:t>
      </w:r>
      <w:r w:rsidR="00256E84" w:rsidRPr="00C57BDC">
        <w:rPr>
          <w:szCs w:val="26"/>
        </w:rPr>
        <w:t xml:space="preserve">acilities within their </w:t>
      </w:r>
      <w:r w:rsidR="006A5D3C" w:rsidRPr="00C57BDC">
        <w:rPr>
          <w:szCs w:val="26"/>
        </w:rPr>
        <w:t>t</w:t>
      </w:r>
      <w:r w:rsidR="00256E84" w:rsidRPr="00C57BDC">
        <w:rPr>
          <w:szCs w:val="26"/>
        </w:rPr>
        <w:t xml:space="preserve">ransmission </w:t>
      </w:r>
      <w:r w:rsidR="006A5D3C" w:rsidRPr="00C57BDC">
        <w:rPr>
          <w:szCs w:val="26"/>
        </w:rPr>
        <w:t>o</w:t>
      </w:r>
      <w:r w:rsidR="00256E84" w:rsidRPr="00C57BDC">
        <w:rPr>
          <w:szCs w:val="26"/>
        </w:rPr>
        <w:t xml:space="preserve">perator </w:t>
      </w:r>
      <w:r w:rsidR="006A5D3C" w:rsidRPr="00C57BDC">
        <w:rPr>
          <w:szCs w:val="26"/>
        </w:rPr>
        <w:t>a</w:t>
      </w:r>
      <w:r w:rsidR="00256E84" w:rsidRPr="00C57BDC">
        <w:rPr>
          <w:szCs w:val="26"/>
        </w:rPr>
        <w:t xml:space="preserve">rea, and to obtain information deemed </w:t>
      </w:r>
      <w:r w:rsidR="00256E84" w:rsidRPr="00C57BDC">
        <w:rPr>
          <w:szCs w:val="26"/>
        </w:rPr>
        <w:lastRenderedPageBreak/>
        <w:t xml:space="preserve">necessary by the </w:t>
      </w:r>
      <w:r w:rsidR="006A5D3C" w:rsidRPr="00C57BDC">
        <w:rPr>
          <w:szCs w:val="26"/>
        </w:rPr>
        <w:t>t</w:t>
      </w:r>
      <w:r w:rsidR="00256E84" w:rsidRPr="00C57BDC">
        <w:rPr>
          <w:szCs w:val="26"/>
        </w:rPr>
        <w:t xml:space="preserve">ransmission </w:t>
      </w:r>
      <w:r w:rsidR="006A5D3C" w:rsidRPr="00C57BDC">
        <w:rPr>
          <w:szCs w:val="26"/>
        </w:rPr>
        <w:t>o</w:t>
      </w:r>
      <w:r w:rsidR="00256E84" w:rsidRPr="00C57BDC">
        <w:rPr>
          <w:szCs w:val="26"/>
        </w:rPr>
        <w:t xml:space="preserve">perator about such </w:t>
      </w:r>
      <w:r w:rsidR="00046685" w:rsidRPr="00C57BDC">
        <w:rPr>
          <w:szCs w:val="26"/>
        </w:rPr>
        <w:t xml:space="preserve">bulk electric system </w:t>
      </w:r>
      <w:r w:rsidR="006A5D3C" w:rsidRPr="00C57BDC">
        <w:rPr>
          <w:szCs w:val="26"/>
        </w:rPr>
        <w:t>f</w:t>
      </w:r>
      <w:r w:rsidR="00256E84" w:rsidRPr="00C57BDC">
        <w:rPr>
          <w:szCs w:val="26"/>
        </w:rPr>
        <w:t xml:space="preserve">acilities located outside of the </w:t>
      </w:r>
      <w:r w:rsidR="006A5D3C" w:rsidRPr="00C57BDC">
        <w:rPr>
          <w:szCs w:val="26"/>
        </w:rPr>
        <w:t>t</w:t>
      </w:r>
      <w:r w:rsidR="00256E84" w:rsidRPr="00C57BDC">
        <w:rPr>
          <w:szCs w:val="26"/>
        </w:rPr>
        <w:t xml:space="preserve">ransmission </w:t>
      </w:r>
      <w:r w:rsidR="006A5D3C" w:rsidRPr="00C57BDC">
        <w:rPr>
          <w:szCs w:val="26"/>
        </w:rPr>
        <w:t>o</w:t>
      </w:r>
      <w:r w:rsidR="00256E84" w:rsidRPr="00C57BDC">
        <w:rPr>
          <w:szCs w:val="26"/>
        </w:rPr>
        <w:t xml:space="preserve">perator </w:t>
      </w:r>
      <w:r w:rsidR="006A5D3C" w:rsidRPr="00C57BDC">
        <w:rPr>
          <w:szCs w:val="26"/>
        </w:rPr>
        <w:t>a</w:t>
      </w:r>
      <w:r w:rsidR="00256E84" w:rsidRPr="00C57BDC">
        <w:rPr>
          <w:szCs w:val="26"/>
        </w:rPr>
        <w:t>rea when determining SOL exceedances.</w:t>
      </w:r>
    </w:p>
    <w:p w14:paraId="4D4999B9" w14:textId="304D54E4" w:rsidR="00256E84" w:rsidRPr="00C57BDC" w:rsidRDefault="006A5D3C" w:rsidP="00A0637A">
      <w:pPr>
        <w:pStyle w:val="FERCparanumber"/>
        <w:tabs>
          <w:tab w:val="clear" w:pos="810"/>
          <w:tab w:val="num" w:pos="720"/>
        </w:tabs>
        <w:ind w:left="0"/>
        <w:rPr>
          <w:szCs w:val="26"/>
        </w:rPr>
      </w:pPr>
      <w:r w:rsidRPr="00C57BDC">
        <w:rPr>
          <w:szCs w:val="26"/>
        </w:rPr>
        <w:t>NERC adds that w</w:t>
      </w:r>
      <w:r w:rsidR="00256E84" w:rsidRPr="00C57BDC">
        <w:rPr>
          <w:szCs w:val="26"/>
        </w:rPr>
        <w:t>hen non-</w:t>
      </w:r>
      <w:r w:rsidRPr="00C57BDC">
        <w:rPr>
          <w:szCs w:val="26"/>
        </w:rPr>
        <w:t>b</w:t>
      </w:r>
      <w:r w:rsidR="00256E84" w:rsidRPr="00C57BDC">
        <w:rPr>
          <w:szCs w:val="26"/>
        </w:rPr>
        <w:t xml:space="preserve">ulk </w:t>
      </w:r>
      <w:r w:rsidRPr="00C57BDC">
        <w:rPr>
          <w:szCs w:val="26"/>
        </w:rPr>
        <w:t>e</w:t>
      </w:r>
      <w:r w:rsidR="00256E84" w:rsidRPr="00C57BDC">
        <w:rPr>
          <w:szCs w:val="26"/>
        </w:rPr>
        <w:t xml:space="preserve">lectric </w:t>
      </w:r>
      <w:r w:rsidRPr="00C57BDC">
        <w:rPr>
          <w:szCs w:val="26"/>
        </w:rPr>
        <w:t>f</w:t>
      </w:r>
      <w:r w:rsidR="00256E84" w:rsidRPr="00C57BDC">
        <w:rPr>
          <w:szCs w:val="26"/>
        </w:rPr>
        <w:t xml:space="preserve">acilities have no impact on the </w:t>
      </w:r>
      <w:r w:rsidRPr="00C57BDC">
        <w:rPr>
          <w:szCs w:val="26"/>
        </w:rPr>
        <w:t>b</w:t>
      </w:r>
      <w:r w:rsidR="00256E84" w:rsidRPr="00C57BDC">
        <w:rPr>
          <w:szCs w:val="26"/>
        </w:rPr>
        <w:t xml:space="preserve">ulk </w:t>
      </w:r>
      <w:r w:rsidRPr="00C57BDC">
        <w:rPr>
          <w:szCs w:val="26"/>
        </w:rPr>
        <w:t>e</w:t>
      </w:r>
      <w:r w:rsidR="00256E84" w:rsidRPr="00C57BDC">
        <w:rPr>
          <w:szCs w:val="26"/>
        </w:rPr>
        <w:t xml:space="preserve">lectric </w:t>
      </w:r>
      <w:r w:rsidRPr="00C57BDC">
        <w:rPr>
          <w:szCs w:val="26"/>
        </w:rPr>
        <w:t>s</w:t>
      </w:r>
      <w:r w:rsidR="00256E84" w:rsidRPr="00C57BDC">
        <w:rPr>
          <w:szCs w:val="26"/>
        </w:rPr>
        <w:t xml:space="preserve">ystem, but are needed for completing system models, the Commission-approved </w:t>
      </w:r>
      <w:r w:rsidRPr="00C57BDC">
        <w:rPr>
          <w:szCs w:val="26"/>
        </w:rPr>
        <w:t xml:space="preserve">Reliability Standard </w:t>
      </w:r>
      <w:r w:rsidR="00256E84" w:rsidRPr="00C57BDC">
        <w:rPr>
          <w:szCs w:val="26"/>
        </w:rPr>
        <w:t xml:space="preserve">FAC-001-2, Requirement R3 addresses the issue. </w:t>
      </w:r>
      <w:r w:rsidRPr="00C57BDC">
        <w:rPr>
          <w:szCs w:val="26"/>
        </w:rPr>
        <w:t xml:space="preserve"> </w:t>
      </w:r>
      <w:r w:rsidR="00256E84" w:rsidRPr="00C57BDC">
        <w:rPr>
          <w:szCs w:val="26"/>
        </w:rPr>
        <w:t xml:space="preserve">This Reliability Standard requires the </w:t>
      </w:r>
      <w:r w:rsidRPr="00C57BDC">
        <w:rPr>
          <w:szCs w:val="26"/>
        </w:rPr>
        <w:t>r</w:t>
      </w:r>
      <w:r w:rsidR="00256E84" w:rsidRPr="00C57BDC">
        <w:rPr>
          <w:szCs w:val="26"/>
        </w:rPr>
        <w:t xml:space="preserve">eliability </w:t>
      </w:r>
      <w:r w:rsidRPr="00C57BDC">
        <w:rPr>
          <w:szCs w:val="26"/>
        </w:rPr>
        <w:t>c</w:t>
      </w:r>
      <w:r w:rsidR="00256E84" w:rsidRPr="00C57BDC">
        <w:rPr>
          <w:szCs w:val="26"/>
        </w:rPr>
        <w:t xml:space="preserve">oordinator to include in its methodology its entire </w:t>
      </w:r>
      <w:r w:rsidRPr="00C57BDC">
        <w:rPr>
          <w:szCs w:val="26"/>
        </w:rPr>
        <w:t>r</w:t>
      </w:r>
      <w:r w:rsidR="00256E84" w:rsidRPr="00C57BDC">
        <w:rPr>
          <w:szCs w:val="26"/>
        </w:rPr>
        <w:t xml:space="preserve">eliability </w:t>
      </w:r>
      <w:r w:rsidRPr="00C57BDC">
        <w:rPr>
          <w:szCs w:val="26"/>
        </w:rPr>
        <w:t>c</w:t>
      </w:r>
      <w:r w:rsidR="00256E84" w:rsidRPr="00C57BDC">
        <w:rPr>
          <w:szCs w:val="26"/>
        </w:rPr>
        <w:t xml:space="preserve">oordinator </w:t>
      </w:r>
      <w:r w:rsidRPr="00C57BDC">
        <w:rPr>
          <w:szCs w:val="26"/>
        </w:rPr>
        <w:t>a</w:t>
      </w:r>
      <w:r w:rsidR="00256E84" w:rsidRPr="00C57BDC">
        <w:rPr>
          <w:szCs w:val="26"/>
        </w:rPr>
        <w:t xml:space="preserve">rea and critical modeling details from other </w:t>
      </w:r>
      <w:r w:rsidRPr="00C57BDC">
        <w:rPr>
          <w:szCs w:val="26"/>
        </w:rPr>
        <w:t>r</w:t>
      </w:r>
      <w:r w:rsidR="00256E84" w:rsidRPr="00C57BDC">
        <w:rPr>
          <w:szCs w:val="26"/>
        </w:rPr>
        <w:t xml:space="preserve">eliability </w:t>
      </w:r>
      <w:r w:rsidRPr="00C57BDC">
        <w:rPr>
          <w:szCs w:val="26"/>
        </w:rPr>
        <w:t>c</w:t>
      </w:r>
      <w:r w:rsidR="00256E84" w:rsidRPr="00C57BDC">
        <w:rPr>
          <w:szCs w:val="26"/>
        </w:rPr>
        <w:t xml:space="preserve">oordinator </w:t>
      </w:r>
      <w:r w:rsidRPr="00C57BDC">
        <w:rPr>
          <w:szCs w:val="26"/>
        </w:rPr>
        <w:t>a</w:t>
      </w:r>
      <w:r w:rsidR="00256E84" w:rsidRPr="00C57BDC">
        <w:rPr>
          <w:szCs w:val="26"/>
        </w:rPr>
        <w:t xml:space="preserve">reas that would affect the </w:t>
      </w:r>
      <w:r w:rsidRPr="00C57BDC">
        <w:rPr>
          <w:szCs w:val="26"/>
        </w:rPr>
        <w:t>f</w:t>
      </w:r>
      <w:r w:rsidR="00256E84" w:rsidRPr="00C57BDC">
        <w:rPr>
          <w:szCs w:val="26"/>
        </w:rPr>
        <w:t xml:space="preserve">acility under study. </w:t>
      </w:r>
      <w:r w:rsidRPr="00C57BDC">
        <w:rPr>
          <w:szCs w:val="26"/>
        </w:rPr>
        <w:t xml:space="preserve"> </w:t>
      </w:r>
      <w:r w:rsidR="00256E84" w:rsidRPr="00C57BDC">
        <w:rPr>
          <w:szCs w:val="26"/>
        </w:rPr>
        <w:t xml:space="preserve">In addition, the </w:t>
      </w:r>
      <w:r w:rsidRPr="00C57BDC">
        <w:rPr>
          <w:szCs w:val="26"/>
        </w:rPr>
        <w:t>r</w:t>
      </w:r>
      <w:r w:rsidR="00256E84" w:rsidRPr="00C57BDC">
        <w:rPr>
          <w:szCs w:val="26"/>
        </w:rPr>
        <w:t xml:space="preserve">eliability </w:t>
      </w:r>
      <w:r w:rsidRPr="00C57BDC">
        <w:rPr>
          <w:szCs w:val="26"/>
        </w:rPr>
        <w:t>c</w:t>
      </w:r>
      <w:r w:rsidR="00256E84" w:rsidRPr="00C57BDC">
        <w:rPr>
          <w:szCs w:val="26"/>
        </w:rPr>
        <w:t>oordinator must include details of system models used to determine SOLs.</w:t>
      </w:r>
    </w:p>
    <w:p w14:paraId="1B9B30AA" w14:textId="77777777" w:rsidR="00EE3540" w:rsidRPr="00C57BDC" w:rsidRDefault="00A6179C" w:rsidP="0067456F">
      <w:pPr>
        <w:pStyle w:val="FERCparanumber"/>
        <w:numPr>
          <w:ilvl w:val="0"/>
          <w:numId w:val="0"/>
        </w:numPr>
        <w:rPr>
          <w:b/>
          <w:szCs w:val="26"/>
          <w:u w:val="single"/>
        </w:rPr>
      </w:pPr>
      <w:r w:rsidRPr="00C57BDC">
        <w:rPr>
          <w:szCs w:val="26"/>
        </w:rPr>
        <w:tab/>
      </w:r>
      <w:r w:rsidRPr="00C57BDC">
        <w:rPr>
          <w:b/>
          <w:szCs w:val="26"/>
          <w:u w:val="single"/>
        </w:rPr>
        <w:t>Revisions to IRO Standards</w:t>
      </w:r>
    </w:p>
    <w:p w14:paraId="2BA6B729" w14:textId="61A15CE9" w:rsidR="003E6BFA" w:rsidRPr="00C57BDC" w:rsidRDefault="00FB2DA0" w:rsidP="00A0637A">
      <w:pPr>
        <w:pStyle w:val="FERCparanumber"/>
        <w:tabs>
          <w:tab w:val="clear" w:pos="810"/>
          <w:tab w:val="num" w:pos="720"/>
        </w:tabs>
        <w:ind w:left="0"/>
        <w:rPr>
          <w:szCs w:val="26"/>
        </w:rPr>
      </w:pPr>
      <w:r w:rsidRPr="00C57BDC">
        <w:rPr>
          <w:szCs w:val="26"/>
        </w:rPr>
        <w:t xml:space="preserve">The proposed IRO Reliability Standards, which complement the proposed TOP Standards, are designed to ensure that the </w:t>
      </w:r>
      <w:r w:rsidR="00837B41" w:rsidRPr="00C57BDC">
        <w:rPr>
          <w:szCs w:val="26"/>
        </w:rPr>
        <w:t>b</w:t>
      </w:r>
      <w:r w:rsidRPr="00C57BDC">
        <w:rPr>
          <w:szCs w:val="26"/>
        </w:rPr>
        <w:t xml:space="preserve">ulk </w:t>
      </w:r>
      <w:r w:rsidR="00837B41" w:rsidRPr="00C57BDC">
        <w:rPr>
          <w:szCs w:val="26"/>
        </w:rPr>
        <w:t>e</w:t>
      </w:r>
      <w:r w:rsidRPr="00C57BDC">
        <w:rPr>
          <w:szCs w:val="26"/>
        </w:rPr>
        <w:t xml:space="preserve">lectric </w:t>
      </w:r>
      <w:r w:rsidR="00837B41" w:rsidRPr="00C57BDC">
        <w:rPr>
          <w:szCs w:val="26"/>
        </w:rPr>
        <w:t>s</w:t>
      </w:r>
      <w:r w:rsidRPr="00C57BDC">
        <w:rPr>
          <w:szCs w:val="26"/>
        </w:rPr>
        <w:t xml:space="preserve">ystem is planned and operated in a coordinated manner to perform reliably under normal and abnormal conditions. </w:t>
      </w:r>
      <w:r w:rsidR="00837B41" w:rsidRPr="00C57BDC">
        <w:rPr>
          <w:szCs w:val="26"/>
        </w:rPr>
        <w:t xml:space="preserve"> </w:t>
      </w:r>
      <w:r w:rsidRPr="00C57BDC">
        <w:rPr>
          <w:szCs w:val="26"/>
        </w:rPr>
        <w:t xml:space="preserve">The proposed IRO Reliability Standards set forth the responsibility and authority of </w:t>
      </w:r>
      <w:r w:rsidR="007668CC" w:rsidRPr="00C57BDC">
        <w:rPr>
          <w:szCs w:val="26"/>
        </w:rPr>
        <w:t>r</w:t>
      </w:r>
      <w:r w:rsidRPr="00C57BDC">
        <w:rPr>
          <w:szCs w:val="26"/>
        </w:rPr>
        <w:t xml:space="preserve">eliability </w:t>
      </w:r>
      <w:r w:rsidR="007668CC" w:rsidRPr="00C57BDC">
        <w:rPr>
          <w:szCs w:val="26"/>
        </w:rPr>
        <w:t>c</w:t>
      </w:r>
      <w:r w:rsidRPr="00C57BDC">
        <w:rPr>
          <w:szCs w:val="26"/>
        </w:rPr>
        <w:t xml:space="preserve">oordinators to provide for reliable operations.  </w:t>
      </w:r>
      <w:r w:rsidR="00837B41" w:rsidRPr="00C57BDC">
        <w:rPr>
          <w:szCs w:val="26"/>
        </w:rPr>
        <w:t>NERC states that i</w:t>
      </w:r>
      <w:r w:rsidRPr="00C57BDC">
        <w:rPr>
          <w:szCs w:val="26"/>
        </w:rPr>
        <w:t>n the proposed IRO Reliability Standards</w:t>
      </w:r>
      <w:r w:rsidR="00837B41" w:rsidRPr="00C57BDC">
        <w:rPr>
          <w:szCs w:val="26"/>
        </w:rPr>
        <w:t xml:space="preserve"> re</w:t>
      </w:r>
      <w:r w:rsidRPr="00C57BDC">
        <w:rPr>
          <w:szCs w:val="26"/>
        </w:rPr>
        <w:t xml:space="preserve">liability </w:t>
      </w:r>
      <w:r w:rsidR="00837B41" w:rsidRPr="00C57BDC">
        <w:rPr>
          <w:szCs w:val="26"/>
        </w:rPr>
        <w:t>c</w:t>
      </w:r>
      <w:r w:rsidRPr="00C57BDC">
        <w:rPr>
          <w:szCs w:val="26"/>
        </w:rPr>
        <w:t xml:space="preserve">oordinators must continue to monitor SOLs in addition to their obligation in the currently effective Reliability Standards to monitor and analyze IROLs. </w:t>
      </w:r>
      <w:r w:rsidR="00837B41" w:rsidRPr="00C57BDC">
        <w:rPr>
          <w:szCs w:val="26"/>
        </w:rPr>
        <w:t xml:space="preserve"> </w:t>
      </w:r>
      <w:r w:rsidRPr="00C57BDC">
        <w:rPr>
          <w:szCs w:val="26"/>
        </w:rPr>
        <w:t>These obligations require</w:t>
      </w:r>
      <w:r w:rsidR="00B338E3" w:rsidRPr="00C57BDC">
        <w:rPr>
          <w:szCs w:val="26"/>
        </w:rPr>
        <w:t xml:space="preserve"> </w:t>
      </w:r>
      <w:r w:rsidR="00837B41" w:rsidRPr="00C57BDC">
        <w:rPr>
          <w:szCs w:val="26"/>
        </w:rPr>
        <w:t>r</w:t>
      </w:r>
      <w:r w:rsidRPr="00C57BDC">
        <w:rPr>
          <w:szCs w:val="26"/>
        </w:rPr>
        <w:t xml:space="preserve">eliability </w:t>
      </w:r>
      <w:r w:rsidR="00837B41" w:rsidRPr="00C57BDC">
        <w:rPr>
          <w:szCs w:val="26"/>
        </w:rPr>
        <w:t>c</w:t>
      </w:r>
      <w:r w:rsidRPr="00C57BDC">
        <w:rPr>
          <w:szCs w:val="26"/>
        </w:rPr>
        <w:t>oordinator</w:t>
      </w:r>
      <w:r w:rsidR="00B338E3" w:rsidRPr="00C57BDC">
        <w:rPr>
          <w:szCs w:val="26"/>
        </w:rPr>
        <w:t>s</w:t>
      </w:r>
      <w:r w:rsidRPr="00C57BDC">
        <w:rPr>
          <w:szCs w:val="26"/>
        </w:rPr>
        <w:t xml:space="preserve"> to have the wide-area view necessary for situational awareness and provide them the ability to respond to system conditions that have the potential to negatively affect reliable operations</w:t>
      </w:r>
      <w:r w:rsidR="00256E84" w:rsidRPr="00C57BDC">
        <w:rPr>
          <w:szCs w:val="26"/>
        </w:rPr>
        <w:t>.</w:t>
      </w:r>
    </w:p>
    <w:p w14:paraId="34E47663" w14:textId="77777777" w:rsidR="00A0637A" w:rsidRDefault="00256E84" w:rsidP="0067456F">
      <w:pPr>
        <w:pStyle w:val="Default"/>
        <w:spacing w:after="7"/>
        <w:rPr>
          <w:b/>
          <w:sz w:val="26"/>
          <w:szCs w:val="26"/>
        </w:rPr>
      </w:pPr>
      <w:r w:rsidRPr="00C57BDC">
        <w:rPr>
          <w:b/>
          <w:sz w:val="26"/>
          <w:szCs w:val="26"/>
        </w:rPr>
        <w:tab/>
      </w:r>
    </w:p>
    <w:p w14:paraId="4B937671" w14:textId="77777777" w:rsidR="00A0637A" w:rsidRDefault="00A0637A">
      <w:pPr>
        <w:widowControl/>
        <w:autoSpaceDE/>
        <w:autoSpaceDN/>
        <w:adjustRightInd/>
        <w:rPr>
          <w:b/>
          <w:color w:val="000000"/>
          <w:szCs w:val="26"/>
        </w:rPr>
      </w:pPr>
      <w:r>
        <w:rPr>
          <w:b/>
          <w:szCs w:val="26"/>
        </w:rPr>
        <w:br w:type="page"/>
      </w:r>
    </w:p>
    <w:p w14:paraId="35CD6BB9" w14:textId="73339C8C" w:rsidR="00A6179C" w:rsidRPr="00A0637A" w:rsidRDefault="00A0637A" w:rsidP="0067456F">
      <w:pPr>
        <w:pStyle w:val="Default"/>
        <w:spacing w:after="7"/>
        <w:rPr>
          <w:b/>
          <w:sz w:val="26"/>
          <w:szCs w:val="26"/>
          <w:u w:val="single"/>
        </w:rPr>
      </w:pPr>
      <w:r>
        <w:rPr>
          <w:b/>
          <w:sz w:val="26"/>
          <w:szCs w:val="26"/>
        </w:rPr>
        <w:lastRenderedPageBreak/>
        <w:tab/>
      </w:r>
      <w:r w:rsidR="00A6179C" w:rsidRPr="00A0637A">
        <w:rPr>
          <w:b/>
          <w:sz w:val="26"/>
          <w:szCs w:val="26"/>
          <w:u w:val="single"/>
        </w:rPr>
        <w:t>IRO-001-4 (Reliability Co</w:t>
      </w:r>
      <w:r w:rsidR="00256E84" w:rsidRPr="00A0637A">
        <w:rPr>
          <w:b/>
          <w:sz w:val="26"/>
          <w:szCs w:val="26"/>
          <w:u w:val="single"/>
        </w:rPr>
        <w:t>ordination – Responsibilities)</w:t>
      </w:r>
    </w:p>
    <w:p w14:paraId="24AA6B28" w14:textId="77777777" w:rsidR="00256E84" w:rsidRPr="00C57BDC" w:rsidRDefault="00256E84" w:rsidP="0067456F">
      <w:pPr>
        <w:pStyle w:val="Default"/>
        <w:spacing w:after="7"/>
        <w:rPr>
          <w:sz w:val="26"/>
          <w:szCs w:val="26"/>
        </w:rPr>
      </w:pPr>
    </w:p>
    <w:p w14:paraId="38DD93EE" w14:textId="287B2C59" w:rsidR="000F52E3" w:rsidRPr="00C57BDC" w:rsidRDefault="003E6BFA" w:rsidP="00A0637A">
      <w:pPr>
        <w:pStyle w:val="FERCparanumber"/>
        <w:tabs>
          <w:tab w:val="clear" w:pos="810"/>
          <w:tab w:val="num" w:pos="720"/>
        </w:tabs>
        <w:spacing w:after="7"/>
        <w:ind w:left="0"/>
        <w:rPr>
          <w:b/>
          <w:szCs w:val="26"/>
        </w:rPr>
      </w:pPr>
      <w:r w:rsidRPr="00C57BDC">
        <w:rPr>
          <w:szCs w:val="26"/>
        </w:rPr>
        <w:t xml:space="preserve">Proposed Reliability Standard IRO-001-4 (Reliability Coordination – Responsibilities) contains requirements relating to the </w:t>
      </w:r>
      <w:r w:rsidR="007668CC" w:rsidRPr="00C57BDC">
        <w:rPr>
          <w:szCs w:val="26"/>
        </w:rPr>
        <w:t>r</w:t>
      </w:r>
      <w:r w:rsidRPr="00C57BDC">
        <w:rPr>
          <w:szCs w:val="26"/>
        </w:rPr>
        <w:t xml:space="preserve">eliability </w:t>
      </w:r>
      <w:r w:rsidR="007668CC" w:rsidRPr="00C57BDC">
        <w:rPr>
          <w:szCs w:val="26"/>
        </w:rPr>
        <w:t>c</w:t>
      </w:r>
      <w:r w:rsidRPr="00C57BDC">
        <w:rPr>
          <w:szCs w:val="26"/>
        </w:rPr>
        <w:t xml:space="preserve">oordinator’s overall responsibility for reliable operation within the </w:t>
      </w:r>
      <w:r w:rsidR="00837B41" w:rsidRPr="00C57BDC">
        <w:rPr>
          <w:szCs w:val="26"/>
        </w:rPr>
        <w:t>r</w:t>
      </w:r>
      <w:r w:rsidRPr="00C57BDC">
        <w:rPr>
          <w:szCs w:val="26"/>
        </w:rPr>
        <w:t xml:space="preserve">eliability </w:t>
      </w:r>
      <w:r w:rsidR="00837B41" w:rsidRPr="00C57BDC">
        <w:rPr>
          <w:szCs w:val="26"/>
        </w:rPr>
        <w:t>c</w:t>
      </w:r>
      <w:r w:rsidRPr="00C57BDC">
        <w:rPr>
          <w:szCs w:val="26"/>
        </w:rPr>
        <w:t xml:space="preserve">oordinator </w:t>
      </w:r>
      <w:r w:rsidR="00837B41" w:rsidRPr="00C57BDC">
        <w:rPr>
          <w:szCs w:val="26"/>
        </w:rPr>
        <w:t>a</w:t>
      </w:r>
      <w:r w:rsidRPr="00C57BDC">
        <w:rPr>
          <w:szCs w:val="26"/>
        </w:rPr>
        <w:t xml:space="preserve">rea. </w:t>
      </w:r>
      <w:r w:rsidR="00837B41" w:rsidRPr="00C57BDC">
        <w:rPr>
          <w:szCs w:val="26"/>
        </w:rPr>
        <w:t xml:space="preserve"> Requirement R1 provides that each reliability coordinator must act to address the reliability of its reliability coordinator area through direct actions or by issuing operating instructions.  Requirement R2 provides that each applicable entity must comply with its reliability coordinator’s operating instructions unless compliance cannot be implemented or would violate safety, equipment, regulatory, or statutory requirements.  Requirement R3 provides that applicable entities must inf</w:t>
      </w:r>
      <w:r w:rsidR="00B338E3" w:rsidRPr="00C57BDC">
        <w:rPr>
          <w:szCs w:val="26"/>
        </w:rPr>
        <w:t xml:space="preserve">orm the reliability coordinator </w:t>
      </w:r>
      <w:r w:rsidR="005F04B1" w:rsidRPr="00C57BDC">
        <w:rPr>
          <w:szCs w:val="26"/>
        </w:rPr>
        <w:t>if they are</w:t>
      </w:r>
      <w:r w:rsidR="00837B41" w:rsidRPr="00C57BDC">
        <w:rPr>
          <w:szCs w:val="26"/>
        </w:rPr>
        <w:t xml:space="preserve"> unable to perform an operating instruction issued by its reliability coordinator. </w:t>
      </w:r>
    </w:p>
    <w:p w14:paraId="2780E65B" w14:textId="77777777" w:rsidR="00A6179C" w:rsidRPr="00591171" w:rsidRDefault="000F52E3" w:rsidP="0067456F">
      <w:pPr>
        <w:pStyle w:val="FERCparanumber"/>
        <w:numPr>
          <w:ilvl w:val="0"/>
          <w:numId w:val="0"/>
        </w:numPr>
        <w:spacing w:after="7"/>
        <w:rPr>
          <w:b/>
          <w:szCs w:val="26"/>
          <w:u w:val="single"/>
        </w:rPr>
      </w:pPr>
      <w:r w:rsidRPr="00C57BDC">
        <w:rPr>
          <w:b/>
          <w:color w:val="000000"/>
          <w:szCs w:val="26"/>
        </w:rPr>
        <w:tab/>
      </w:r>
      <w:r w:rsidR="00A6179C" w:rsidRPr="00591171">
        <w:rPr>
          <w:b/>
          <w:color w:val="000000"/>
          <w:szCs w:val="26"/>
          <w:u w:val="single"/>
        </w:rPr>
        <w:t>IRO-002-4 (Reliability Coordination –</w:t>
      </w:r>
      <w:r w:rsidR="008E7B16" w:rsidRPr="00591171">
        <w:rPr>
          <w:b/>
          <w:color w:val="000000"/>
          <w:szCs w:val="26"/>
          <w:u w:val="single"/>
        </w:rPr>
        <w:t xml:space="preserve"> </w:t>
      </w:r>
      <w:r w:rsidR="00A6179C" w:rsidRPr="00591171">
        <w:rPr>
          <w:b/>
          <w:color w:val="000000"/>
          <w:szCs w:val="26"/>
          <w:u w:val="single"/>
        </w:rPr>
        <w:t>Monitoring and Analysis</w:t>
      </w:r>
      <w:r w:rsidR="00256E84" w:rsidRPr="00591171">
        <w:rPr>
          <w:b/>
          <w:color w:val="000000"/>
          <w:szCs w:val="26"/>
          <w:u w:val="single"/>
        </w:rPr>
        <w:t>)</w:t>
      </w:r>
      <w:r w:rsidR="00A6179C" w:rsidRPr="00591171">
        <w:rPr>
          <w:b/>
          <w:szCs w:val="26"/>
          <w:u w:val="single"/>
        </w:rPr>
        <w:t xml:space="preserve"> </w:t>
      </w:r>
    </w:p>
    <w:p w14:paraId="1712032F" w14:textId="5FBDF865" w:rsidR="00837B41" w:rsidRPr="00C57BDC" w:rsidRDefault="003E6BFA" w:rsidP="00591171">
      <w:pPr>
        <w:pStyle w:val="FERCparanumber"/>
        <w:tabs>
          <w:tab w:val="clear" w:pos="810"/>
          <w:tab w:val="num" w:pos="720"/>
        </w:tabs>
        <w:ind w:left="0"/>
        <w:rPr>
          <w:szCs w:val="26"/>
        </w:rPr>
      </w:pPr>
      <w:r w:rsidRPr="00C57BDC">
        <w:rPr>
          <w:szCs w:val="26"/>
        </w:rPr>
        <w:t xml:space="preserve">Proposed Reliability Standard IRO-002-4 (Reliability Coordination – Monitoring and Analysis) contains requirements relating to capabilities for </w:t>
      </w:r>
      <w:r w:rsidR="000F52E3" w:rsidRPr="00C57BDC">
        <w:rPr>
          <w:szCs w:val="26"/>
        </w:rPr>
        <w:t>monitoring and analysis of r</w:t>
      </w:r>
      <w:r w:rsidRPr="00C57BDC">
        <w:rPr>
          <w:szCs w:val="26"/>
        </w:rPr>
        <w:t xml:space="preserve">eal-time operating data. </w:t>
      </w:r>
      <w:r w:rsidR="00397586">
        <w:rPr>
          <w:szCs w:val="26"/>
        </w:rPr>
        <w:t xml:space="preserve"> </w:t>
      </w:r>
      <w:r w:rsidRPr="00C57BDC">
        <w:rPr>
          <w:szCs w:val="26"/>
        </w:rPr>
        <w:t>The purpose of the proposed Reli</w:t>
      </w:r>
      <w:r w:rsidR="000F52E3" w:rsidRPr="00C57BDC">
        <w:rPr>
          <w:szCs w:val="26"/>
        </w:rPr>
        <w:t>ability Standard is to provide s</w:t>
      </w:r>
      <w:r w:rsidRPr="00C57BDC">
        <w:rPr>
          <w:szCs w:val="26"/>
        </w:rPr>
        <w:t xml:space="preserve">ystem </w:t>
      </w:r>
      <w:r w:rsidR="000F52E3" w:rsidRPr="00C57BDC">
        <w:rPr>
          <w:szCs w:val="26"/>
        </w:rPr>
        <w:t>o</w:t>
      </w:r>
      <w:r w:rsidRPr="00C57BDC">
        <w:rPr>
          <w:szCs w:val="26"/>
        </w:rPr>
        <w:t>perators with the capabilities necessary to monitor and analyze data needed to perform reliability functions.</w:t>
      </w:r>
      <w:r w:rsidR="000F52E3" w:rsidRPr="00C57BDC">
        <w:rPr>
          <w:szCs w:val="26"/>
        </w:rPr>
        <w:t xml:space="preserve">  </w:t>
      </w:r>
      <w:r w:rsidR="00837B41" w:rsidRPr="00C57BDC">
        <w:rPr>
          <w:szCs w:val="26"/>
        </w:rPr>
        <w:t xml:space="preserve">Requirement R1 requires each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 to have data exchange capabilities with its </w:t>
      </w:r>
      <w:r w:rsidR="000F52E3" w:rsidRPr="00C57BDC">
        <w:rPr>
          <w:szCs w:val="26"/>
        </w:rPr>
        <w:t>b</w:t>
      </w:r>
      <w:r w:rsidR="00837B41" w:rsidRPr="00C57BDC">
        <w:rPr>
          <w:szCs w:val="26"/>
        </w:rPr>
        <w:t xml:space="preserve">alancing </w:t>
      </w:r>
      <w:r w:rsidR="000F52E3" w:rsidRPr="00C57BDC">
        <w:rPr>
          <w:szCs w:val="26"/>
        </w:rPr>
        <w:t>a</w:t>
      </w:r>
      <w:r w:rsidR="00837B41" w:rsidRPr="00C57BDC">
        <w:rPr>
          <w:szCs w:val="26"/>
        </w:rPr>
        <w:t xml:space="preserve">uthorities, </w:t>
      </w:r>
      <w:r w:rsidR="000F52E3" w:rsidRPr="00C57BDC">
        <w:rPr>
          <w:szCs w:val="26"/>
        </w:rPr>
        <w:t>t</w:t>
      </w:r>
      <w:r w:rsidR="00837B41" w:rsidRPr="00C57BDC">
        <w:rPr>
          <w:szCs w:val="26"/>
        </w:rPr>
        <w:t xml:space="preserve">ransmission </w:t>
      </w:r>
      <w:r w:rsidR="000F52E3" w:rsidRPr="00C57BDC">
        <w:rPr>
          <w:szCs w:val="26"/>
        </w:rPr>
        <w:t>o</w:t>
      </w:r>
      <w:r w:rsidR="00837B41" w:rsidRPr="00C57BDC">
        <w:rPr>
          <w:szCs w:val="26"/>
        </w:rPr>
        <w:t xml:space="preserve">perators, and other entities as it deems necessary, for it to perform </w:t>
      </w:r>
      <w:r w:rsidR="000F52E3" w:rsidRPr="00C57BDC">
        <w:rPr>
          <w:szCs w:val="26"/>
        </w:rPr>
        <w:t>o</w:t>
      </w:r>
      <w:r w:rsidR="00837B41" w:rsidRPr="00C57BDC">
        <w:rPr>
          <w:szCs w:val="26"/>
        </w:rPr>
        <w:t xml:space="preserve">perational </w:t>
      </w:r>
      <w:r w:rsidR="000F52E3" w:rsidRPr="00C57BDC">
        <w:rPr>
          <w:szCs w:val="26"/>
        </w:rPr>
        <w:t>p</w:t>
      </w:r>
      <w:r w:rsidR="00837B41" w:rsidRPr="00C57BDC">
        <w:rPr>
          <w:szCs w:val="26"/>
        </w:rPr>
        <w:t xml:space="preserve">lanning </w:t>
      </w:r>
      <w:r w:rsidR="000F52E3" w:rsidRPr="00C57BDC">
        <w:rPr>
          <w:szCs w:val="26"/>
        </w:rPr>
        <w:t>a</w:t>
      </w:r>
      <w:r w:rsidR="00B338E3" w:rsidRPr="00C57BDC">
        <w:rPr>
          <w:szCs w:val="26"/>
        </w:rPr>
        <w:t>nalyse</w:t>
      </w:r>
      <w:r w:rsidR="00837B41" w:rsidRPr="00C57BDC">
        <w:rPr>
          <w:szCs w:val="26"/>
        </w:rPr>
        <w:t xml:space="preserve">s, </w:t>
      </w:r>
      <w:r w:rsidR="000F52E3" w:rsidRPr="00C57BDC">
        <w:rPr>
          <w:szCs w:val="26"/>
        </w:rPr>
        <w:t>r</w:t>
      </w:r>
      <w:r w:rsidR="00837B41" w:rsidRPr="00C57BDC">
        <w:rPr>
          <w:szCs w:val="26"/>
        </w:rPr>
        <w:t xml:space="preserve">eal-time monitoring, and </w:t>
      </w:r>
      <w:r w:rsidR="000F52E3" w:rsidRPr="00C57BDC">
        <w:rPr>
          <w:szCs w:val="26"/>
        </w:rPr>
        <w:t>r</w:t>
      </w:r>
      <w:r w:rsidR="00837B41" w:rsidRPr="00C57BDC">
        <w:rPr>
          <w:szCs w:val="26"/>
        </w:rPr>
        <w:t xml:space="preserve">eal-time </w:t>
      </w:r>
      <w:r w:rsidR="000F52E3" w:rsidRPr="00C57BDC">
        <w:rPr>
          <w:szCs w:val="26"/>
        </w:rPr>
        <w:t>a</w:t>
      </w:r>
      <w:r w:rsidR="00837B41" w:rsidRPr="00C57BDC">
        <w:rPr>
          <w:szCs w:val="26"/>
        </w:rPr>
        <w:t>ssessments.</w:t>
      </w:r>
      <w:r w:rsidR="000F52E3" w:rsidRPr="00C57BDC">
        <w:rPr>
          <w:szCs w:val="26"/>
        </w:rPr>
        <w:t xml:space="preserve">  </w:t>
      </w:r>
      <w:r w:rsidR="00837B41" w:rsidRPr="00C57BDC">
        <w:rPr>
          <w:szCs w:val="26"/>
        </w:rPr>
        <w:t xml:space="preserve">Requirement R2 provides that each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 must provide its </w:t>
      </w:r>
      <w:r w:rsidR="000F52E3" w:rsidRPr="00C57BDC">
        <w:rPr>
          <w:szCs w:val="26"/>
        </w:rPr>
        <w:t>s</w:t>
      </w:r>
      <w:r w:rsidR="00837B41" w:rsidRPr="00C57BDC">
        <w:rPr>
          <w:szCs w:val="26"/>
        </w:rPr>
        <w:t xml:space="preserve">ystem </w:t>
      </w:r>
      <w:r w:rsidR="000F52E3" w:rsidRPr="00C57BDC">
        <w:rPr>
          <w:szCs w:val="26"/>
        </w:rPr>
        <w:t>o</w:t>
      </w:r>
      <w:r w:rsidR="00837B41" w:rsidRPr="00C57BDC">
        <w:rPr>
          <w:szCs w:val="26"/>
        </w:rPr>
        <w:t>perators with the authority to approve planned outages and maintenance of its telecommunication, monitor</w:t>
      </w:r>
      <w:r w:rsidR="000F52E3" w:rsidRPr="00C57BDC">
        <w:rPr>
          <w:szCs w:val="26"/>
        </w:rPr>
        <w:t xml:space="preserve">ing, and </w:t>
      </w:r>
      <w:r w:rsidR="000F52E3" w:rsidRPr="00C57BDC">
        <w:rPr>
          <w:szCs w:val="26"/>
        </w:rPr>
        <w:lastRenderedPageBreak/>
        <w:t xml:space="preserve">analysis capabilities.  </w:t>
      </w:r>
      <w:r w:rsidR="00837B41" w:rsidRPr="00C57BDC">
        <w:rPr>
          <w:szCs w:val="26"/>
        </w:rPr>
        <w:t xml:space="preserve">Requirement R3 provides that each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 must monitor </w:t>
      </w:r>
      <w:r w:rsidR="000F52E3" w:rsidRPr="00C57BDC">
        <w:rPr>
          <w:szCs w:val="26"/>
        </w:rPr>
        <w:t>facilities</w:t>
      </w:r>
      <w:r w:rsidR="00CE21A0" w:rsidRPr="00C57BDC">
        <w:rPr>
          <w:szCs w:val="26"/>
        </w:rPr>
        <w:t>, the status of special protection systems and non-bulk electric system facilities identified as necessary</w:t>
      </w:r>
      <w:r w:rsidR="000F52E3" w:rsidRPr="00C57BDC">
        <w:rPr>
          <w:szCs w:val="26"/>
        </w:rPr>
        <w:t xml:space="preserve"> </w:t>
      </w:r>
      <w:r w:rsidR="00837B41" w:rsidRPr="00C57BDC">
        <w:rPr>
          <w:szCs w:val="26"/>
        </w:rPr>
        <w:t xml:space="preserve">within its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 </w:t>
      </w:r>
      <w:r w:rsidR="000F52E3" w:rsidRPr="00C57BDC">
        <w:rPr>
          <w:szCs w:val="26"/>
        </w:rPr>
        <w:t>a</w:t>
      </w:r>
      <w:r w:rsidR="00837B41" w:rsidRPr="00C57BDC">
        <w:rPr>
          <w:szCs w:val="26"/>
        </w:rPr>
        <w:t xml:space="preserve">rea and neighboring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 </w:t>
      </w:r>
      <w:r w:rsidR="000F52E3" w:rsidRPr="00C57BDC">
        <w:rPr>
          <w:szCs w:val="26"/>
        </w:rPr>
        <w:t>a</w:t>
      </w:r>
      <w:r w:rsidR="00837B41" w:rsidRPr="00C57BDC">
        <w:rPr>
          <w:szCs w:val="26"/>
        </w:rPr>
        <w:t>reas, to identify any SOL or IROL exceedances.</w:t>
      </w:r>
      <w:r w:rsidR="000F52E3" w:rsidRPr="00C57BDC">
        <w:rPr>
          <w:szCs w:val="26"/>
        </w:rPr>
        <w:t xml:space="preserve">  </w:t>
      </w:r>
      <w:r w:rsidR="00837B41" w:rsidRPr="00C57BDC">
        <w:rPr>
          <w:szCs w:val="26"/>
        </w:rPr>
        <w:t xml:space="preserve">Requirement R4 provides that each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 must have monitoring systems that provide information used by the </w:t>
      </w:r>
      <w:r w:rsidR="000F52E3" w:rsidRPr="00C57BDC">
        <w:rPr>
          <w:szCs w:val="26"/>
        </w:rPr>
        <w:t>r</w:t>
      </w:r>
      <w:r w:rsidR="00837B41" w:rsidRPr="00C57BDC">
        <w:rPr>
          <w:szCs w:val="26"/>
        </w:rPr>
        <w:t xml:space="preserve">eliability </w:t>
      </w:r>
      <w:r w:rsidR="000F52E3" w:rsidRPr="00C57BDC">
        <w:rPr>
          <w:szCs w:val="26"/>
        </w:rPr>
        <w:t>c</w:t>
      </w:r>
      <w:r w:rsidR="00837B41" w:rsidRPr="00C57BDC">
        <w:rPr>
          <w:szCs w:val="26"/>
        </w:rPr>
        <w:t xml:space="preserve">oordinator’s operating personnel, with particular emphasis to alarm management and awareness systems, automated data transfers, and synchronized information systems, over a redundant infrastructure. </w:t>
      </w:r>
    </w:p>
    <w:p w14:paraId="2910D88C" w14:textId="77777777" w:rsidR="00A6179C" w:rsidRPr="00307B4A" w:rsidRDefault="00A6179C" w:rsidP="00D30B07">
      <w:pPr>
        <w:pStyle w:val="Default"/>
        <w:spacing w:after="7"/>
        <w:ind w:left="720"/>
        <w:rPr>
          <w:b/>
          <w:sz w:val="26"/>
          <w:szCs w:val="26"/>
          <w:u w:val="single"/>
        </w:rPr>
      </w:pPr>
      <w:r w:rsidRPr="00307B4A">
        <w:rPr>
          <w:b/>
          <w:sz w:val="26"/>
          <w:szCs w:val="26"/>
          <w:u w:val="single"/>
        </w:rPr>
        <w:t>IRO-008-2 (Reliability Coordinator Operational Anal</w:t>
      </w:r>
      <w:r w:rsidR="00256E84" w:rsidRPr="00307B4A">
        <w:rPr>
          <w:b/>
          <w:sz w:val="26"/>
          <w:szCs w:val="26"/>
          <w:u w:val="single"/>
        </w:rPr>
        <w:t>yses and Real-time Assessments)</w:t>
      </w:r>
      <w:r w:rsidRPr="00307B4A">
        <w:rPr>
          <w:b/>
          <w:sz w:val="26"/>
          <w:szCs w:val="26"/>
          <w:u w:val="single"/>
        </w:rPr>
        <w:t xml:space="preserve"> </w:t>
      </w:r>
    </w:p>
    <w:p w14:paraId="06504EBA" w14:textId="77777777" w:rsidR="00256E84" w:rsidRPr="00C57BDC" w:rsidRDefault="00256E84" w:rsidP="0067456F">
      <w:pPr>
        <w:pStyle w:val="Default"/>
        <w:spacing w:after="7"/>
        <w:rPr>
          <w:sz w:val="26"/>
          <w:szCs w:val="26"/>
        </w:rPr>
      </w:pPr>
    </w:p>
    <w:p w14:paraId="51E8DD35" w14:textId="5C64E525" w:rsidR="001C0557" w:rsidRPr="00C57BDC" w:rsidRDefault="003E6BFA" w:rsidP="00307B4A">
      <w:pPr>
        <w:pStyle w:val="FERCparanumber"/>
        <w:tabs>
          <w:tab w:val="clear" w:pos="810"/>
          <w:tab w:val="num" w:pos="720"/>
        </w:tabs>
        <w:ind w:left="0"/>
      </w:pPr>
      <w:r w:rsidRPr="00C57BDC">
        <w:t xml:space="preserve">Proposed Reliability Standard IRO-008-2 (Reliability Coordinator Operational Analyses and Real-time Assessments) contains requirements for </w:t>
      </w:r>
      <w:r w:rsidR="001C0557" w:rsidRPr="00C57BDC">
        <w:t>r</w:t>
      </w:r>
      <w:r w:rsidRPr="00C57BDC">
        <w:t xml:space="preserve">eliability </w:t>
      </w:r>
      <w:r w:rsidR="001C0557" w:rsidRPr="00C57BDC">
        <w:t>c</w:t>
      </w:r>
      <w:r w:rsidRPr="00C57BDC">
        <w:t xml:space="preserve">oordinators to conduct next-day analyses and assessments of operating conditions in </w:t>
      </w:r>
      <w:r w:rsidR="001C0557" w:rsidRPr="00C57BDC">
        <w:t>r</w:t>
      </w:r>
      <w:r w:rsidRPr="00C57BDC">
        <w:t xml:space="preserve">eal-time to help prevent instability, uncontrolled separation, or </w:t>
      </w:r>
      <w:r w:rsidR="001C0557" w:rsidRPr="00C57BDC">
        <w:t>c</w:t>
      </w:r>
      <w:r w:rsidRPr="00C57BDC">
        <w:t xml:space="preserve">ascading. </w:t>
      </w:r>
      <w:r w:rsidR="001C0557" w:rsidRPr="00C57BDC">
        <w:t xml:space="preserve"> NERC states that t</w:t>
      </w:r>
      <w:r w:rsidRPr="00C57BDC">
        <w:t xml:space="preserve">he proposed definitions of </w:t>
      </w:r>
      <w:r w:rsidR="001C0557" w:rsidRPr="00C57BDC">
        <w:t>o</w:t>
      </w:r>
      <w:r w:rsidRPr="00C57BDC">
        <w:t xml:space="preserve">perational </w:t>
      </w:r>
      <w:r w:rsidR="001C0557" w:rsidRPr="00C57BDC">
        <w:t>p</w:t>
      </w:r>
      <w:r w:rsidRPr="00C57BDC">
        <w:t xml:space="preserve">lanning </w:t>
      </w:r>
      <w:r w:rsidR="001C0557" w:rsidRPr="00C57BDC">
        <w:t>a</w:t>
      </w:r>
      <w:r w:rsidRPr="00C57BDC">
        <w:t xml:space="preserve">nalysis and </w:t>
      </w:r>
      <w:r w:rsidR="001C0557" w:rsidRPr="00C57BDC">
        <w:t>r</w:t>
      </w:r>
      <w:r w:rsidRPr="00C57BDC">
        <w:t xml:space="preserve">eal-time </w:t>
      </w:r>
      <w:r w:rsidR="001C0557" w:rsidRPr="00C57BDC">
        <w:t>a</w:t>
      </w:r>
      <w:r w:rsidRPr="00C57BDC">
        <w:t xml:space="preserve">ssessment are integral components of proposed </w:t>
      </w:r>
      <w:r w:rsidR="001C0557" w:rsidRPr="00C57BDC">
        <w:t xml:space="preserve">Reliability Standard IRO-008-2 because </w:t>
      </w:r>
      <w:r w:rsidRPr="00C57BDC">
        <w:t xml:space="preserve">they specify the scope and inputs for next-day analysis and real-time assessments of operating conditions in </w:t>
      </w:r>
      <w:r w:rsidR="00131C57" w:rsidRPr="00C57BDC">
        <w:t>r</w:t>
      </w:r>
      <w:r w:rsidRPr="00C57BDC">
        <w:t xml:space="preserve">eal-time. </w:t>
      </w:r>
      <w:r w:rsidR="003D5152" w:rsidRPr="00C57BDC">
        <w:t xml:space="preserve"> </w:t>
      </w:r>
      <w:r w:rsidRPr="00C57BDC">
        <w:t xml:space="preserve">Furthermore, </w:t>
      </w:r>
      <w:r w:rsidR="001C0557" w:rsidRPr="00C57BDC">
        <w:t xml:space="preserve">NERC states that </w:t>
      </w:r>
      <w:r w:rsidRPr="00C57BDC">
        <w:t xml:space="preserve">proposed </w:t>
      </w:r>
      <w:r w:rsidR="001C0557" w:rsidRPr="00C57BDC">
        <w:t xml:space="preserve">Reliability Standard </w:t>
      </w:r>
      <w:r w:rsidRPr="00C57BDC">
        <w:t xml:space="preserve">IRO-008-2 enhances next-day operations planning by specifying requirements for coordination of the </w:t>
      </w:r>
      <w:r w:rsidR="001C0557" w:rsidRPr="00C57BDC">
        <w:t>r</w:t>
      </w:r>
      <w:r w:rsidRPr="00C57BDC">
        <w:t xml:space="preserve">eliability </w:t>
      </w:r>
      <w:r w:rsidR="001C0557" w:rsidRPr="00C57BDC">
        <w:t>c</w:t>
      </w:r>
      <w:r w:rsidRPr="00C57BDC">
        <w:t xml:space="preserve">oordinator's </w:t>
      </w:r>
      <w:r w:rsidR="001C0557" w:rsidRPr="00C57BDC">
        <w:t>o</w:t>
      </w:r>
      <w:r w:rsidRPr="00C57BDC">
        <w:t xml:space="preserve">perating </w:t>
      </w:r>
      <w:r w:rsidR="001C0557" w:rsidRPr="00C57BDC">
        <w:t>p</w:t>
      </w:r>
      <w:r w:rsidRPr="00C57BDC">
        <w:t>lan to address potential SOL and IROL exceedances.</w:t>
      </w:r>
    </w:p>
    <w:p w14:paraId="6D7B1776" w14:textId="4489C99F" w:rsidR="00837B41" w:rsidRPr="00C57BDC" w:rsidRDefault="00837B41" w:rsidP="00B37633">
      <w:pPr>
        <w:pStyle w:val="FERCparanumber"/>
        <w:tabs>
          <w:tab w:val="clear" w:pos="810"/>
          <w:tab w:val="num" w:pos="720"/>
        </w:tabs>
        <w:ind w:left="0"/>
      </w:pPr>
      <w:r w:rsidRPr="00C57BDC">
        <w:t xml:space="preserve">Requirement R1 provides that each </w:t>
      </w:r>
      <w:r w:rsidR="003C2065" w:rsidRPr="00C57BDC">
        <w:t>r</w:t>
      </w:r>
      <w:r w:rsidRPr="00C57BDC">
        <w:t xml:space="preserve">eliability </w:t>
      </w:r>
      <w:r w:rsidR="003C2065" w:rsidRPr="00C57BDC">
        <w:t>c</w:t>
      </w:r>
      <w:r w:rsidRPr="00C57BDC">
        <w:t xml:space="preserve">oordinator must perform an </w:t>
      </w:r>
      <w:r w:rsidR="003C2065" w:rsidRPr="00C57BDC">
        <w:t>o</w:t>
      </w:r>
      <w:r w:rsidRPr="00C57BDC">
        <w:t xml:space="preserve">perational </w:t>
      </w:r>
      <w:r w:rsidR="003C2065" w:rsidRPr="00C57BDC">
        <w:t>p</w:t>
      </w:r>
      <w:r w:rsidRPr="00C57BDC">
        <w:t xml:space="preserve">lanning </w:t>
      </w:r>
      <w:r w:rsidR="003C2065" w:rsidRPr="00C57BDC">
        <w:t>a</w:t>
      </w:r>
      <w:r w:rsidRPr="00C57BDC">
        <w:t xml:space="preserve">nalysis that will allow it to assess whether the planned operations </w:t>
      </w:r>
      <w:r w:rsidRPr="00C57BDC">
        <w:lastRenderedPageBreak/>
        <w:t>for the next day will ex</w:t>
      </w:r>
      <w:r w:rsidR="003C2065" w:rsidRPr="00C57BDC">
        <w:t>ceed SOLs and IROLs</w:t>
      </w:r>
      <w:r w:rsidRPr="00C57BDC">
        <w:t xml:space="preserve">. </w:t>
      </w:r>
      <w:r w:rsidR="001C0557" w:rsidRPr="00C57BDC">
        <w:t xml:space="preserve"> </w:t>
      </w:r>
      <w:r w:rsidRPr="00C57BDC">
        <w:t xml:space="preserve">Requirement R2 </w:t>
      </w:r>
      <w:r w:rsidR="003C2065" w:rsidRPr="00C57BDC">
        <w:t xml:space="preserve">requires </w:t>
      </w:r>
      <w:r w:rsidRPr="00C57BDC">
        <w:t xml:space="preserve">each </w:t>
      </w:r>
      <w:r w:rsidR="003C2065" w:rsidRPr="00C57BDC">
        <w:t>r</w:t>
      </w:r>
      <w:r w:rsidRPr="00C57BDC">
        <w:t xml:space="preserve">eliability </w:t>
      </w:r>
      <w:r w:rsidR="003C2065" w:rsidRPr="00C57BDC">
        <w:t>c</w:t>
      </w:r>
      <w:r w:rsidRPr="00C57BDC">
        <w:t xml:space="preserve">oordinator </w:t>
      </w:r>
      <w:r w:rsidR="003C2065" w:rsidRPr="00C57BDC">
        <w:t xml:space="preserve">to </w:t>
      </w:r>
      <w:r w:rsidRPr="00C57BDC">
        <w:t xml:space="preserve">have a coordinated </w:t>
      </w:r>
      <w:r w:rsidR="003C2065" w:rsidRPr="00C57BDC">
        <w:t>o</w:t>
      </w:r>
      <w:r w:rsidRPr="00C57BDC">
        <w:t xml:space="preserve">perating </w:t>
      </w:r>
      <w:r w:rsidR="003C2065" w:rsidRPr="00C57BDC">
        <w:t>p</w:t>
      </w:r>
      <w:r w:rsidRPr="00C57BDC">
        <w:t xml:space="preserve">lan for next-day operations to address potential SOL and IROL exceedances identified as a result of its </w:t>
      </w:r>
      <w:r w:rsidR="003C2065" w:rsidRPr="00C57BDC">
        <w:t>o</w:t>
      </w:r>
      <w:r w:rsidRPr="00C57BDC">
        <w:t xml:space="preserve">perating </w:t>
      </w:r>
      <w:r w:rsidR="003C2065" w:rsidRPr="00C57BDC">
        <w:t>p</w:t>
      </w:r>
      <w:r w:rsidRPr="00C57BDC">
        <w:t xml:space="preserve">lanning </w:t>
      </w:r>
      <w:r w:rsidR="003C2065" w:rsidRPr="00C57BDC">
        <w:t>a</w:t>
      </w:r>
      <w:r w:rsidRPr="00C57BDC">
        <w:t xml:space="preserve">nalysis. </w:t>
      </w:r>
      <w:r w:rsidR="003C2065" w:rsidRPr="00C57BDC">
        <w:t xml:space="preserve"> </w:t>
      </w:r>
      <w:r w:rsidR="001C0557" w:rsidRPr="00C57BDC">
        <w:t>R</w:t>
      </w:r>
      <w:r w:rsidRPr="00C57BDC">
        <w:t xml:space="preserve">equirement R3 provides that each </w:t>
      </w:r>
      <w:r w:rsidR="003C2065" w:rsidRPr="00C57BDC">
        <w:t>r</w:t>
      </w:r>
      <w:r w:rsidRPr="00C57BDC">
        <w:t xml:space="preserve">eliability </w:t>
      </w:r>
      <w:r w:rsidR="003C2065" w:rsidRPr="00C57BDC">
        <w:t>c</w:t>
      </w:r>
      <w:r w:rsidRPr="00C57BDC">
        <w:t xml:space="preserve">oordinator must notify impacted entities identified in its </w:t>
      </w:r>
      <w:r w:rsidR="003C2065" w:rsidRPr="00C57BDC">
        <w:t>o</w:t>
      </w:r>
      <w:r w:rsidRPr="00C57BDC">
        <w:t xml:space="preserve">perating </w:t>
      </w:r>
      <w:r w:rsidR="003C2065" w:rsidRPr="00C57BDC">
        <w:t>p</w:t>
      </w:r>
      <w:r w:rsidRPr="00C57BDC">
        <w:t xml:space="preserve">lan as to their role in the plan. </w:t>
      </w:r>
      <w:r w:rsidR="003D5152" w:rsidRPr="00C57BDC">
        <w:t xml:space="preserve"> </w:t>
      </w:r>
      <w:r w:rsidRPr="00C57BDC">
        <w:t xml:space="preserve">Requirement R4 </w:t>
      </w:r>
      <w:r w:rsidR="003C2065" w:rsidRPr="00C57BDC">
        <w:t xml:space="preserve">states that </w:t>
      </w:r>
      <w:r w:rsidRPr="00C57BDC">
        <w:t xml:space="preserve">each </w:t>
      </w:r>
      <w:r w:rsidR="003C2065" w:rsidRPr="00C57BDC">
        <w:t>r</w:t>
      </w:r>
      <w:r w:rsidRPr="00C57BDC">
        <w:t xml:space="preserve">eliability </w:t>
      </w:r>
      <w:r w:rsidR="003C2065" w:rsidRPr="00C57BDC">
        <w:t>c</w:t>
      </w:r>
      <w:r w:rsidRPr="00C57BDC">
        <w:t xml:space="preserve">oordinator must ensure that a </w:t>
      </w:r>
      <w:r w:rsidR="003C2065" w:rsidRPr="00C57BDC">
        <w:t>r</w:t>
      </w:r>
      <w:r w:rsidRPr="00C57BDC">
        <w:t xml:space="preserve">eal-time </w:t>
      </w:r>
      <w:r w:rsidR="003C2065" w:rsidRPr="00C57BDC">
        <w:t>a</w:t>
      </w:r>
      <w:r w:rsidRPr="00C57BDC">
        <w:t xml:space="preserve">ssessment is performed at least once every 30 minutes. </w:t>
      </w:r>
      <w:r w:rsidR="001C0557" w:rsidRPr="00C57BDC">
        <w:t xml:space="preserve"> </w:t>
      </w:r>
      <w:r w:rsidRPr="00C57BDC">
        <w:t xml:space="preserve">Requirement R5 provides that each </w:t>
      </w:r>
      <w:r w:rsidR="003C2065" w:rsidRPr="00C57BDC">
        <w:t>r</w:t>
      </w:r>
      <w:r w:rsidRPr="00C57BDC">
        <w:t xml:space="preserve">eliability </w:t>
      </w:r>
      <w:r w:rsidR="003C2065" w:rsidRPr="00C57BDC">
        <w:t>c</w:t>
      </w:r>
      <w:r w:rsidRPr="00C57BDC">
        <w:t xml:space="preserve">oordinator must notify impacted </w:t>
      </w:r>
      <w:r w:rsidR="003C2065" w:rsidRPr="00C57BDC">
        <w:t>t</w:t>
      </w:r>
      <w:r w:rsidRPr="00C57BDC">
        <w:t xml:space="preserve">ransmission </w:t>
      </w:r>
      <w:r w:rsidR="003C2065" w:rsidRPr="00C57BDC">
        <w:t>o</w:t>
      </w:r>
      <w:r w:rsidRPr="00C57BDC">
        <w:t xml:space="preserve">perators and </w:t>
      </w:r>
      <w:r w:rsidR="003C2065" w:rsidRPr="00C57BDC">
        <w:t>b</w:t>
      </w:r>
      <w:r w:rsidRPr="00C57BDC">
        <w:t xml:space="preserve">alancing </w:t>
      </w:r>
      <w:r w:rsidR="003C2065" w:rsidRPr="00C57BDC">
        <w:t>a</w:t>
      </w:r>
      <w:r w:rsidRPr="00C57BDC">
        <w:t xml:space="preserve">uthorities within its </w:t>
      </w:r>
      <w:r w:rsidR="003C2065" w:rsidRPr="00C57BDC">
        <w:t>r</w:t>
      </w:r>
      <w:r w:rsidRPr="00C57BDC">
        <w:t xml:space="preserve">eliability </w:t>
      </w:r>
      <w:r w:rsidR="003C2065" w:rsidRPr="00C57BDC">
        <w:t>c</w:t>
      </w:r>
      <w:r w:rsidRPr="00C57BDC">
        <w:t xml:space="preserve">oordinator </w:t>
      </w:r>
      <w:r w:rsidR="003C2065" w:rsidRPr="00C57BDC">
        <w:t>area</w:t>
      </w:r>
      <w:r w:rsidRPr="00C57BDC">
        <w:t xml:space="preserve"> and other impacted </w:t>
      </w:r>
      <w:r w:rsidR="003C2065" w:rsidRPr="00C57BDC">
        <w:t>r</w:t>
      </w:r>
      <w:r w:rsidRPr="00C57BDC">
        <w:t xml:space="preserve">eliability </w:t>
      </w:r>
      <w:r w:rsidR="003C2065" w:rsidRPr="00C57BDC">
        <w:t>c</w:t>
      </w:r>
      <w:r w:rsidRPr="00C57BDC">
        <w:t xml:space="preserve">oordinators when a </w:t>
      </w:r>
      <w:r w:rsidR="003C2065" w:rsidRPr="00C57BDC">
        <w:t>r</w:t>
      </w:r>
      <w:r w:rsidRPr="00C57BDC">
        <w:t xml:space="preserve">eal-time </w:t>
      </w:r>
      <w:r w:rsidR="003C2065" w:rsidRPr="00C57BDC">
        <w:t>a</w:t>
      </w:r>
      <w:r w:rsidRPr="00C57BDC">
        <w:t>ssessment indicate</w:t>
      </w:r>
      <w:r w:rsidR="003C2065" w:rsidRPr="00C57BDC">
        <w:t>s</w:t>
      </w:r>
      <w:r w:rsidRPr="00C57BDC">
        <w:t xml:space="preserve"> an actual or expected condition that results in, or could result in, a SOL or IROL e</w:t>
      </w:r>
      <w:r w:rsidR="001C0557" w:rsidRPr="00C57BDC">
        <w:t>xceedance</w:t>
      </w:r>
      <w:r w:rsidR="0066307F" w:rsidRPr="00C57BDC">
        <w:t>.  Further</w:t>
      </w:r>
      <w:r w:rsidR="003C2065" w:rsidRPr="00C57BDC">
        <w:t xml:space="preserve">, </w:t>
      </w:r>
      <w:r w:rsidRPr="00C57BDC">
        <w:t xml:space="preserve">Requirement R6 </w:t>
      </w:r>
      <w:r w:rsidR="003C2065" w:rsidRPr="00C57BDC">
        <w:t>provides that each r</w:t>
      </w:r>
      <w:r w:rsidRPr="00C57BDC">
        <w:t xml:space="preserve">eliability </w:t>
      </w:r>
      <w:r w:rsidR="003C2065" w:rsidRPr="00C57BDC">
        <w:t>c</w:t>
      </w:r>
      <w:r w:rsidRPr="00C57BDC">
        <w:t xml:space="preserve">oordinator must notify impacted </w:t>
      </w:r>
      <w:r w:rsidR="003C2065" w:rsidRPr="00C57BDC">
        <w:t xml:space="preserve">entities </w:t>
      </w:r>
      <w:r w:rsidRPr="00C57BDC">
        <w:t xml:space="preserve">when </w:t>
      </w:r>
      <w:r w:rsidR="00B338E3" w:rsidRPr="00C57BDC">
        <w:t>a</w:t>
      </w:r>
      <w:r w:rsidRPr="00C57BDC">
        <w:t xml:space="preserve"> SOL or IROL exceedance has been prevented or mitigated. </w:t>
      </w:r>
    </w:p>
    <w:p w14:paraId="26400893" w14:textId="77777777" w:rsidR="00A6179C" w:rsidRPr="008B017F" w:rsidRDefault="00256E84" w:rsidP="0067456F">
      <w:pPr>
        <w:pStyle w:val="Default"/>
        <w:spacing w:after="7"/>
        <w:rPr>
          <w:b/>
          <w:sz w:val="26"/>
          <w:szCs w:val="26"/>
          <w:u w:val="single"/>
        </w:rPr>
      </w:pPr>
      <w:r w:rsidRPr="00C57BDC">
        <w:rPr>
          <w:sz w:val="26"/>
          <w:szCs w:val="26"/>
        </w:rPr>
        <w:tab/>
      </w:r>
      <w:r w:rsidR="00A6179C" w:rsidRPr="008B017F">
        <w:rPr>
          <w:b/>
          <w:sz w:val="26"/>
          <w:szCs w:val="26"/>
          <w:u w:val="single"/>
        </w:rPr>
        <w:t>IRO-010-2 (Reliability Coordinator Data</w:t>
      </w:r>
      <w:r w:rsidRPr="008B017F">
        <w:rPr>
          <w:b/>
          <w:sz w:val="26"/>
          <w:szCs w:val="26"/>
          <w:u w:val="single"/>
        </w:rPr>
        <w:t xml:space="preserve"> Specification and Collection)</w:t>
      </w:r>
    </w:p>
    <w:p w14:paraId="0195A8E0" w14:textId="77777777" w:rsidR="00A6179C" w:rsidRPr="00C57BDC" w:rsidRDefault="00A6179C" w:rsidP="0067456F">
      <w:pPr>
        <w:pStyle w:val="Default"/>
        <w:spacing w:after="7"/>
        <w:rPr>
          <w:sz w:val="26"/>
          <w:szCs w:val="26"/>
        </w:rPr>
      </w:pPr>
    </w:p>
    <w:p w14:paraId="657C5910" w14:textId="118AA34F" w:rsidR="00837B41" w:rsidRPr="00C57BDC" w:rsidRDefault="003E6BFA" w:rsidP="008B017F">
      <w:pPr>
        <w:pStyle w:val="FERCparanumber"/>
        <w:tabs>
          <w:tab w:val="clear" w:pos="810"/>
          <w:tab w:val="num" w:pos="720"/>
        </w:tabs>
        <w:ind w:left="0"/>
        <w:rPr>
          <w:szCs w:val="26"/>
        </w:rPr>
      </w:pPr>
      <w:r w:rsidRPr="00C57BDC">
        <w:rPr>
          <w:szCs w:val="26"/>
        </w:rPr>
        <w:t xml:space="preserve">Proposed Reliability Standard IRO-010-2 (Reliability Coordinator Data Specification and Collection) provides a mechanism for </w:t>
      </w:r>
      <w:r w:rsidR="00B338E3" w:rsidRPr="00C57BDC">
        <w:rPr>
          <w:szCs w:val="26"/>
        </w:rPr>
        <w:t>a</w:t>
      </w:r>
      <w:r w:rsidRPr="00C57BDC">
        <w:rPr>
          <w:szCs w:val="26"/>
        </w:rPr>
        <w:t xml:space="preserve"> </w:t>
      </w:r>
      <w:r w:rsidR="00267D2B" w:rsidRPr="00C57BDC">
        <w:rPr>
          <w:szCs w:val="26"/>
        </w:rPr>
        <w:t>r</w:t>
      </w:r>
      <w:r w:rsidRPr="00C57BDC">
        <w:rPr>
          <w:szCs w:val="26"/>
        </w:rPr>
        <w:t xml:space="preserve">eliability </w:t>
      </w:r>
      <w:r w:rsidR="00267D2B" w:rsidRPr="00C57BDC">
        <w:rPr>
          <w:szCs w:val="26"/>
        </w:rPr>
        <w:t>c</w:t>
      </w:r>
      <w:r w:rsidRPr="00C57BDC">
        <w:rPr>
          <w:szCs w:val="26"/>
        </w:rPr>
        <w:t xml:space="preserve">oordinator to obtain the information and data it needs for reliable operations and to help prevent instability, uncontrolled separation, or </w:t>
      </w:r>
      <w:r w:rsidR="00267D2B" w:rsidRPr="00C57BDC">
        <w:rPr>
          <w:szCs w:val="26"/>
        </w:rPr>
        <w:t>c</w:t>
      </w:r>
      <w:r w:rsidRPr="00C57BDC">
        <w:rPr>
          <w:szCs w:val="26"/>
        </w:rPr>
        <w:t xml:space="preserve">ascading outages. </w:t>
      </w:r>
      <w:r w:rsidR="00267D2B" w:rsidRPr="00C57BDC">
        <w:rPr>
          <w:szCs w:val="26"/>
        </w:rPr>
        <w:t xml:space="preserve"> </w:t>
      </w:r>
      <w:r w:rsidR="00924E69" w:rsidRPr="00C57BDC">
        <w:rPr>
          <w:szCs w:val="26"/>
        </w:rPr>
        <w:t>According to NERC, p</w:t>
      </w:r>
      <w:r w:rsidRPr="00C57BDC">
        <w:rPr>
          <w:szCs w:val="26"/>
        </w:rPr>
        <w:t xml:space="preserve">roposed Reliability Standard IRO-010-2 reflects recommendations from </w:t>
      </w:r>
      <w:r w:rsidR="00B338E3" w:rsidRPr="00C57BDC">
        <w:rPr>
          <w:szCs w:val="26"/>
        </w:rPr>
        <w:t xml:space="preserve">the </w:t>
      </w:r>
      <w:r w:rsidR="002B26C9" w:rsidRPr="00C57BDC">
        <w:rPr>
          <w:szCs w:val="26"/>
        </w:rPr>
        <w:t>2011 Southwest Outage Blackout Report</w:t>
      </w:r>
      <w:r w:rsidRPr="00C57BDC">
        <w:rPr>
          <w:szCs w:val="26"/>
        </w:rPr>
        <w:t xml:space="preserve">, including more clearly identifying necessary data and information to be included in </w:t>
      </w:r>
      <w:r w:rsidR="00B338E3" w:rsidRPr="00C57BDC">
        <w:rPr>
          <w:szCs w:val="26"/>
        </w:rPr>
        <w:t>a</w:t>
      </w:r>
      <w:r w:rsidRPr="00C57BDC">
        <w:rPr>
          <w:szCs w:val="26"/>
        </w:rPr>
        <w:t xml:space="preserve"> </w:t>
      </w:r>
      <w:r w:rsidR="00267D2B" w:rsidRPr="00C57BDC">
        <w:rPr>
          <w:szCs w:val="26"/>
        </w:rPr>
        <w:t>r</w:t>
      </w:r>
      <w:r w:rsidRPr="00C57BDC">
        <w:rPr>
          <w:szCs w:val="26"/>
        </w:rPr>
        <w:t xml:space="preserve">eliability </w:t>
      </w:r>
      <w:r w:rsidR="00267D2B" w:rsidRPr="00C57BDC">
        <w:rPr>
          <w:szCs w:val="26"/>
        </w:rPr>
        <w:t>c</w:t>
      </w:r>
      <w:r w:rsidRPr="00C57BDC">
        <w:rPr>
          <w:szCs w:val="26"/>
        </w:rPr>
        <w:t>oordinator's data specification.</w:t>
      </w:r>
      <w:r w:rsidR="001C0557" w:rsidRPr="00C57BDC">
        <w:rPr>
          <w:szCs w:val="26"/>
        </w:rPr>
        <w:t xml:space="preserve">  </w:t>
      </w:r>
      <w:r w:rsidR="00837B41" w:rsidRPr="00C57BDC">
        <w:rPr>
          <w:szCs w:val="26"/>
        </w:rPr>
        <w:t xml:space="preserve">Requirement R1 provides that the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oordinator must maintain a documented specification for the data</w:t>
      </w:r>
      <w:r w:rsidR="00DA32E3" w:rsidRPr="00C57BDC">
        <w:rPr>
          <w:szCs w:val="26"/>
        </w:rPr>
        <w:t xml:space="preserve">, </w:t>
      </w:r>
      <w:r w:rsidR="00DA32E3" w:rsidRPr="00C57BDC">
        <w:rPr>
          <w:szCs w:val="26"/>
        </w:rPr>
        <w:lastRenderedPageBreak/>
        <w:t>including non-bulk electric system and external network data,</w:t>
      </w:r>
      <w:r w:rsidR="00837B41" w:rsidRPr="00C57BDC">
        <w:rPr>
          <w:szCs w:val="26"/>
        </w:rPr>
        <w:t xml:space="preserve"> </w:t>
      </w:r>
      <w:r w:rsidR="00B338E3" w:rsidRPr="00C57BDC">
        <w:rPr>
          <w:szCs w:val="26"/>
        </w:rPr>
        <w:t xml:space="preserve">necessary </w:t>
      </w:r>
      <w:r w:rsidR="00837B41" w:rsidRPr="00C57BDC">
        <w:rPr>
          <w:szCs w:val="26"/>
        </w:rPr>
        <w:t xml:space="preserve">for it to perform its </w:t>
      </w:r>
      <w:r w:rsidR="00267D2B" w:rsidRPr="00C57BDC">
        <w:rPr>
          <w:szCs w:val="26"/>
        </w:rPr>
        <w:t>o</w:t>
      </w:r>
      <w:r w:rsidR="00837B41" w:rsidRPr="00C57BDC">
        <w:rPr>
          <w:szCs w:val="26"/>
        </w:rPr>
        <w:t xml:space="preserve">perational </w:t>
      </w:r>
      <w:r w:rsidR="00267D2B" w:rsidRPr="00C57BDC">
        <w:rPr>
          <w:szCs w:val="26"/>
        </w:rPr>
        <w:t>p</w:t>
      </w:r>
      <w:r w:rsidR="00837B41" w:rsidRPr="00C57BDC">
        <w:rPr>
          <w:szCs w:val="26"/>
        </w:rPr>
        <w:t xml:space="preserve">lanning </w:t>
      </w:r>
      <w:r w:rsidR="00267D2B" w:rsidRPr="00C57BDC">
        <w:rPr>
          <w:szCs w:val="26"/>
        </w:rPr>
        <w:t>a</w:t>
      </w:r>
      <w:r w:rsidR="00837B41" w:rsidRPr="00C57BDC">
        <w:rPr>
          <w:szCs w:val="26"/>
        </w:rPr>
        <w:t xml:space="preserve">nalyses, </w:t>
      </w:r>
      <w:r w:rsidR="00267D2B" w:rsidRPr="00C57BDC">
        <w:rPr>
          <w:szCs w:val="26"/>
        </w:rPr>
        <w:t>r</w:t>
      </w:r>
      <w:r w:rsidR="00837B41" w:rsidRPr="00C57BDC">
        <w:rPr>
          <w:szCs w:val="26"/>
        </w:rPr>
        <w:t>eal-time monitor</w:t>
      </w:r>
      <w:r w:rsidR="001C0557" w:rsidRPr="00C57BDC">
        <w:rPr>
          <w:szCs w:val="26"/>
        </w:rPr>
        <w:t xml:space="preserve">ing, and </w:t>
      </w:r>
      <w:r w:rsidR="00267D2B" w:rsidRPr="00C57BDC">
        <w:rPr>
          <w:szCs w:val="26"/>
        </w:rPr>
        <w:t>r</w:t>
      </w:r>
      <w:r w:rsidR="001C0557" w:rsidRPr="00C57BDC">
        <w:rPr>
          <w:szCs w:val="26"/>
        </w:rPr>
        <w:t xml:space="preserve">eal-time </w:t>
      </w:r>
      <w:r w:rsidR="00267D2B" w:rsidRPr="00C57BDC">
        <w:rPr>
          <w:szCs w:val="26"/>
        </w:rPr>
        <w:t>a</w:t>
      </w:r>
      <w:r w:rsidR="001C0557" w:rsidRPr="00C57BDC">
        <w:rPr>
          <w:szCs w:val="26"/>
        </w:rPr>
        <w:t xml:space="preserve">ssessments.  </w:t>
      </w:r>
      <w:r w:rsidR="00837B41" w:rsidRPr="00C57BDC">
        <w:rPr>
          <w:szCs w:val="26"/>
        </w:rPr>
        <w:t xml:space="preserve">Requirement R2 provides that the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oordinator must distribute its data specification to entiti</w:t>
      </w:r>
      <w:r w:rsidR="001C0557" w:rsidRPr="00C57BDC">
        <w:rPr>
          <w:szCs w:val="26"/>
        </w:rPr>
        <w:t xml:space="preserve">es that have the required data.  </w:t>
      </w:r>
      <w:r w:rsidR="00837B41" w:rsidRPr="00C57BDC">
        <w:rPr>
          <w:szCs w:val="26"/>
        </w:rPr>
        <w:t xml:space="preserve">Requirement R3 provides that </w:t>
      </w:r>
      <w:r w:rsidR="00267D2B" w:rsidRPr="00C57BDC">
        <w:rPr>
          <w:szCs w:val="26"/>
        </w:rPr>
        <w:t xml:space="preserve">applicable entities </w:t>
      </w:r>
      <w:r w:rsidR="00837B41" w:rsidRPr="00C57BDC">
        <w:rPr>
          <w:szCs w:val="26"/>
        </w:rPr>
        <w:t xml:space="preserve">receiving a data specification must satisfy the obligations of the documented specification using a mutually-agreeable format, process for resolving data conflicts, and security protocol. </w:t>
      </w:r>
    </w:p>
    <w:p w14:paraId="6E71A3C9" w14:textId="77777777" w:rsidR="00A6179C" w:rsidRPr="008B017F" w:rsidRDefault="00256E84" w:rsidP="0067456F">
      <w:pPr>
        <w:pStyle w:val="Default"/>
        <w:spacing w:after="7"/>
        <w:rPr>
          <w:b/>
          <w:sz w:val="26"/>
          <w:szCs w:val="26"/>
          <w:u w:val="single"/>
        </w:rPr>
      </w:pPr>
      <w:r w:rsidRPr="00C57BDC">
        <w:rPr>
          <w:sz w:val="26"/>
          <w:szCs w:val="26"/>
        </w:rPr>
        <w:tab/>
      </w:r>
      <w:r w:rsidR="00A6179C" w:rsidRPr="008B017F">
        <w:rPr>
          <w:b/>
          <w:sz w:val="26"/>
          <w:szCs w:val="26"/>
          <w:u w:val="single"/>
        </w:rPr>
        <w:t xml:space="preserve">IRO-014-3 (Coordination </w:t>
      </w:r>
      <w:proofErr w:type="gramStart"/>
      <w:r w:rsidR="00A6179C" w:rsidRPr="008B017F">
        <w:rPr>
          <w:b/>
          <w:sz w:val="26"/>
          <w:szCs w:val="26"/>
          <w:u w:val="single"/>
        </w:rPr>
        <w:t>A</w:t>
      </w:r>
      <w:r w:rsidRPr="008B017F">
        <w:rPr>
          <w:b/>
          <w:sz w:val="26"/>
          <w:szCs w:val="26"/>
          <w:u w:val="single"/>
        </w:rPr>
        <w:t>mong</w:t>
      </w:r>
      <w:proofErr w:type="gramEnd"/>
      <w:r w:rsidRPr="008B017F">
        <w:rPr>
          <w:b/>
          <w:sz w:val="26"/>
          <w:szCs w:val="26"/>
          <w:u w:val="single"/>
        </w:rPr>
        <w:t xml:space="preserve"> Reliability Coordinators)</w:t>
      </w:r>
    </w:p>
    <w:p w14:paraId="18A54DAF" w14:textId="77777777" w:rsidR="00A6179C" w:rsidRPr="00C57BDC" w:rsidRDefault="00A6179C" w:rsidP="0067456F">
      <w:pPr>
        <w:pStyle w:val="Default"/>
        <w:spacing w:after="7"/>
        <w:rPr>
          <w:sz w:val="26"/>
          <w:szCs w:val="26"/>
        </w:rPr>
      </w:pPr>
    </w:p>
    <w:p w14:paraId="18A1E933" w14:textId="37473830" w:rsidR="00837B41" w:rsidRPr="00C57BDC" w:rsidRDefault="003E6BFA" w:rsidP="008B017F">
      <w:pPr>
        <w:pStyle w:val="FERCparanumber"/>
        <w:tabs>
          <w:tab w:val="clear" w:pos="810"/>
          <w:tab w:val="num" w:pos="720"/>
        </w:tabs>
        <w:ind w:left="0"/>
        <w:rPr>
          <w:szCs w:val="26"/>
        </w:rPr>
      </w:pPr>
      <w:r w:rsidRPr="00C57BDC">
        <w:rPr>
          <w:szCs w:val="26"/>
        </w:rPr>
        <w:t xml:space="preserve">Proposed Reliability Standard IRO-014-3 (Coordination </w:t>
      </w:r>
      <w:r w:rsidR="00267D2B" w:rsidRPr="00C57BDC">
        <w:rPr>
          <w:szCs w:val="26"/>
        </w:rPr>
        <w:t>a</w:t>
      </w:r>
      <w:r w:rsidRPr="00C57BDC">
        <w:rPr>
          <w:szCs w:val="26"/>
        </w:rPr>
        <w:t xml:space="preserve">mong Reliability Coordinators) contains requirements for coordination for interconnected operations at the </w:t>
      </w:r>
      <w:r w:rsidR="00267D2B" w:rsidRPr="00C57BDC">
        <w:rPr>
          <w:szCs w:val="26"/>
        </w:rPr>
        <w:t>r</w:t>
      </w:r>
      <w:r w:rsidRPr="00C57BDC">
        <w:rPr>
          <w:szCs w:val="26"/>
        </w:rPr>
        <w:t xml:space="preserve">eliability </w:t>
      </w:r>
      <w:r w:rsidR="00267D2B" w:rsidRPr="00C57BDC">
        <w:rPr>
          <w:szCs w:val="26"/>
        </w:rPr>
        <w:t>c</w:t>
      </w:r>
      <w:r w:rsidRPr="00C57BDC">
        <w:rPr>
          <w:szCs w:val="26"/>
        </w:rPr>
        <w:t xml:space="preserve">oordinator level. </w:t>
      </w:r>
      <w:r w:rsidR="00267D2B" w:rsidRPr="00C57BDC">
        <w:rPr>
          <w:szCs w:val="26"/>
        </w:rPr>
        <w:t xml:space="preserve"> </w:t>
      </w:r>
      <w:r w:rsidRPr="00C57BDC">
        <w:rPr>
          <w:szCs w:val="26"/>
        </w:rPr>
        <w:t xml:space="preserve">The purpose of the proposed Reliability Standard is to ensure that each </w:t>
      </w:r>
      <w:r w:rsidR="00267D2B" w:rsidRPr="00C57BDC">
        <w:rPr>
          <w:szCs w:val="26"/>
        </w:rPr>
        <w:t>r</w:t>
      </w:r>
      <w:r w:rsidRPr="00C57BDC">
        <w:rPr>
          <w:szCs w:val="26"/>
        </w:rPr>
        <w:t xml:space="preserve">eliability </w:t>
      </w:r>
      <w:r w:rsidR="00267D2B" w:rsidRPr="00C57BDC">
        <w:rPr>
          <w:szCs w:val="26"/>
        </w:rPr>
        <w:t>c</w:t>
      </w:r>
      <w:r w:rsidRPr="00C57BDC">
        <w:rPr>
          <w:szCs w:val="26"/>
        </w:rPr>
        <w:t xml:space="preserve">oordinator’s operations are coordinated such that they will not adversely affect other </w:t>
      </w:r>
      <w:r w:rsidR="00267D2B" w:rsidRPr="00C57BDC">
        <w:rPr>
          <w:szCs w:val="26"/>
        </w:rPr>
        <w:t>r</w:t>
      </w:r>
      <w:r w:rsidRPr="00C57BDC">
        <w:rPr>
          <w:szCs w:val="26"/>
        </w:rPr>
        <w:t xml:space="preserve">eliability </w:t>
      </w:r>
      <w:r w:rsidR="00267D2B" w:rsidRPr="00C57BDC">
        <w:rPr>
          <w:szCs w:val="26"/>
        </w:rPr>
        <w:t>c</w:t>
      </w:r>
      <w:r w:rsidRPr="00C57BDC">
        <w:rPr>
          <w:szCs w:val="26"/>
        </w:rPr>
        <w:t xml:space="preserve">oordinator </w:t>
      </w:r>
      <w:r w:rsidR="00267D2B" w:rsidRPr="00C57BDC">
        <w:rPr>
          <w:szCs w:val="26"/>
        </w:rPr>
        <w:t>a</w:t>
      </w:r>
      <w:r w:rsidRPr="00C57BDC">
        <w:rPr>
          <w:szCs w:val="26"/>
        </w:rPr>
        <w:t>reas and to preserve the reliability benefits of interconnected operations.</w:t>
      </w:r>
      <w:r w:rsidR="001C0557" w:rsidRPr="00C57BDC">
        <w:rPr>
          <w:szCs w:val="26"/>
        </w:rPr>
        <w:t xml:space="preserve">  </w:t>
      </w:r>
      <w:r w:rsidR="00837B41" w:rsidRPr="00C57BDC">
        <w:rPr>
          <w:szCs w:val="26"/>
        </w:rPr>
        <w:t xml:space="preserve">Requirement R1 requires each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 xml:space="preserve">oordinator to have and implement </w:t>
      </w:r>
      <w:r w:rsidR="00267D2B" w:rsidRPr="00C57BDC">
        <w:rPr>
          <w:szCs w:val="26"/>
        </w:rPr>
        <w:t>o</w:t>
      </w:r>
      <w:r w:rsidR="00837B41" w:rsidRPr="00C57BDC">
        <w:rPr>
          <w:szCs w:val="26"/>
        </w:rPr>
        <w:t xml:space="preserve">perating </w:t>
      </w:r>
      <w:r w:rsidR="00267D2B" w:rsidRPr="00C57BDC">
        <w:rPr>
          <w:szCs w:val="26"/>
        </w:rPr>
        <w:t>p</w:t>
      </w:r>
      <w:r w:rsidR="00837B41" w:rsidRPr="00C57BDC">
        <w:rPr>
          <w:szCs w:val="26"/>
        </w:rPr>
        <w:t xml:space="preserve">rocedures, </w:t>
      </w:r>
      <w:r w:rsidR="00267D2B" w:rsidRPr="00C57BDC">
        <w:rPr>
          <w:szCs w:val="26"/>
        </w:rPr>
        <w:t>p</w:t>
      </w:r>
      <w:r w:rsidR="00837B41" w:rsidRPr="00C57BDC">
        <w:rPr>
          <w:szCs w:val="26"/>
        </w:rPr>
        <w:t xml:space="preserve">rocesses, or </w:t>
      </w:r>
      <w:r w:rsidR="00267D2B" w:rsidRPr="00C57BDC">
        <w:rPr>
          <w:szCs w:val="26"/>
        </w:rPr>
        <w:t>p</w:t>
      </w:r>
      <w:r w:rsidR="00837B41" w:rsidRPr="00C57BDC">
        <w:rPr>
          <w:szCs w:val="26"/>
        </w:rPr>
        <w:t xml:space="preserve">lans for activities that require notification or coordination of actions that may affect adjacent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 xml:space="preserve">oordinator </w:t>
      </w:r>
      <w:r w:rsidR="00267D2B" w:rsidRPr="00C57BDC">
        <w:rPr>
          <w:szCs w:val="26"/>
        </w:rPr>
        <w:t>a</w:t>
      </w:r>
      <w:r w:rsidR="00837B41" w:rsidRPr="00C57BDC">
        <w:rPr>
          <w:szCs w:val="26"/>
        </w:rPr>
        <w:t xml:space="preserve">reas. </w:t>
      </w:r>
      <w:r w:rsidR="001C0557" w:rsidRPr="00C57BDC">
        <w:rPr>
          <w:szCs w:val="26"/>
        </w:rPr>
        <w:t xml:space="preserve">  </w:t>
      </w:r>
      <w:r w:rsidR="00837B41" w:rsidRPr="00C57BDC">
        <w:rPr>
          <w:szCs w:val="26"/>
        </w:rPr>
        <w:t xml:space="preserve">Requirement R2 requires each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 xml:space="preserve">oordinator to maintain its </w:t>
      </w:r>
      <w:r w:rsidR="00267D2B" w:rsidRPr="00C57BDC">
        <w:rPr>
          <w:szCs w:val="26"/>
        </w:rPr>
        <w:t xml:space="preserve">operating procedures, processes, or plans </w:t>
      </w:r>
      <w:r w:rsidR="00837B41" w:rsidRPr="00C57BDC">
        <w:rPr>
          <w:szCs w:val="26"/>
        </w:rPr>
        <w:t>through annual reviews and updates, with no more than 15 months passing between reviews.</w:t>
      </w:r>
      <w:r w:rsidR="001C0557" w:rsidRPr="00C57BDC">
        <w:rPr>
          <w:szCs w:val="26"/>
        </w:rPr>
        <w:t xml:space="preserve">  </w:t>
      </w:r>
      <w:r w:rsidR="00837B41" w:rsidRPr="00C57BDC">
        <w:rPr>
          <w:szCs w:val="26"/>
        </w:rPr>
        <w:t xml:space="preserve">Requirement R3 requires each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 xml:space="preserve">oordinator to notify other impacted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 xml:space="preserve">oordinators upon identification of an expected or actual </w:t>
      </w:r>
      <w:r w:rsidR="00267D2B" w:rsidRPr="00C57BDC">
        <w:rPr>
          <w:szCs w:val="26"/>
        </w:rPr>
        <w:t>e</w:t>
      </w:r>
      <w:r w:rsidR="00837B41" w:rsidRPr="00C57BDC">
        <w:rPr>
          <w:szCs w:val="26"/>
        </w:rPr>
        <w:t>mergency.</w:t>
      </w:r>
      <w:r w:rsidR="00267D2B" w:rsidRPr="00C57BDC">
        <w:rPr>
          <w:szCs w:val="26"/>
        </w:rPr>
        <w:t xml:space="preserve">  </w:t>
      </w:r>
      <w:r w:rsidR="00837B41" w:rsidRPr="00C57BDC">
        <w:rPr>
          <w:szCs w:val="26"/>
        </w:rPr>
        <w:t xml:space="preserve">Requirement R4 specifies that, </w:t>
      </w:r>
      <w:r w:rsidR="00267D2B" w:rsidRPr="00C57BDC">
        <w:rPr>
          <w:szCs w:val="26"/>
        </w:rPr>
        <w:t>if the r</w:t>
      </w:r>
      <w:r w:rsidR="00837B41" w:rsidRPr="00C57BDC">
        <w:rPr>
          <w:szCs w:val="26"/>
        </w:rPr>
        <w:t xml:space="preserve">eliability </w:t>
      </w:r>
      <w:r w:rsidR="00267D2B" w:rsidRPr="00C57BDC">
        <w:rPr>
          <w:szCs w:val="26"/>
        </w:rPr>
        <w:t>c</w:t>
      </w:r>
      <w:r w:rsidR="00837B41" w:rsidRPr="00C57BDC">
        <w:rPr>
          <w:szCs w:val="26"/>
        </w:rPr>
        <w:t xml:space="preserve">oordinators disagree on the existence of an </w:t>
      </w:r>
      <w:r w:rsidR="00267D2B" w:rsidRPr="00C57BDC">
        <w:rPr>
          <w:szCs w:val="26"/>
        </w:rPr>
        <w:t>e</w:t>
      </w:r>
      <w:r w:rsidR="00837B41" w:rsidRPr="00C57BDC">
        <w:rPr>
          <w:szCs w:val="26"/>
        </w:rPr>
        <w:t xml:space="preserve">mergency, each must operate as though an </w:t>
      </w:r>
      <w:r w:rsidR="00267D2B" w:rsidRPr="00C57BDC">
        <w:rPr>
          <w:szCs w:val="26"/>
        </w:rPr>
        <w:lastRenderedPageBreak/>
        <w:t>e</w:t>
      </w:r>
      <w:r w:rsidR="00837B41" w:rsidRPr="00C57BDC">
        <w:rPr>
          <w:szCs w:val="26"/>
        </w:rPr>
        <w:t xml:space="preserve">mergency exists. </w:t>
      </w:r>
      <w:r w:rsidR="001C0557" w:rsidRPr="00C57BDC">
        <w:rPr>
          <w:szCs w:val="26"/>
        </w:rPr>
        <w:t xml:space="preserve"> </w:t>
      </w:r>
      <w:r w:rsidR="00837B41" w:rsidRPr="00C57BDC">
        <w:rPr>
          <w:szCs w:val="26"/>
        </w:rPr>
        <w:t xml:space="preserve">Requirement R5 </w:t>
      </w:r>
      <w:r w:rsidR="00267D2B" w:rsidRPr="00C57BDC">
        <w:rPr>
          <w:szCs w:val="26"/>
        </w:rPr>
        <w:t>states that a r</w:t>
      </w:r>
      <w:r w:rsidR="00837B41" w:rsidRPr="00C57BDC">
        <w:rPr>
          <w:szCs w:val="26"/>
        </w:rPr>
        <w:t xml:space="preserve">eliability </w:t>
      </w:r>
      <w:r w:rsidR="00267D2B" w:rsidRPr="00C57BDC">
        <w:rPr>
          <w:szCs w:val="26"/>
        </w:rPr>
        <w:t>c</w:t>
      </w:r>
      <w:r w:rsidR="00837B41" w:rsidRPr="00C57BDC">
        <w:rPr>
          <w:szCs w:val="26"/>
        </w:rPr>
        <w:t xml:space="preserve">oordinator that identifies an </w:t>
      </w:r>
      <w:r w:rsidR="00267D2B" w:rsidRPr="00C57BDC">
        <w:rPr>
          <w:szCs w:val="26"/>
        </w:rPr>
        <w:t>e</w:t>
      </w:r>
      <w:r w:rsidR="00837B41" w:rsidRPr="00C57BDC">
        <w:rPr>
          <w:szCs w:val="26"/>
        </w:rPr>
        <w:t xml:space="preserve">mergency </w:t>
      </w:r>
      <w:r w:rsidR="00267D2B" w:rsidRPr="00C57BDC">
        <w:rPr>
          <w:szCs w:val="26"/>
        </w:rPr>
        <w:t xml:space="preserve">must </w:t>
      </w:r>
      <w:r w:rsidR="00837B41" w:rsidRPr="00C57BDC">
        <w:rPr>
          <w:szCs w:val="26"/>
        </w:rPr>
        <w:t>develop an action</w:t>
      </w:r>
      <w:r w:rsidR="001C0557" w:rsidRPr="00C57BDC">
        <w:rPr>
          <w:szCs w:val="26"/>
        </w:rPr>
        <w:t xml:space="preserve"> plan to resolve the </w:t>
      </w:r>
      <w:r w:rsidR="00267D2B" w:rsidRPr="00C57BDC">
        <w:rPr>
          <w:szCs w:val="26"/>
        </w:rPr>
        <w:t>e</w:t>
      </w:r>
      <w:r w:rsidR="001C0557" w:rsidRPr="00C57BDC">
        <w:rPr>
          <w:szCs w:val="26"/>
        </w:rPr>
        <w:t>mergency</w:t>
      </w:r>
      <w:r w:rsidR="00267D2B" w:rsidRPr="00C57BDC">
        <w:rPr>
          <w:szCs w:val="26"/>
        </w:rPr>
        <w:t xml:space="preserve">, and </w:t>
      </w:r>
      <w:r w:rsidR="00837B41" w:rsidRPr="00C57BDC">
        <w:rPr>
          <w:szCs w:val="26"/>
        </w:rPr>
        <w:t xml:space="preserve">Requirement R6 </w:t>
      </w:r>
      <w:r w:rsidR="00267D2B" w:rsidRPr="00C57BDC">
        <w:rPr>
          <w:szCs w:val="26"/>
        </w:rPr>
        <w:t xml:space="preserve">requires </w:t>
      </w:r>
      <w:r w:rsidR="00837B41" w:rsidRPr="00C57BDC">
        <w:rPr>
          <w:szCs w:val="26"/>
        </w:rPr>
        <w:t xml:space="preserve">impacted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oordinator</w:t>
      </w:r>
      <w:r w:rsidR="00267D2B" w:rsidRPr="00C57BDC">
        <w:rPr>
          <w:szCs w:val="26"/>
        </w:rPr>
        <w:t xml:space="preserve">s to </w:t>
      </w:r>
      <w:r w:rsidR="00837B41" w:rsidRPr="00C57BDC">
        <w:rPr>
          <w:szCs w:val="26"/>
        </w:rPr>
        <w:t>implement the action plan</w:t>
      </w:r>
      <w:r w:rsidR="001C0557" w:rsidRPr="00C57BDC">
        <w:rPr>
          <w:szCs w:val="26"/>
        </w:rPr>
        <w:t xml:space="preserve">.  </w:t>
      </w:r>
      <w:r w:rsidR="00267D2B" w:rsidRPr="00C57BDC">
        <w:rPr>
          <w:szCs w:val="26"/>
        </w:rPr>
        <w:t>Under Requirement R7, a r</w:t>
      </w:r>
      <w:r w:rsidR="00837B41" w:rsidRPr="00C57BDC">
        <w:rPr>
          <w:szCs w:val="26"/>
        </w:rPr>
        <w:t xml:space="preserve">eliability </w:t>
      </w:r>
      <w:r w:rsidR="00267D2B" w:rsidRPr="00C57BDC">
        <w:rPr>
          <w:szCs w:val="26"/>
        </w:rPr>
        <w:t>c</w:t>
      </w:r>
      <w:r w:rsidR="00837B41" w:rsidRPr="00C57BDC">
        <w:rPr>
          <w:szCs w:val="26"/>
        </w:rPr>
        <w:t xml:space="preserve">oordinator </w:t>
      </w:r>
      <w:r w:rsidR="00267D2B" w:rsidRPr="00C57BDC">
        <w:rPr>
          <w:szCs w:val="26"/>
        </w:rPr>
        <w:t xml:space="preserve">must </w:t>
      </w:r>
      <w:r w:rsidR="008F0825" w:rsidRPr="00C57BDC">
        <w:rPr>
          <w:szCs w:val="26"/>
        </w:rPr>
        <w:t>assist another</w:t>
      </w:r>
      <w:r w:rsidR="00837B41" w:rsidRPr="00C57BDC">
        <w:rPr>
          <w:szCs w:val="26"/>
        </w:rPr>
        <w:t xml:space="preserve"> </w:t>
      </w:r>
      <w:r w:rsidR="00267D2B" w:rsidRPr="00C57BDC">
        <w:rPr>
          <w:szCs w:val="26"/>
        </w:rPr>
        <w:t>r</w:t>
      </w:r>
      <w:r w:rsidR="00837B41" w:rsidRPr="00C57BDC">
        <w:rPr>
          <w:szCs w:val="26"/>
        </w:rPr>
        <w:t xml:space="preserve">eliability </w:t>
      </w:r>
      <w:r w:rsidR="00267D2B" w:rsidRPr="00C57BDC">
        <w:rPr>
          <w:szCs w:val="26"/>
        </w:rPr>
        <w:t>c</w:t>
      </w:r>
      <w:r w:rsidR="008F0825" w:rsidRPr="00C57BDC">
        <w:rPr>
          <w:szCs w:val="26"/>
        </w:rPr>
        <w:t>oordinator</w:t>
      </w:r>
      <w:r w:rsidR="00267D2B" w:rsidRPr="00C57BDC">
        <w:rPr>
          <w:szCs w:val="26"/>
        </w:rPr>
        <w:t xml:space="preserve"> if the </w:t>
      </w:r>
      <w:r w:rsidR="00837B41" w:rsidRPr="00C57BDC">
        <w:rPr>
          <w:szCs w:val="26"/>
        </w:rPr>
        <w:t xml:space="preserve">requesting </w:t>
      </w:r>
      <w:r w:rsidR="00267D2B" w:rsidRPr="00C57BDC">
        <w:rPr>
          <w:szCs w:val="26"/>
        </w:rPr>
        <w:t>r</w:t>
      </w:r>
      <w:r w:rsidR="00837B41" w:rsidRPr="00C57BDC">
        <w:rPr>
          <w:szCs w:val="26"/>
        </w:rPr>
        <w:t xml:space="preserve">eliability </w:t>
      </w:r>
      <w:r w:rsidR="00267D2B" w:rsidRPr="00C57BDC">
        <w:rPr>
          <w:szCs w:val="26"/>
        </w:rPr>
        <w:t>c</w:t>
      </w:r>
      <w:r w:rsidR="00837B41" w:rsidRPr="00C57BDC">
        <w:rPr>
          <w:szCs w:val="26"/>
        </w:rPr>
        <w:t xml:space="preserve">oordinator has implemented its </w:t>
      </w:r>
      <w:r w:rsidR="00267D2B" w:rsidRPr="00C57BDC">
        <w:rPr>
          <w:szCs w:val="26"/>
        </w:rPr>
        <w:t>emergency procedures</w:t>
      </w:r>
      <w:r w:rsidR="00837B41" w:rsidRPr="00C57BDC">
        <w:rPr>
          <w:szCs w:val="26"/>
        </w:rPr>
        <w:t xml:space="preserve">. </w:t>
      </w:r>
    </w:p>
    <w:p w14:paraId="167C0CF7" w14:textId="77777777" w:rsidR="00A6179C" w:rsidRPr="00D17A38" w:rsidRDefault="00256E84" w:rsidP="0067456F">
      <w:pPr>
        <w:pStyle w:val="Default"/>
        <w:spacing w:after="7"/>
        <w:rPr>
          <w:b/>
          <w:sz w:val="26"/>
          <w:szCs w:val="26"/>
          <w:u w:val="single"/>
        </w:rPr>
      </w:pPr>
      <w:r w:rsidRPr="00C57BDC">
        <w:rPr>
          <w:sz w:val="26"/>
          <w:szCs w:val="26"/>
        </w:rPr>
        <w:tab/>
      </w:r>
      <w:r w:rsidR="00A6179C" w:rsidRPr="00D17A38">
        <w:rPr>
          <w:b/>
          <w:sz w:val="26"/>
          <w:szCs w:val="26"/>
          <w:u w:val="single"/>
        </w:rPr>
        <w:t>I</w:t>
      </w:r>
      <w:r w:rsidRPr="00D17A38">
        <w:rPr>
          <w:b/>
          <w:sz w:val="26"/>
          <w:szCs w:val="26"/>
          <w:u w:val="single"/>
        </w:rPr>
        <w:t>RO-017-1 (Outage Coordination)</w:t>
      </w:r>
    </w:p>
    <w:p w14:paraId="300A257D" w14:textId="77777777" w:rsidR="00256E84" w:rsidRPr="00C57BDC" w:rsidRDefault="00256E84" w:rsidP="0067456F">
      <w:pPr>
        <w:pStyle w:val="Default"/>
        <w:rPr>
          <w:sz w:val="26"/>
          <w:szCs w:val="26"/>
        </w:rPr>
      </w:pPr>
    </w:p>
    <w:p w14:paraId="104D0A60" w14:textId="6BD0AA8F" w:rsidR="001C0557" w:rsidRPr="00C57BDC" w:rsidRDefault="00B641FC" w:rsidP="00D17A38">
      <w:pPr>
        <w:pStyle w:val="FERCparanumber"/>
        <w:tabs>
          <w:tab w:val="clear" w:pos="810"/>
          <w:tab w:val="num" w:pos="720"/>
        </w:tabs>
        <w:ind w:left="0"/>
        <w:rPr>
          <w:szCs w:val="26"/>
        </w:rPr>
      </w:pPr>
      <w:r w:rsidRPr="00C57BDC">
        <w:rPr>
          <w:szCs w:val="26"/>
        </w:rPr>
        <w:t>NERC states that p</w:t>
      </w:r>
      <w:r w:rsidR="003E6BFA" w:rsidRPr="00C57BDC">
        <w:rPr>
          <w:szCs w:val="26"/>
        </w:rPr>
        <w:t xml:space="preserve">roposed Reliability Standard IRO-017-1 (Outage Coordination) is a new Reliability Standard designed to ensure that outages are properly coordinated in the </w:t>
      </w:r>
      <w:r w:rsidRPr="00C57BDC">
        <w:rPr>
          <w:szCs w:val="26"/>
        </w:rPr>
        <w:t>o</w:t>
      </w:r>
      <w:r w:rsidR="003E6BFA" w:rsidRPr="00C57BDC">
        <w:rPr>
          <w:szCs w:val="26"/>
        </w:rPr>
        <w:t xml:space="preserve">perations </w:t>
      </w:r>
      <w:r w:rsidRPr="00C57BDC">
        <w:rPr>
          <w:szCs w:val="26"/>
        </w:rPr>
        <w:t>p</w:t>
      </w:r>
      <w:r w:rsidR="003E6BFA" w:rsidRPr="00C57BDC">
        <w:rPr>
          <w:szCs w:val="26"/>
        </w:rPr>
        <w:t xml:space="preserve">lanning time horizon and </w:t>
      </w:r>
      <w:r w:rsidRPr="00C57BDC">
        <w:rPr>
          <w:szCs w:val="26"/>
        </w:rPr>
        <w:t>near-t</w:t>
      </w:r>
      <w:r w:rsidR="003E6BFA" w:rsidRPr="00C57BDC">
        <w:rPr>
          <w:szCs w:val="26"/>
        </w:rPr>
        <w:t xml:space="preserve">erm </w:t>
      </w:r>
      <w:r w:rsidRPr="00C57BDC">
        <w:rPr>
          <w:szCs w:val="26"/>
        </w:rPr>
        <w:t>t</w:t>
      </w:r>
      <w:r w:rsidR="003E6BFA" w:rsidRPr="00C57BDC">
        <w:rPr>
          <w:szCs w:val="26"/>
        </w:rPr>
        <w:t xml:space="preserve">ransmission </w:t>
      </w:r>
      <w:r w:rsidRPr="00C57BDC">
        <w:rPr>
          <w:szCs w:val="26"/>
        </w:rPr>
        <w:t>p</w:t>
      </w:r>
      <w:r w:rsidR="003E6BFA" w:rsidRPr="00C57BDC">
        <w:rPr>
          <w:szCs w:val="26"/>
        </w:rPr>
        <w:t xml:space="preserve">lanning </w:t>
      </w:r>
      <w:r w:rsidRPr="00C57BDC">
        <w:rPr>
          <w:szCs w:val="26"/>
        </w:rPr>
        <w:t>h</w:t>
      </w:r>
      <w:r w:rsidR="003E6BFA" w:rsidRPr="00C57BDC">
        <w:rPr>
          <w:szCs w:val="26"/>
        </w:rPr>
        <w:t>orizon.</w:t>
      </w:r>
      <w:r w:rsidRPr="00C57BDC">
        <w:rPr>
          <w:szCs w:val="26"/>
        </w:rPr>
        <w:t xml:space="preserve"> </w:t>
      </w:r>
      <w:r w:rsidR="003E6BFA" w:rsidRPr="00C57BDC">
        <w:rPr>
          <w:szCs w:val="26"/>
        </w:rPr>
        <w:t xml:space="preserve"> </w:t>
      </w:r>
      <w:r w:rsidR="001F76D8" w:rsidRPr="00C57BDC">
        <w:rPr>
          <w:szCs w:val="26"/>
        </w:rPr>
        <w:t xml:space="preserve">According to </w:t>
      </w:r>
      <w:r w:rsidRPr="00C57BDC">
        <w:rPr>
          <w:szCs w:val="26"/>
        </w:rPr>
        <w:t>NERC</w:t>
      </w:r>
      <w:r w:rsidR="001F76D8" w:rsidRPr="00C57BDC">
        <w:rPr>
          <w:szCs w:val="26"/>
        </w:rPr>
        <w:t>,</w:t>
      </w:r>
      <w:r w:rsidRPr="00C57BDC">
        <w:rPr>
          <w:szCs w:val="26"/>
        </w:rPr>
        <w:t xml:space="preserve"> t</w:t>
      </w:r>
      <w:r w:rsidR="003E6BFA" w:rsidRPr="00C57BDC">
        <w:rPr>
          <w:szCs w:val="26"/>
        </w:rPr>
        <w:t>he requirements in the proposed Reliability Standard, which span both time horizons, provide the necessary requirements for effective coordination of planned outages to support reliable operations.</w:t>
      </w:r>
    </w:p>
    <w:p w14:paraId="7693AFCE" w14:textId="79F1D787" w:rsidR="001C0557" w:rsidRPr="00C57BDC" w:rsidRDefault="00B641FC" w:rsidP="00D17A38">
      <w:pPr>
        <w:pStyle w:val="FERCparanumber"/>
        <w:tabs>
          <w:tab w:val="clear" w:pos="810"/>
          <w:tab w:val="num" w:pos="720"/>
        </w:tabs>
        <w:ind w:left="0"/>
        <w:rPr>
          <w:szCs w:val="26"/>
        </w:rPr>
      </w:pPr>
      <w:r w:rsidRPr="00C57BDC">
        <w:rPr>
          <w:szCs w:val="26"/>
        </w:rPr>
        <w:t>NERC notes that in the Remand NOPR t</w:t>
      </w:r>
      <w:r w:rsidR="00FB2DA0" w:rsidRPr="00C57BDC">
        <w:rPr>
          <w:szCs w:val="26"/>
        </w:rPr>
        <w:t>he Commission identified coordination of outages as a critical reliability function that should be performed</w:t>
      </w:r>
      <w:r w:rsidRPr="00C57BDC">
        <w:rPr>
          <w:szCs w:val="26"/>
        </w:rPr>
        <w:t xml:space="preserve"> by the reliability coordinator</w:t>
      </w:r>
      <w:r w:rsidR="00FB2DA0" w:rsidRPr="00C57BDC">
        <w:rPr>
          <w:szCs w:val="26"/>
        </w:rPr>
        <w:t xml:space="preserve"> that </w:t>
      </w:r>
      <w:r w:rsidRPr="00C57BDC">
        <w:rPr>
          <w:szCs w:val="26"/>
        </w:rPr>
        <w:t xml:space="preserve">was </w:t>
      </w:r>
      <w:r w:rsidR="00FB2DA0" w:rsidRPr="00C57BDC">
        <w:rPr>
          <w:szCs w:val="26"/>
        </w:rPr>
        <w:t>not adequately addressed</w:t>
      </w:r>
      <w:r w:rsidRPr="00C57BDC">
        <w:rPr>
          <w:szCs w:val="26"/>
        </w:rPr>
        <w:t>.  NERC explains that p</w:t>
      </w:r>
      <w:r w:rsidR="00FB2DA0" w:rsidRPr="00C57BDC">
        <w:rPr>
          <w:szCs w:val="26"/>
        </w:rPr>
        <w:t xml:space="preserve">roposed Reliability Standard IRO-017-1 addresses </w:t>
      </w:r>
      <w:r w:rsidRPr="00C57BDC">
        <w:rPr>
          <w:szCs w:val="26"/>
        </w:rPr>
        <w:t xml:space="preserve">the Commission’s </w:t>
      </w:r>
      <w:r w:rsidR="00F578BD">
        <w:rPr>
          <w:szCs w:val="26"/>
        </w:rPr>
        <w:t xml:space="preserve">Remand </w:t>
      </w:r>
      <w:r w:rsidRPr="00C57BDC">
        <w:rPr>
          <w:szCs w:val="26"/>
        </w:rPr>
        <w:t xml:space="preserve">NOPR concerns by requiring </w:t>
      </w:r>
      <w:r w:rsidR="00FB2DA0" w:rsidRPr="00C57BDC">
        <w:rPr>
          <w:szCs w:val="26"/>
        </w:rPr>
        <w:t xml:space="preserve">each </w:t>
      </w:r>
      <w:r w:rsidRPr="00C57BDC">
        <w:rPr>
          <w:szCs w:val="26"/>
        </w:rPr>
        <w:t>r</w:t>
      </w:r>
      <w:r w:rsidR="00FB2DA0" w:rsidRPr="00C57BDC">
        <w:rPr>
          <w:szCs w:val="26"/>
        </w:rPr>
        <w:t xml:space="preserve">eliability </w:t>
      </w:r>
      <w:r w:rsidRPr="00C57BDC">
        <w:rPr>
          <w:szCs w:val="26"/>
        </w:rPr>
        <w:t>c</w:t>
      </w:r>
      <w:r w:rsidR="00FB2DA0" w:rsidRPr="00C57BDC">
        <w:rPr>
          <w:szCs w:val="26"/>
        </w:rPr>
        <w:t>oordinator to develop, implement and maintain an outage coordination process for generation and transmission outages.</w:t>
      </w:r>
      <w:r w:rsidR="00193472" w:rsidRPr="00C57BDC">
        <w:rPr>
          <w:szCs w:val="26"/>
        </w:rPr>
        <w:t xml:space="preserve"> </w:t>
      </w:r>
      <w:r w:rsidRPr="00C57BDC">
        <w:rPr>
          <w:szCs w:val="26"/>
        </w:rPr>
        <w:t xml:space="preserve"> NERC also explains that e</w:t>
      </w:r>
      <w:r w:rsidR="00FB2DA0" w:rsidRPr="00C57BDC">
        <w:rPr>
          <w:szCs w:val="26"/>
        </w:rPr>
        <w:t xml:space="preserve">ach </w:t>
      </w:r>
      <w:r w:rsidRPr="00C57BDC">
        <w:rPr>
          <w:szCs w:val="26"/>
        </w:rPr>
        <w:t>t</w:t>
      </w:r>
      <w:r w:rsidR="00FB2DA0" w:rsidRPr="00C57BDC">
        <w:rPr>
          <w:szCs w:val="26"/>
        </w:rPr>
        <w:t xml:space="preserve">ransmission </w:t>
      </w:r>
      <w:r w:rsidRPr="00C57BDC">
        <w:rPr>
          <w:szCs w:val="26"/>
        </w:rPr>
        <w:t>o</w:t>
      </w:r>
      <w:r w:rsidR="00FB2DA0" w:rsidRPr="00C57BDC">
        <w:rPr>
          <w:szCs w:val="26"/>
        </w:rPr>
        <w:t xml:space="preserve">perator and </w:t>
      </w:r>
      <w:r w:rsidRPr="00C57BDC">
        <w:rPr>
          <w:szCs w:val="26"/>
        </w:rPr>
        <w:t>b</w:t>
      </w:r>
      <w:r w:rsidR="00FB2DA0" w:rsidRPr="00C57BDC">
        <w:rPr>
          <w:szCs w:val="26"/>
        </w:rPr>
        <w:t xml:space="preserve">alancing </w:t>
      </w:r>
      <w:r w:rsidRPr="00C57BDC">
        <w:rPr>
          <w:szCs w:val="26"/>
        </w:rPr>
        <w:t>a</w:t>
      </w:r>
      <w:r w:rsidR="00FB2DA0" w:rsidRPr="00C57BDC">
        <w:rPr>
          <w:szCs w:val="26"/>
        </w:rPr>
        <w:t>uthority</w:t>
      </w:r>
      <w:r w:rsidRPr="00C57BDC">
        <w:rPr>
          <w:szCs w:val="26"/>
        </w:rPr>
        <w:t xml:space="preserve"> </w:t>
      </w:r>
      <w:r w:rsidR="00FB2DA0" w:rsidRPr="00C57BDC">
        <w:rPr>
          <w:szCs w:val="26"/>
        </w:rPr>
        <w:t xml:space="preserve">would </w:t>
      </w:r>
      <w:r w:rsidRPr="00C57BDC">
        <w:rPr>
          <w:szCs w:val="26"/>
        </w:rPr>
        <w:t xml:space="preserve">then </w:t>
      </w:r>
      <w:r w:rsidR="00FB2DA0" w:rsidRPr="00C57BDC">
        <w:rPr>
          <w:szCs w:val="26"/>
        </w:rPr>
        <w:t xml:space="preserve">be required to perform </w:t>
      </w:r>
      <w:r w:rsidRPr="00C57BDC">
        <w:rPr>
          <w:szCs w:val="26"/>
        </w:rPr>
        <w:t>the functions specified in its r</w:t>
      </w:r>
      <w:r w:rsidR="00FB2DA0" w:rsidRPr="00C57BDC">
        <w:rPr>
          <w:szCs w:val="26"/>
        </w:rPr>
        <w:t xml:space="preserve">eliability </w:t>
      </w:r>
      <w:r w:rsidRPr="00C57BDC">
        <w:rPr>
          <w:szCs w:val="26"/>
        </w:rPr>
        <w:t xml:space="preserve">coordinator’s process.  </w:t>
      </w:r>
      <w:r w:rsidR="00FB2DA0" w:rsidRPr="00C57BDC">
        <w:rPr>
          <w:szCs w:val="26"/>
        </w:rPr>
        <w:t xml:space="preserve">Further, </w:t>
      </w:r>
      <w:r w:rsidRPr="00C57BDC">
        <w:rPr>
          <w:szCs w:val="26"/>
        </w:rPr>
        <w:t xml:space="preserve">NERC states that </w:t>
      </w:r>
      <w:r w:rsidR="00FB2DA0" w:rsidRPr="00C57BDC">
        <w:rPr>
          <w:szCs w:val="26"/>
        </w:rPr>
        <w:t xml:space="preserve">each </w:t>
      </w:r>
      <w:r w:rsidRPr="00C57BDC">
        <w:rPr>
          <w:szCs w:val="26"/>
        </w:rPr>
        <w:t>p</w:t>
      </w:r>
      <w:r w:rsidR="00FB2DA0" w:rsidRPr="00C57BDC">
        <w:rPr>
          <w:szCs w:val="26"/>
        </w:rPr>
        <w:t xml:space="preserve">lanning </w:t>
      </w:r>
      <w:r w:rsidRPr="00C57BDC">
        <w:rPr>
          <w:szCs w:val="26"/>
        </w:rPr>
        <w:t>c</w:t>
      </w:r>
      <w:r w:rsidR="00FB2DA0" w:rsidRPr="00C57BDC">
        <w:rPr>
          <w:szCs w:val="26"/>
        </w:rPr>
        <w:t xml:space="preserve">oordinator and </w:t>
      </w:r>
      <w:r w:rsidRPr="00C57BDC">
        <w:rPr>
          <w:szCs w:val="26"/>
        </w:rPr>
        <w:t>t</w:t>
      </w:r>
      <w:r w:rsidR="00FB2DA0" w:rsidRPr="00C57BDC">
        <w:rPr>
          <w:szCs w:val="26"/>
        </w:rPr>
        <w:t xml:space="preserve">ransmission </w:t>
      </w:r>
      <w:r w:rsidRPr="00C57BDC">
        <w:rPr>
          <w:szCs w:val="26"/>
        </w:rPr>
        <w:t>p</w:t>
      </w:r>
      <w:r w:rsidR="00FB2DA0" w:rsidRPr="00C57BDC">
        <w:rPr>
          <w:szCs w:val="26"/>
        </w:rPr>
        <w:t xml:space="preserve">lanner will provide its </w:t>
      </w:r>
      <w:r w:rsidRPr="00C57BDC">
        <w:rPr>
          <w:szCs w:val="26"/>
        </w:rPr>
        <w:t>p</w:t>
      </w:r>
      <w:r w:rsidR="00FB2DA0" w:rsidRPr="00C57BDC">
        <w:rPr>
          <w:szCs w:val="26"/>
        </w:rPr>
        <w:t xml:space="preserve">lanning </w:t>
      </w:r>
      <w:r w:rsidRPr="00C57BDC">
        <w:rPr>
          <w:szCs w:val="26"/>
        </w:rPr>
        <w:t>a</w:t>
      </w:r>
      <w:r w:rsidR="00FB2DA0" w:rsidRPr="00C57BDC">
        <w:rPr>
          <w:szCs w:val="26"/>
        </w:rPr>
        <w:t xml:space="preserve">ssessment to relevant </w:t>
      </w:r>
      <w:r w:rsidRPr="00C57BDC">
        <w:rPr>
          <w:szCs w:val="26"/>
        </w:rPr>
        <w:t>r</w:t>
      </w:r>
      <w:r w:rsidR="00FB2DA0" w:rsidRPr="00C57BDC">
        <w:rPr>
          <w:szCs w:val="26"/>
        </w:rPr>
        <w:t xml:space="preserve">eliability </w:t>
      </w:r>
      <w:r w:rsidRPr="00C57BDC">
        <w:rPr>
          <w:szCs w:val="26"/>
        </w:rPr>
        <w:t>c</w:t>
      </w:r>
      <w:r w:rsidR="00FB2DA0" w:rsidRPr="00C57BDC">
        <w:rPr>
          <w:szCs w:val="26"/>
        </w:rPr>
        <w:t xml:space="preserve">oordinators and work together to solve any issues or conflicts with </w:t>
      </w:r>
      <w:r w:rsidR="00FB2DA0" w:rsidRPr="00C57BDC">
        <w:rPr>
          <w:szCs w:val="26"/>
        </w:rPr>
        <w:lastRenderedPageBreak/>
        <w:t xml:space="preserve">planned outages among the applicable entities. </w:t>
      </w:r>
      <w:r w:rsidR="00193472" w:rsidRPr="00C57BDC">
        <w:rPr>
          <w:szCs w:val="26"/>
        </w:rPr>
        <w:t xml:space="preserve"> </w:t>
      </w:r>
      <w:r w:rsidR="00FB2DA0" w:rsidRPr="00C57BDC">
        <w:rPr>
          <w:szCs w:val="26"/>
        </w:rPr>
        <w:t xml:space="preserve">Additionally, </w:t>
      </w:r>
      <w:r w:rsidRPr="00C57BDC">
        <w:rPr>
          <w:szCs w:val="26"/>
        </w:rPr>
        <w:t xml:space="preserve">NERC states that </w:t>
      </w:r>
      <w:r w:rsidR="00FB2DA0" w:rsidRPr="00C57BDC">
        <w:rPr>
          <w:szCs w:val="26"/>
        </w:rPr>
        <w:t xml:space="preserve">proposed Reliability Standard IRO-014-3, Requirement R1, </w:t>
      </w:r>
      <w:proofErr w:type="gramStart"/>
      <w:r w:rsidR="00FB2DA0" w:rsidRPr="00C57BDC">
        <w:rPr>
          <w:szCs w:val="26"/>
        </w:rPr>
        <w:t>Part</w:t>
      </w:r>
      <w:proofErr w:type="gramEnd"/>
      <w:r w:rsidR="00FB2DA0" w:rsidRPr="00C57BDC">
        <w:rPr>
          <w:szCs w:val="26"/>
        </w:rPr>
        <w:t xml:space="preserve"> 1.4 requires </w:t>
      </w:r>
      <w:r w:rsidRPr="00C57BDC">
        <w:rPr>
          <w:szCs w:val="26"/>
        </w:rPr>
        <w:t>r</w:t>
      </w:r>
      <w:r w:rsidR="00FB2DA0" w:rsidRPr="00C57BDC">
        <w:rPr>
          <w:szCs w:val="26"/>
        </w:rPr>
        <w:t xml:space="preserve">eliability </w:t>
      </w:r>
      <w:r w:rsidRPr="00C57BDC">
        <w:rPr>
          <w:szCs w:val="26"/>
        </w:rPr>
        <w:t>c</w:t>
      </w:r>
      <w:r w:rsidR="00FB2DA0" w:rsidRPr="00C57BDC">
        <w:rPr>
          <w:szCs w:val="26"/>
        </w:rPr>
        <w:t xml:space="preserve">oordinators to </w:t>
      </w:r>
      <w:r w:rsidR="005D0C6F" w:rsidRPr="00C57BDC">
        <w:rPr>
          <w:szCs w:val="26"/>
        </w:rPr>
        <w:t>coordinate with adjacent reliability coordinators</w:t>
      </w:r>
      <w:r w:rsidR="00FB2DA0" w:rsidRPr="00C57BDC">
        <w:rPr>
          <w:szCs w:val="26"/>
        </w:rPr>
        <w:t xml:space="preserve"> the exchange of planned and unplanned outage information to support </w:t>
      </w:r>
      <w:r w:rsidRPr="00C57BDC">
        <w:rPr>
          <w:szCs w:val="26"/>
        </w:rPr>
        <w:t>o</w:t>
      </w:r>
      <w:r w:rsidR="00FB2DA0" w:rsidRPr="00C57BDC">
        <w:rPr>
          <w:szCs w:val="26"/>
        </w:rPr>
        <w:t xml:space="preserve">perational </w:t>
      </w:r>
      <w:r w:rsidRPr="00C57BDC">
        <w:rPr>
          <w:szCs w:val="26"/>
        </w:rPr>
        <w:t>p</w:t>
      </w:r>
      <w:r w:rsidR="00FB2DA0" w:rsidRPr="00C57BDC">
        <w:rPr>
          <w:szCs w:val="26"/>
        </w:rPr>
        <w:t xml:space="preserve">lanning </w:t>
      </w:r>
      <w:r w:rsidRPr="00C57BDC">
        <w:rPr>
          <w:szCs w:val="26"/>
        </w:rPr>
        <w:t>a</w:t>
      </w:r>
      <w:r w:rsidR="00FB2DA0" w:rsidRPr="00C57BDC">
        <w:rPr>
          <w:szCs w:val="26"/>
        </w:rPr>
        <w:t xml:space="preserve">nalyses and </w:t>
      </w:r>
      <w:r w:rsidRPr="00C57BDC">
        <w:rPr>
          <w:szCs w:val="26"/>
        </w:rPr>
        <w:t>r</w:t>
      </w:r>
      <w:r w:rsidR="00FB2DA0" w:rsidRPr="00C57BDC">
        <w:rPr>
          <w:szCs w:val="26"/>
        </w:rPr>
        <w:t xml:space="preserve">eal-time </w:t>
      </w:r>
      <w:r w:rsidRPr="00C57BDC">
        <w:rPr>
          <w:szCs w:val="26"/>
        </w:rPr>
        <w:t>a</w:t>
      </w:r>
      <w:r w:rsidR="00FB2DA0" w:rsidRPr="00C57BDC">
        <w:rPr>
          <w:szCs w:val="26"/>
        </w:rPr>
        <w:t>ssessments in the</w:t>
      </w:r>
      <w:r w:rsidR="00AB6FCB" w:rsidRPr="00C57BDC">
        <w:rPr>
          <w:szCs w:val="26"/>
        </w:rPr>
        <w:t>ir</w:t>
      </w:r>
      <w:r w:rsidR="00FB2DA0" w:rsidRPr="00C57BDC">
        <w:rPr>
          <w:szCs w:val="26"/>
        </w:rPr>
        <w:t xml:space="preserve"> </w:t>
      </w:r>
      <w:r w:rsidRPr="00C57BDC">
        <w:rPr>
          <w:szCs w:val="26"/>
        </w:rPr>
        <w:t>operating procedures, processes, or plans</w:t>
      </w:r>
      <w:r w:rsidR="00FB2DA0" w:rsidRPr="00C57BDC">
        <w:rPr>
          <w:szCs w:val="26"/>
        </w:rPr>
        <w:t>.</w:t>
      </w:r>
    </w:p>
    <w:p w14:paraId="1ACC751D" w14:textId="3F2C1F25" w:rsidR="00B344F1" w:rsidRPr="00C57BDC" w:rsidRDefault="00193472" w:rsidP="00D17A38">
      <w:pPr>
        <w:pStyle w:val="FERCparanumber"/>
        <w:tabs>
          <w:tab w:val="clear" w:pos="810"/>
          <w:tab w:val="num" w:pos="720"/>
        </w:tabs>
        <w:ind w:left="0"/>
        <w:rPr>
          <w:szCs w:val="26"/>
        </w:rPr>
      </w:pPr>
      <w:r w:rsidRPr="00C57BDC">
        <w:rPr>
          <w:szCs w:val="26"/>
        </w:rPr>
        <w:t>P</w:t>
      </w:r>
      <w:r w:rsidR="00B641FC" w:rsidRPr="00C57BDC">
        <w:rPr>
          <w:szCs w:val="26"/>
        </w:rPr>
        <w:t xml:space="preserve">roposed Reliability Standard </w:t>
      </w:r>
      <w:r w:rsidR="00FE722D" w:rsidRPr="00C57BDC">
        <w:rPr>
          <w:szCs w:val="26"/>
        </w:rPr>
        <w:t xml:space="preserve">IRO-017-1 </w:t>
      </w:r>
      <w:r w:rsidR="00B641FC" w:rsidRPr="00C57BDC">
        <w:rPr>
          <w:szCs w:val="26"/>
        </w:rPr>
        <w:t xml:space="preserve">has four requirements.  </w:t>
      </w:r>
      <w:r w:rsidR="00837B41" w:rsidRPr="00C57BDC">
        <w:rPr>
          <w:szCs w:val="26"/>
        </w:rPr>
        <w:t xml:space="preserve">Requirement R1 provides that each </w:t>
      </w:r>
      <w:r w:rsidR="00B641FC" w:rsidRPr="00C57BDC">
        <w:rPr>
          <w:szCs w:val="26"/>
        </w:rPr>
        <w:t>r</w:t>
      </w:r>
      <w:r w:rsidR="00837B41" w:rsidRPr="00C57BDC">
        <w:rPr>
          <w:szCs w:val="26"/>
        </w:rPr>
        <w:t xml:space="preserve">eliability </w:t>
      </w:r>
      <w:r w:rsidR="00B641FC" w:rsidRPr="00C57BDC">
        <w:rPr>
          <w:szCs w:val="26"/>
        </w:rPr>
        <w:t>c</w:t>
      </w:r>
      <w:r w:rsidR="00837B41" w:rsidRPr="00C57BDC">
        <w:rPr>
          <w:szCs w:val="26"/>
        </w:rPr>
        <w:t xml:space="preserve">oordinator must develop, implement, and maintain an outage coordination process for generation and </w:t>
      </w:r>
      <w:r w:rsidR="00B641FC" w:rsidRPr="00C57BDC">
        <w:rPr>
          <w:szCs w:val="26"/>
        </w:rPr>
        <w:t>t</w:t>
      </w:r>
      <w:r w:rsidR="00837B41" w:rsidRPr="00C57BDC">
        <w:rPr>
          <w:szCs w:val="26"/>
        </w:rPr>
        <w:t xml:space="preserve">ransmission outages. </w:t>
      </w:r>
      <w:r w:rsidR="001C0557" w:rsidRPr="00C57BDC">
        <w:rPr>
          <w:szCs w:val="26"/>
        </w:rPr>
        <w:t xml:space="preserve"> </w:t>
      </w:r>
      <w:r w:rsidR="00837B41" w:rsidRPr="00C57BDC">
        <w:rPr>
          <w:szCs w:val="26"/>
        </w:rPr>
        <w:t xml:space="preserve">Requirement R2 provides that each </w:t>
      </w:r>
      <w:r w:rsidR="00B641FC" w:rsidRPr="00C57BDC">
        <w:rPr>
          <w:szCs w:val="26"/>
        </w:rPr>
        <w:t>t</w:t>
      </w:r>
      <w:r w:rsidR="00837B41" w:rsidRPr="00C57BDC">
        <w:rPr>
          <w:szCs w:val="26"/>
        </w:rPr>
        <w:t xml:space="preserve">ransmission </w:t>
      </w:r>
      <w:r w:rsidR="00B641FC" w:rsidRPr="00C57BDC">
        <w:rPr>
          <w:szCs w:val="26"/>
        </w:rPr>
        <w:t>o</w:t>
      </w:r>
      <w:r w:rsidR="00837B41" w:rsidRPr="00C57BDC">
        <w:rPr>
          <w:szCs w:val="26"/>
        </w:rPr>
        <w:t xml:space="preserve">perator and </w:t>
      </w:r>
      <w:r w:rsidR="00B641FC" w:rsidRPr="00C57BDC">
        <w:rPr>
          <w:szCs w:val="26"/>
        </w:rPr>
        <w:t>b</w:t>
      </w:r>
      <w:r w:rsidR="00837B41" w:rsidRPr="00C57BDC">
        <w:rPr>
          <w:szCs w:val="26"/>
        </w:rPr>
        <w:t xml:space="preserve">alancing </w:t>
      </w:r>
      <w:r w:rsidR="00B641FC" w:rsidRPr="00C57BDC">
        <w:rPr>
          <w:szCs w:val="26"/>
        </w:rPr>
        <w:t>a</w:t>
      </w:r>
      <w:r w:rsidR="00837B41" w:rsidRPr="00C57BDC">
        <w:rPr>
          <w:szCs w:val="26"/>
        </w:rPr>
        <w:t xml:space="preserve">uthority must perform the functions specified in its </w:t>
      </w:r>
      <w:r w:rsidR="00B641FC" w:rsidRPr="00C57BDC">
        <w:rPr>
          <w:szCs w:val="26"/>
        </w:rPr>
        <w:t>reliability coordinator</w:t>
      </w:r>
      <w:r w:rsidR="00837B41" w:rsidRPr="00C57BDC">
        <w:rPr>
          <w:szCs w:val="26"/>
        </w:rPr>
        <w:t xml:space="preserve">’s outage coordination process. </w:t>
      </w:r>
      <w:r w:rsidR="001C0557" w:rsidRPr="00C57BDC">
        <w:rPr>
          <w:szCs w:val="26"/>
        </w:rPr>
        <w:t xml:space="preserve"> </w:t>
      </w:r>
      <w:r w:rsidR="00837B41" w:rsidRPr="00C57BDC">
        <w:rPr>
          <w:szCs w:val="26"/>
        </w:rPr>
        <w:t xml:space="preserve">Requirement R3 provides that each </w:t>
      </w:r>
      <w:r w:rsidR="00B641FC" w:rsidRPr="00C57BDC">
        <w:rPr>
          <w:szCs w:val="26"/>
        </w:rPr>
        <w:t>p</w:t>
      </w:r>
      <w:r w:rsidR="00837B41" w:rsidRPr="00C57BDC">
        <w:rPr>
          <w:szCs w:val="26"/>
        </w:rPr>
        <w:t xml:space="preserve">lanning </w:t>
      </w:r>
      <w:r w:rsidR="00B641FC" w:rsidRPr="00C57BDC">
        <w:rPr>
          <w:szCs w:val="26"/>
        </w:rPr>
        <w:t>c</w:t>
      </w:r>
      <w:r w:rsidR="00837B41" w:rsidRPr="00C57BDC">
        <w:rPr>
          <w:szCs w:val="26"/>
        </w:rPr>
        <w:t xml:space="preserve">oordinator and </w:t>
      </w:r>
      <w:r w:rsidR="00B641FC" w:rsidRPr="00C57BDC">
        <w:rPr>
          <w:szCs w:val="26"/>
        </w:rPr>
        <w:t>t</w:t>
      </w:r>
      <w:r w:rsidR="00837B41" w:rsidRPr="00C57BDC">
        <w:rPr>
          <w:szCs w:val="26"/>
        </w:rPr>
        <w:t xml:space="preserve">ransmission </w:t>
      </w:r>
      <w:r w:rsidR="00B641FC" w:rsidRPr="00C57BDC">
        <w:rPr>
          <w:szCs w:val="26"/>
        </w:rPr>
        <w:t>p</w:t>
      </w:r>
      <w:r w:rsidR="00837B41" w:rsidRPr="00C57BDC">
        <w:rPr>
          <w:szCs w:val="26"/>
        </w:rPr>
        <w:t xml:space="preserve">lanner must provide its </w:t>
      </w:r>
      <w:r w:rsidR="00B641FC" w:rsidRPr="00C57BDC">
        <w:rPr>
          <w:szCs w:val="26"/>
        </w:rPr>
        <w:t>p</w:t>
      </w:r>
      <w:r w:rsidR="00837B41" w:rsidRPr="00C57BDC">
        <w:rPr>
          <w:szCs w:val="26"/>
        </w:rPr>
        <w:t xml:space="preserve">lanning </w:t>
      </w:r>
      <w:r w:rsidR="00B641FC" w:rsidRPr="00C57BDC">
        <w:rPr>
          <w:szCs w:val="26"/>
        </w:rPr>
        <w:t>a</w:t>
      </w:r>
      <w:r w:rsidR="00837B41" w:rsidRPr="00C57BDC">
        <w:rPr>
          <w:szCs w:val="26"/>
        </w:rPr>
        <w:t xml:space="preserve">ssessment to impacted </w:t>
      </w:r>
      <w:r w:rsidR="00B641FC" w:rsidRPr="00C57BDC">
        <w:rPr>
          <w:szCs w:val="26"/>
        </w:rPr>
        <w:t>reliability coordinators</w:t>
      </w:r>
      <w:r w:rsidR="00837B41" w:rsidRPr="00C57BDC">
        <w:rPr>
          <w:szCs w:val="26"/>
        </w:rPr>
        <w:t>.</w:t>
      </w:r>
      <w:r w:rsidR="001C0557" w:rsidRPr="00C57BDC">
        <w:rPr>
          <w:szCs w:val="26"/>
        </w:rPr>
        <w:t xml:space="preserve">  </w:t>
      </w:r>
      <w:r w:rsidR="00837B41" w:rsidRPr="00C57BDC">
        <w:rPr>
          <w:szCs w:val="26"/>
        </w:rPr>
        <w:t xml:space="preserve">Requirement R4 requires each </w:t>
      </w:r>
      <w:r w:rsidR="00B641FC" w:rsidRPr="00C57BDC">
        <w:rPr>
          <w:szCs w:val="26"/>
        </w:rPr>
        <w:t>p</w:t>
      </w:r>
      <w:r w:rsidR="00837B41" w:rsidRPr="00C57BDC">
        <w:rPr>
          <w:szCs w:val="26"/>
        </w:rPr>
        <w:t xml:space="preserve">lanning </w:t>
      </w:r>
      <w:r w:rsidR="00B641FC" w:rsidRPr="00C57BDC">
        <w:rPr>
          <w:szCs w:val="26"/>
        </w:rPr>
        <w:t>c</w:t>
      </w:r>
      <w:r w:rsidR="00837B41" w:rsidRPr="00C57BDC">
        <w:rPr>
          <w:szCs w:val="26"/>
        </w:rPr>
        <w:t xml:space="preserve">oordinator and </w:t>
      </w:r>
      <w:r w:rsidR="00B641FC" w:rsidRPr="00C57BDC">
        <w:rPr>
          <w:szCs w:val="26"/>
        </w:rPr>
        <w:t>t</w:t>
      </w:r>
      <w:r w:rsidR="00837B41" w:rsidRPr="00C57BDC">
        <w:rPr>
          <w:szCs w:val="26"/>
        </w:rPr>
        <w:t xml:space="preserve">ransmission </w:t>
      </w:r>
      <w:r w:rsidR="00B641FC" w:rsidRPr="00C57BDC">
        <w:rPr>
          <w:szCs w:val="26"/>
        </w:rPr>
        <w:t>p</w:t>
      </w:r>
      <w:r w:rsidR="00837B41" w:rsidRPr="00C57BDC">
        <w:rPr>
          <w:szCs w:val="26"/>
        </w:rPr>
        <w:t xml:space="preserve">lanner to jointly develop solutions with its respective </w:t>
      </w:r>
      <w:r w:rsidR="00B641FC" w:rsidRPr="00C57BDC">
        <w:rPr>
          <w:szCs w:val="26"/>
        </w:rPr>
        <w:t xml:space="preserve">reliability coordinators </w:t>
      </w:r>
      <w:r w:rsidR="00837B41" w:rsidRPr="00C57BDC">
        <w:rPr>
          <w:szCs w:val="26"/>
        </w:rPr>
        <w:t xml:space="preserve">for identified issues or conflicts with planned outages in its </w:t>
      </w:r>
      <w:r w:rsidR="00B641FC" w:rsidRPr="00C57BDC">
        <w:rPr>
          <w:szCs w:val="26"/>
        </w:rPr>
        <w:t>p</w:t>
      </w:r>
      <w:r w:rsidR="00837B41" w:rsidRPr="00C57BDC">
        <w:rPr>
          <w:szCs w:val="26"/>
        </w:rPr>
        <w:t xml:space="preserve">lanning </w:t>
      </w:r>
      <w:r w:rsidR="00B641FC" w:rsidRPr="00C57BDC">
        <w:rPr>
          <w:szCs w:val="26"/>
        </w:rPr>
        <w:t>a</w:t>
      </w:r>
      <w:r w:rsidR="00837B41" w:rsidRPr="00C57BDC">
        <w:rPr>
          <w:szCs w:val="26"/>
        </w:rPr>
        <w:t xml:space="preserve">ssessment for the </w:t>
      </w:r>
      <w:r w:rsidR="00B641FC" w:rsidRPr="00C57BDC">
        <w:rPr>
          <w:szCs w:val="26"/>
        </w:rPr>
        <w:t>near-t</w:t>
      </w:r>
      <w:r w:rsidR="00837B41" w:rsidRPr="00C57BDC">
        <w:rPr>
          <w:szCs w:val="26"/>
        </w:rPr>
        <w:t xml:space="preserve">erm </w:t>
      </w:r>
      <w:r w:rsidR="00B641FC" w:rsidRPr="00C57BDC">
        <w:rPr>
          <w:szCs w:val="26"/>
        </w:rPr>
        <w:t>t</w:t>
      </w:r>
      <w:r w:rsidR="00837B41" w:rsidRPr="00C57BDC">
        <w:rPr>
          <w:szCs w:val="26"/>
        </w:rPr>
        <w:t xml:space="preserve">ransmission </w:t>
      </w:r>
      <w:r w:rsidR="00B641FC" w:rsidRPr="00C57BDC">
        <w:rPr>
          <w:szCs w:val="26"/>
        </w:rPr>
        <w:t>p</w:t>
      </w:r>
      <w:r w:rsidR="00837B41" w:rsidRPr="00C57BDC">
        <w:rPr>
          <w:szCs w:val="26"/>
        </w:rPr>
        <w:t xml:space="preserve">lanning </w:t>
      </w:r>
      <w:r w:rsidR="00B641FC" w:rsidRPr="00C57BDC">
        <w:rPr>
          <w:szCs w:val="26"/>
        </w:rPr>
        <w:t>h</w:t>
      </w:r>
      <w:r w:rsidR="00837B41" w:rsidRPr="00C57BDC">
        <w:rPr>
          <w:szCs w:val="26"/>
        </w:rPr>
        <w:t xml:space="preserve">orizon. </w:t>
      </w:r>
    </w:p>
    <w:p w14:paraId="30B59601" w14:textId="77777777" w:rsidR="004C1AA1" w:rsidRPr="00D17A38" w:rsidRDefault="004C1AA1" w:rsidP="004E4D86">
      <w:pPr>
        <w:pStyle w:val="FERCparanumber"/>
        <w:numPr>
          <w:ilvl w:val="0"/>
          <w:numId w:val="0"/>
        </w:numPr>
        <w:ind w:firstLine="720"/>
        <w:rPr>
          <w:szCs w:val="26"/>
          <w:u w:val="single"/>
        </w:rPr>
      </w:pPr>
      <w:r w:rsidRPr="00D17A38">
        <w:rPr>
          <w:b/>
          <w:szCs w:val="26"/>
          <w:u w:val="single"/>
        </w:rPr>
        <w:t>Definitions</w:t>
      </w:r>
    </w:p>
    <w:p w14:paraId="41486E3E" w14:textId="47F45D4D" w:rsidR="00A15A21" w:rsidRPr="00C57BDC" w:rsidRDefault="00B344F1" w:rsidP="00D17A38">
      <w:pPr>
        <w:pStyle w:val="FERCparanumber"/>
        <w:tabs>
          <w:tab w:val="clear" w:pos="810"/>
          <w:tab w:val="num" w:pos="720"/>
        </w:tabs>
        <w:ind w:left="0"/>
        <w:rPr>
          <w:szCs w:val="26"/>
        </w:rPr>
      </w:pPr>
      <w:r w:rsidRPr="00C57BDC">
        <w:t>NERC also propose</w:t>
      </w:r>
      <w:r w:rsidR="0058404E" w:rsidRPr="00C57BDC">
        <w:t>s</w:t>
      </w:r>
      <w:r w:rsidRPr="00C57BDC">
        <w:t xml:space="preserve"> revised definitions for “</w:t>
      </w:r>
      <w:r w:rsidR="00F81491" w:rsidRPr="00C57BDC">
        <w:t>o</w:t>
      </w:r>
      <w:r w:rsidRPr="00C57BDC">
        <w:t xml:space="preserve">perational </w:t>
      </w:r>
      <w:r w:rsidR="00F81491" w:rsidRPr="00C57BDC">
        <w:t>p</w:t>
      </w:r>
      <w:r w:rsidRPr="00C57BDC">
        <w:t xml:space="preserve">lanning </w:t>
      </w:r>
      <w:r w:rsidR="00F81491" w:rsidRPr="00C57BDC">
        <w:t>a</w:t>
      </w:r>
      <w:r w:rsidRPr="00C57BDC">
        <w:t>nalysis” and “</w:t>
      </w:r>
      <w:r w:rsidR="00F81491" w:rsidRPr="00C57BDC">
        <w:t>r</w:t>
      </w:r>
      <w:r w:rsidRPr="00C57BDC">
        <w:t xml:space="preserve">eal-time </w:t>
      </w:r>
      <w:r w:rsidR="00F81491" w:rsidRPr="00C57BDC">
        <w:t>a</w:t>
      </w:r>
      <w:r w:rsidRPr="00C57BDC">
        <w:t>ssessment.”</w:t>
      </w:r>
      <w:r w:rsidR="00B54EE3" w:rsidRPr="00C57BDC">
        <w:rPr>
          <w:rStyle w:val="FootnoteReference"/>
        </w:rPr>
        <w:footnoteReference w:id="16"/>
      </w:r>
      <w:r w:rsidRPr="00C57BDC">
        <w:t xml:space="preserve">  NERC contends that the proposed definitions provide </w:t>
      </w:r>
      <w:r w:rsidRPr="00C57BDC">
        <w:lastRenderedPageBreak/>
        <w:t xml:space="preserve">significant additional detail </w:t>
      </w:r>
      <w:r w:rsidR="008F0825" w:rsidRPr="00C57BDC">
        <w:t xml:space="preserve">compared to </w:t>
      </w:r>
      <w:r w:rsidRPr="00C57BDC">
        <w:t xml:space="preserve">the currently effective definitions to enhance the consistency and the reliability benefit of </w:t>
      </w:r>
      <w:r w:rsidR="005D5186" w:rsidRPr="00C57BDC">
        <w:t>o</w:t>
      </w:r>
      <w:r w:rsidRPr="00C57BDC">
        <w:t xml:space="preserve">perational </w:t>
      </w:r>
      <w:r w:rsidR="005D5186" w:rsidRPr="00C57BDC">
        <w:t>p</w:t>
      </w:r>
      <w:r w:rsidRPr="00C57BDC">
        <w:t xml:space="preserve">lanning </w:t>
      </w:r>
      <w:r w:rsidR="003B30AE" w:rsidRPr="00C57BDC">
        <w:t>a</w:t>
      </w:r>
      <w:r w:rsidRPr="00C57BDC">
        <w:t>nalys</w:t>
      </w:r>
      <w:r w:rsidR="005D5186" w:rsidRPr="00C57BDC">
        <w:t>i</w:t>
      </w:r>
      <w:r w:rsidRPr="00C57BDC">
        <w:t xml:space="preserve">s and </w:t>
      </w:r>
      <w:r w:rsidR="003B30AE" w:rsidRPr="00C57BDC">
        <w:t>r</w:t>
      </w:r>
      <w:r w:rsidRPr="00C57BDC">
        <w:t xml:space="preserve">eal-time </w:t>
      </w:r>
      <w:r w:rsidR="003B30AE" w:rsidRPr="00C57BDC">
        <w:t>a</w:t>
      </w:r>
      <w:r w:rsidRPr="00C57BDC">
        <w:t>ssessments.</w:t>
      </w:r>
      <w:r w:rsidR="00B54EE3" w:rsidRPr="00C57BDC">
        <w:rPr>
          <w:rStyle w:val="FootnoteReference"/>
        </w:rPr>
        <w:footnoteReference w:id="17"/>
      </w:r>
      <w:r w:rsidRPr="00C57BDC">
        <w:t xml:space="preserve">  NERC states that the additional specificity reflected in the proposed definitions addresses concerns raised in </w:t>
      </w:r>
      <w:r w:rsidR="003F1925" w:rsidRPr="00C57BDC">
        <w:t xml:space="preserve">the </w:t>
      </w:r>
      <w:r w:rsidRPr="00C57BDC">
        <w:t>Remand NOPR and</w:t>
      </w:r>
      <w:r w:rsidR="00F70A7B" w:rsidRPr="00C57BDC">
        <w:t xml:space="preserve"> </w:t>
      </w:r>
      <w:r w:rsidR="00FB2DA0" w:rsidRPr="00C57BDC">
        <w:rPr>
          <w:szCs w:val="26"/>
        </w:rPr>
        <w:t>include</w:t>
      </w:r>
      <w:r w:rsidR="0058404E" w:rsidRPr="00C57BDC">
        <w:rPr>
          <w:szCs w:val="26"/>
        </w:rPr>
        <w:t>s</w:t>
      </w:r>
      <w:r w:rsidR="00FB2DA0" w:rsidRPr="00C57BDC">
        <w:rPr>
          <w:szCs w:val="26"/>
        </w:rPr>
        <w:t xml:space="preserve"> several inputs that were identified as </w:t>
      </w:r>
      <w:r w:rsidR="00F70A7B" w:rsidRPr="00C57BDC">
        <w:t xml:space="preserve">recommendations in the </w:t>
      </w:r>
      <w:r w:rsidR="002B26C9" w:rsidRPr="00C57BDC">
        <w:rPr>
          <w:szCs w:val="26"/>
        </w:rPr>
        <w:t>2011 Southwest Outage Blackout Report</w:t>
      </w:r>
      <w:r w:rsidR="00FB2DA0" w:rsidRPr="00C57BDC">
        <w:rPr>
          <w:szCs w:val="26"/>
        </w:rPr>
        <w:t xml:space="preserve">, which, in turn, will enhance situational awareness.  </w:t>
      </w:r>
    </w:p>
    <w:p w14:paraId="12BA1E1D" w14:textId="05320D84" w:rsidR="00FB2DA0" w:rsidRPr="00C57BDC" w:rsidRDefault="00FB2DA0" w:rsidP="00397892">
      <w:pPr>
        <w:pStyle w:val="FERCparanumber"/>
        <w:tabs>
          <w:tab w:val="clear" w:pos="810"/>
          <w:tab w:val="num" w:pos="720"/>
        </w:tabs>
        <w:ind w:left="0"/>
        <w:rPr>
          <w:szCs w:val="26"/>
        </w:rPr>
      </w:pPr>
      <w:r w:rsidRPr="00C57BDC">
        <w:rPr>
          <w:szCs w:val="26"/>
        </w:rPr>
        <w:t>The proposed NERC Glossary term “Operating Instruction” defines the scope of commands that are covered by the proposed TOP and IRO Reliability Standards.</w:t>
      </w:r>
      <w:r w:rsidR="00837B41" w:rsidRPr="00C57BDC">
        <w:rPr>
          <w:szCs w:val="26"/>
        </w:rPr>
        <w:t xml:space="preserve">  NERC explains that t</w:t>
      </w:r>
      <w:r w:rsidRPr="00C57BDC">
        <w:rPr>
          <w:szCs w:val="26"/>
        </w:rPr>
        <w:t xml:space="preserve">he revisions in the proposed definitions are intended to </w:t>
      </w:r>
      <w:r w:rsidR="00837B41" w:rsidRPr="00C57BDC">
        <w:rPr>
          <w:szCs w:val="26"/>
        </w:rPr>
        <w:t xml:space="preserve">ensure </w:t>
      </w:r>
      <w:r w:rsidRPr="00C57BDC">
        <w:rPr>
          <w:szCs w:val="26"/>
        </w:rPr>
        <w:t xml:space="preserve">that </w:t>
      </w:r>
      <w:r w:rsidR="00131C57" w:rsidRPr="00C57BDC">
        <w:rPr>
          <w:szCs w:val="26"/>
        </w:rPr>
        <w:t>o</w:t>
      </w:r>
      <w:r w:rsidRPr="00C57BDC">
        <w:rPr>
          <w:szCs w:val="26"/>
        </w:rPr>
        <w:t xml:space="preserve">perational </w:t>
      </w:r>
      <w:r w:rsidR="00131C57" w:rsidRPr="00C57BDC">
        <w:rPr>
          <w:szCs w:val="26"/>
        </w:rPr>
        <w:t>p</w:t>
      </w:r>
      <w:r w:rsidRPr="00C57BDC">
        <w:rPr>
          <w:szCs w:val="26"/>
        </w:rPr>
        <w:t xml:space="preserve">lanning </w:t>
      </w:r>
      <w:r w:rsidR="00131C57" w:rsidRPr="00C57BDC">
        <w:rPr>
          <w:szCs w:val="26"/>
        </w:rPr>
        <w:t>a</w:t>
      </w:r>
      <w:r w:rsidRPr="00C57BDC">
        <w:rPr>
          <w:szCs w:val="26"/>
        </w:rPr>
        <w:t xml:space="preserve">nalyses and </w:t>
      </w:r>
      <w:r w:rsidR="00131C57" w:rsidRPr="00C57BDC">
        <w:rPr>
          <w:szCs w:val="26"/>
        </w:rPr>
        <w:t>r</w:t>
      </w:r>
      <w:r w:rsidRPr="00C57BDC">
        <w:rPr>
          <w:szCs w:val="26"/>
        </w:rPr>
        <w:t xml:space="preserve">eal-time </w:t>
      </w:r>
      <w:r w:rsidR="00131C57" w:rsidRPr="00C57BDC">
        <w:rPr>
          <w:szCs w:val="26"/>
        </w:rPr>
        <w:t>a</w:t>
      </w:r>
      <w:r w:rsidRPr="00C57BDC">
        <w:rPr>
          <w:szCs w:val="26"/>
        </w:rPr>
        <w:t xml:space="preserve">ssessments contain sufficient details to result in an appropriate level of situational awareness for next-day planning and real-time operations, respectively. </w:t>
      </w:r>
    </w:p>
    <w:p w14:paraId="25296940" w14:textId="77777777" w:rsidR="00397892" w:rsidRDefault="00256E84" w:rsidP="0067456F">
      <w:pPr>
        <w:pStyle w:val="FERCparanumber"/>
        <w:numPr>
          <w:ilvl w:val="0"/>
          <w:numId w:val="0"/>
        </w:numPr>
        <w:rPr>
          <w:b/>
          <w:szCs w:val="26"/>
        </w:rPr>
      </w:pPr>
      <w:r w:rsidRPr="00C57BDC">
        <w:rPr>
          <w:b/>
          <w:szCs w:val="26"/>
        </w:rPr>
        <w:tab/>
      </w:r>
    </w:p>
    <w:p w14:paraId="0921ECFF" w14:textId="4F8E9459" w:rsidR="00AF3AD1" w:rsidRPr="00397892" w:rsidRDefault="00397892" w:rsidP="0067456F">
      <w:pPr>
        <w:pStyle w:val="FERCparanumber"/>
        <w:numPr>
          <w:ilvl w:val="0"/>
          <w:numId w:val="0"/>
        </w:numPr>
        <w:rPr>
          <w:b/>
          <w:szCs w:val="26"/>
          <w:u w:val="single"/>
        </w:rPr>
      </w:pPr>
      <w:r>
        <w:rPr>
          <w:b/>
          <w:szCs w:val="26"/>
        </w:rPr>
        <w:lastRenderedPageBreak/>
        <w:tab/>
      </w:r>
      <w:r w:rsidR="00AF3AD1" w:rsidRPr="00397892">
        <w:rPr>
          <w:b/>
          <w:szCs w:val="26"/>
          <w:u w:val="single"/>
        </w:rPr>
        <w:t>Implementation Plan</w:t>
      </w:r>
    </w:p>
    <w:p w14:paraId="758D976C" w14:textId="5BCFDE47" w:rsidR="00256E84" w:rsidRPr="00C57BDC" w:rsidRDefault="002D5597" w:rsidP="00397892">
      <w:pPr>
        <w:pStyle w:val="FERCparanumber"/>
        <w:tabs>
          <w:tab w:val="clear" w:pos="810"/>
          <w:tab w:val="num" w:pos="720"/>
        </w:tabs>
        <w:ind w:left="0"/>
        <w:rPr>
          <w:szCs w:val="26"/>
        </w:rPr>
      </w:pPr>
      <w:r w:rsidRPr="00C57BDC">
        <w:rPr>
          <w:szCs w:val="26"/>
        </w:rPr>
        <w:t>NERC proposes that</w:t>
      </w:r>
      <w:r w:rsidR="00837B41" w:rsidRPr="00C57BDC">
        <w:rPr>
          <w:szCs w:val="26"/>
        </w:rPr>
        <w:t>,</w:t>
      </w:r>
      <w:r w:rsidRPr="00C57BDC">
        <w:rPr>
          <w:szCs w:val="26"/>
        </w:rPr>
        <w:t xml:space="preserve"> f</w:t>
      </w:r>
      <w:r w:rsidR="00FB2DA0" w:rsidRPr="00C57BDC">
        <w:rPr>
          <w:szCs w:val="26"/>
        </w:rPr>
        <w:t xml:space="preserve">or all standards except proposed </w:t>
      </w:r>
      <w:r w:rsidRPr="00C57BDC">
        <w:rPr>
          <w:szCs w:val="26"/>
        </w:rPr>
        <w:t xml:space="preserve">Reliability Standards </w:t>
      </w:r>
      <w:r w:rsidR="00FB2DA0" w:rsidRPr="00C57BDC">
        <w:rPr>
          <w:szCs w:val="26"/>
        </w:rPr>
        <w:t>TOP-003-3 and IRO-010-2</w:t>
      </w:r>
      <w:r w:rsidRPr="00C57BDC">
        <w:rPr>
          <w:szCs w:val="26"/>
        </w:rPr>
        <w:t xml:space="preserve">, </w:t>
      </w:r>
      <w:r w:rsidR="0033296D" w:rsidRPr="00C57BDC">
        <w:rPr>
          <w:szCs w:val="26"/>
        </w:rPr>
        <w:t xml:space="preserve">the </w:t>
      </w:r>
      <w:r w:rsidR="00FB2DA0" w:rsidRPr="00C57BDC">
        <w:rPr>
          <w:szCs w:val="26"/>
        </w:rPr>
        <w:t xml:space="preserve">effective </w:t>
      </w:r>
      <w:r w:rsidR="0033296D" w:rsidRPr="00C57BDC">
        <w:rPr>
          <w:szCs w:val="26"/>
        </w:rPr>
        <w:t xml:space="preserve">date will be </w:t>
      </w:r>
      <w:r w:rsidR="00FB2DA0" w:rsidRPr="00C57BDC">
        <w:rPr>
          <w:szCs w:val="26"/>
        </w:rPr>
        <w:t xml:space="preserve">the first day of the first calendar quarter twelve months after </w:t>
      </w:r>
      <w:r w:rsidRPr="00C57BDC">
        <w:rPr>
          <w:szCs w:val="26"/>
        </w:rPr>
        <w:t xml:space="preserve">Commission approval.  </w:t>
      </w:r>
      <w:r w:rsidR="0033296D" w:rsidRPr="00C57BDC">
        <w:rPr>
          <w:szCs w:val="26"/>
        </w:rPr>
        <w:t xml:space="preserve">The twelve month implementation period for all of the standards except TOP-003-3 and IRO-010-2 is intended to allow time for entities to update processes and train operators on the revised requirements. </w:t>
      </w:r>
      <w:r w:rsidR="00837B41" w:rsidRPr="00C57BDC">
        <w:rPr>
          <w:szCs w:val="26"/>
        </w:rPr>
        <w:t xml:space="preserve"> </w:t>
      </w:r>
      <w:r w:rsidR="0033296D" w:rsidRPr="00C57BDC">
        <w:rPr>
          <w:szCs w:val="26"/>
        </w:rPr>
        <w:t xml:space="preserve">All of the Requirements in proposed TOP-003-3 and IRO-010-2 except TOP-003-3, Requirements R5 and IRO-010-2, Requirement R3 </w:t>
      </w:r>
      <w:r w:rsidR="0058404E" w:rsidRPr="00C57BDC">
        <w:rPr>
          <w:szCs w:val="26"/>
        </w:rPr>
        <w:t xml:space="preserve">would </w:t>
      </w:r>
      <w:r w:rsidR="0033296D" w:rsidRPr="00C57BDC">
        <w:rPr>
          <w:szCs w:val="26"/>
        </w:rPr>
        <w:t xml:space="preserve">become effective three months earlier, in order to provide recipients of data requests from their </w:t>
      </w:r>
      <w:r w:rsidR="003F1925" w:rsidRPr="00C57BDC">
        <w:rPr>
          <w:szCs w:val="26"/>
        </w:rPr>
        <w:t>r</w:t>
      </w:r>
      <w:r w:rsidR="0033296D" w:rsidRPr="00C57BDC">
        <w:rPr>
          <w:szCs w:val="26"/>
        </w:rPr>
        <w:t xml:space="preserve">eliability </w:t>
      </w:r>
      <w:r w:rsidR="003F1925" w:rsidRPr="00C57BDC">
        <w:rPr>
          <w:szCs w:val="26"/>
        </w:rPr>
        <w:t>c</w:t>
      </w:r>
      <w:r w:rsidR="0033296D" w:rsidRPr="00C57BDC">
        <w:rPr>
          <w:szCs w:val="26"/>
        </w:rPr>
        <w:t xml:space="preserve">oordinators, </w:t>
      </w:r>
      <w:r w:rsidR="003F1925" w:rsidRPr="00C57BDC">
        <w:rPr>
          <w:szCs w:val="26"/>
        </w:rPr>
        <w:t>t</w:t>
      </w:r>
      <w:r w:rsidR="0033296D" w:rsidRPr="00C57BDC">
        <w:rPr>
          <w:szCs w:val="26"/>
        </w:rPr>
        <w:t xml:space="preserve">ransmission </w:t>
      </w:r>
      <w:r w:rsidR="003F1925" w:rsidRPr="00C57BDC">
        <w:rPr>
          <w:szCs w:val="26"/>
        </w:rPr>
        <w:t>o</w:t>
      </w:r>
      <w:r w:rsidR="0033296D" w:rsidRPr="00C57BDC">
        <w:rPr>
          <w:szCs w:val="26"/>
        </w:rPr>
        <w:t xml:space="preserve">perators, and/or </w:t>
      </w:r>
      <w:r w:rsidR="003F1925" w:rsidRPr="00C57BDC">
        <w:rPr>
          <w:szCs w:val="26"/>
        </w:rPr>
        <w:t>b</w:t>
      </w:r>
      <w:r w:rsidR="0033296D" w:rsidRPr="00C57BDC">
        <w:rPr>
          <w:szCs w:val="26"/>
        </w:rPr>
        <w:t xml:space="preserve">alancing </w:t>
      </w:r>
      <w:r w:rsidR="003F1925" w:rsidRPr="00C57BDC">
        <w:rPr>
          <w:szCs w:val="26"/>
        </w:rPr>
        <w:t>a</w:t>
      </w:r>
      <w:r w:rsidR="0033296D" w:rsidRPr="00C57BDC">
        <w:rPr>
          <w:szCs w:val="26"/>
        </w:rPr>
        <w:t>uthorities time to respond to the request</w:t>
      </w:r>
      <w:r w:rsidR="0058404E" w:rsidRPr="00C57BDC">
        <w:rPr>
          <w:szCs w:val="26"/>
        </w:rPr>
        <w:t>s</w:t>
      </w:r>
      <w:r w:rsidR="0033296D" w:rsidRPr="00C57BDC">
        <w:rPr>
          <w:szCs w:val="26"/>
        </w:rPr>
        <w:t xml:space="preserve"> for data.</w:t>
      </w:r>
    </w:p>
    <w:p w14:paraId="53F7118E" w14:textId="08788CEA" w:rsidR="00AF3AD1" w:rsidRPr="00C57BDC" w:rsidRDefault="003C5614" w:rsidP="00397892">
      <w:pPr>
        <w:pStyle w:val="FERCparanumber"/>
        <w:tabs>
          <w:tab w:val="clear" w:pos="810"/>
          <w:tab w:val="num" w:pos="720"/>
        </w:tabs>
        <w:ind w:left="0"/>
        <w:rPr>
          <w:szCs w:val="26"/>
        </w:rPr>
      </w:pPr>
      <w:r w:rsidRPr="00C57BDC">
        <w:rPr>
          <w:szCs w:val="26"/>
        </w:rPr>
        <w:t>According to NERC’s implementation plan, f</w:t>
      </w:r>
      <w:r w:rsidR="002D5597" w:rsidRPr="00C57BDC">
        <w:rPr>
          <w:szCs w:val="26"/>
        </w:rPr>
        <w:t>or proposed TOP-003-3, a</w:t>
      </w:r>
      <w:r w:rsidR="00EB280C" w:rsidRPr="00C57BDC">
        <w:rPr>
          <w:szCs w:val="26"/>
        </w:rPr>
        <w:t>ll requirements except Requirement R5</w:t>
      </w:r>
      <w:r w:rsidR="0033296D" w:rsidRPr="00C57BDC">
        <w:rPr>
          <w:szCs w:val="26"/>
        </w:rPr>
        <w:t xml:space="preserve"> will</w:t>
      </w:r>
      <w:r w:rsidR="00EB280C" w:rsidRPr="00C57BDC">
        <w:rPr>
          <w:szCs w:val="26"/>
        </w:rPr>
        <w:t xml:space="preserve"> become effective on the first day of the first calendar quarter nine months after the dat</w:t>
      </w:r>
      <w:r w:rsidR="002D5597" w:rsidRPr="00C57BDC">
        <w:rPr>
          <w:szCs w:val="26"/>
        </w:rPr>
        <w:t xml:space="preserve">e that the standard is approved.  For proposed IRO-010-2, </w:t>
      </w:r>
      <w:r w:rsidR="00EB280C" w:rsidRPr="00C57BDC">
        <w:rPr>
          <w:szCs w:val="26"/>
        </w:rPr>
        <w:t>Requirement</w:t>
      </w:r>
      <w:r w:rsidR="003F1925" w:rsidRPr="00C57BDC">
        <w:rPr>
          <w:szCs w:val="26"/>
        </w:rPr>
        <w:t>s</w:t>
      </w:r>
      <w:r w:rsidR="00EB280C" w:rsidRPr="00C57BDC">
        <w:rPr>
          <w:szCs w:val="26"/>
        </w:rPr>
        <w:t xml:space="preserve"> R1 and R2 </w:t>
      </w:r>
      <w:r w:rsidR="0058404E" w:rsidRPr="00C57BDC">
        <w:rPr>
          <w:szCs w:val="26"/>
        </w:rPr>
        <w:t>would</w:t>
      </w:r>
      <w:r w:rsidR="0033296D" w:rsidRPr="00C57BDC">
        <w:rPr>
          <w:szCs w:val="26"/>
        </w:rPr>
        <w:t xml:space="preserve"> </w:t>
      </w:r>
      <w:r w:rsidR="00EB280C" w:rsidRPr="00C57BDC">
        <w:rPr>
          <w:szCs w:val="26"/>
        </w:rPr>
        <w:t>become effective on the first day of the first calendar quarter that is nine months after the dat</w:t>
      </w:r>
      <w:r w:rsidR="0033296D" w:rsidRPr="00C57BDC">
        <w:rPr>
          <w:szCs w:val="26"/>
        </w:rPr>
        <w:t xml:space="preserve">e that the standard is approved.  </w:t>
      </w:r>
      <w:r w:rsidR="00EB280C" w:rsidRPr="00C57BDC">
        <w:rPr>
          <w:szCs w:val="26"/>
        </w:rPr>
        <w:t xml:space="preserve">Requirement R3 </w:t>
      </w:r>
      <w:r w:rsidR="0058404E" w:rsidRPr="00C57BDC">
        <w:rPr>
          <w:szCs w:val="26"/>
        </w:rPr>
        <w:t xml:space="preserve">would </w:t>
      </w:r>
      <w:r w:rsidR="00EB280C" w:rsidRPr="00C57BDC">
        <w:rPr>
          <w:szCs w:val="26"/>
        </w:rPr>
        <w:t>become effective on the first day of the first calendar quarter twelve</w:t>
      </w:r>
      <w:r w:rsidR="0033296D" w:rsidRPr="00C57BDC">
        <w:rPr>
          <w:szCs w:val="26"/>
        </w:rPr>
        <w:t xml:space="preserve"> </w:t>
      </w:r>
      <w:r w:rsidR="00EB280C" w:rsidRPr="00C57BDC">
        <w:rPr>
          <w:szCs w:val="26"/>
        </w:rPr>
        <w:t>months after the dat</w:t>
      </w:r>
      <w:r w:rsidR="00256E84" w:rsidRPr="00C57BDC">
        <w:rPr>
          <w:szCs w:val="26"/>
        </w:rPr>
        <w:t>e that the standard is approved</w:t>
      </w:r>
      <w:r w:rsidR="0033296D" w:rsidRPr="00C57BDC">
        <w:rPr>
          <w:szCs w:val="26"/>
        </w:rPr>
        <w:t xml:space="preserve">.  NERC states that the reason for the difference in effective dates for proposed TOP-003-3 </w:t>
      </w:r>
      <w:r w:rsidR="003F1925" w:rsidRPr="00C57BDC">
        <w:rPr>
          <w:szCs w:val="26"/>
        </w:rPr>
        <w:t xml:space="preserve">and </w:t>
      </w:r>
      <w:r w:rsidR="0033296D" w:rsidRPr="00C57BDC">
        <w:rPr>
          <w:szCs w:val="26"/>
        </w:rPr>
        <w:t xml:space="preserve">IRO-010-2 is to allow applicable entities to have time to properly respond to the data specification requests.   </w:t>
      </w:r>
    </w:p>
    <w:p w14:paraId="48695039" w14:textId="77777777" w:rsidR="00CD1C07" w:rsidRPr="00C57BDC" w:rsidRDefault="00CD1C07" w:rsidP="000A7AFF">
      <w:pPr>
        <w:pStyle w:val="Heading1"/>
        <w:numPr>
          <w:ilvl w:val="0"/>
          <w:numId w:val="13"/>
        </w:numPr>
        <w:ind w:left="0" w:firstLine="0"/>
        <w:rPr>
          <w:szCs w:val="26"/>
        </w:rPr>
      </w:pPr>
      <w:r w:rsidRPr="00C57BDC">
        <w:rPr>
          <w:szCs w:val="26"/>
        </w:rPr>
        <w:lastRenderedPageBreak/>
        <w:t>Discussion</w:t>
      </w:r>
    </w:p>
    <w:p w14:paraId="0B377A2B" w14:textId="595E3D72" w:rsidR="00FF6FEC" w:rsidRPr="00C57BDC" w:rsidRDefault="00FF6FEC" w:rsidP="00397892">
      <w:pPr>
        <w:pStyle w:val="FERCparanumber"/>
        <w:tabs>
          <w:tab w:val="clear" w:pos="810"/>
          <w:tab w:val="num" w:pos="720"/>
        </w:tabs>
        <w:ind w:left="0"/>
        <w:rPr>
          <w:szCs w:val="26"/>
        </w:rPr>
      </w:pPr>
      <w:r w:rsidRPr="00C57BDC">
        <w:rPr>
          <w:szCs w:val="26"/>
        </w:rPr>
        <w:t>Pursuant to section 215(d) of the FPA, we propose to approve NERC’s proposed revisions to the TOP and IRO Reliability Standards as just, reasonable, not unduly discriminatory or preferential, and in the public interest.  We believe that NERC’s approach of con</w:t>
      </w:r>
      <w:r w:rsidR="001A7E91" w:rsidRPr="00C57BDC">
        <w:rPr>
          <w:szCs w:val="26"/>
        </w:rPr>
        <w:t>solidating</w:t>
      </w:r>
      <w:r w:rsidRPr="00C57BDC">
        <w:rPr>
          <w:szCs w:val="26"/>
        </w:rPr>
        <w:t xml:space="preserve"> requirements and removing redundancies generally has merit and is consistent with Commission policy p</w:t>
      </w:r>
      <w:r w:rsidR="004D5A63" w:rsidRPr="00C57BDC">
        <w:rPr>
          <w:szCs w:val="26"/>
        </w:rPr>
        <w:t xml:space="preserve">romoting increased efficiencies </w:t>
      </w:r>
      <w:r w:rsidRPr="00C57BDC">
        <w:rPr>
          <w:szCs w:val="26"/>
        </w:rPr>
        <w:t>in Reliability Standards and reducing requirements that are either redundant with other currently effective requirements or have little reliability benefit.</w:t>
      </w:r>
      <w:r w:rsidRPr="00C57BDC">
        <w:rPr>
          <w:rStyle w:val="FootnoteReference"/>
        </w:rPr>
        <w:footnoteReference w:id="18"/>
      </w:r>
      <w:r w:rsidRPr="00C57BDC">
        <w:rPr>
          <w:szCs w:val="26"/>
        </w:rPr>
        <w:t xml:space="preserve"> </w:t>
      </w:r>
    </w:p>
    <w:p w14:paraId="6A5686D4" w14:textId="26FC87A3" w:rsidR="008E7B16" w:rsidRPr="00C57BDC" w:rsidRDefault="008E7B16" w:rsidP="00397892">
      <w:pPr>
        <w:pStyle w:val="FERCparanumber"/>
        <w:tabs>
          <w:tab w:val="clear" w:pos="810"/>
          <w:tab w:val="num" w:pos="720"/>
        </w:tabs>
        <w:ind w:left="0"/>
        <w:rPr>
          <w:szCs w:val="26"/>
        </w:rPr>
      </w:pPr>
      <w:r w:rsidRPr="00C57BDC">
        <w:rPr>
          <w:szCs w:val="26"/>
        </w:rPr>
        <w:t xml:space="preserve">We agree with </w:t>
      </w:r>
      <w:r w:rsidR="00044913" w:rsidRPr="00C57BDC">
        <w:rPr>
          <w:szCs w:val="26"/>
        </w:rPr>
        <w:t xml:space="preserve">NERC that the proposed </w:t>
      </w:r>
      <w:r w:rsidR="004440A4" w:rsidRPr="00C57BDC">
        <w:rPr>
          <w:szCs w:val="26"/>
        </w:rPr>
        <w:t>TOP and IRO</w:t>
      </w:r>
      <w:r w:rsidR="00044913" w:rsidRPr="00C57BDC">
        <w:rPr>
          <w:szCs w:val="26"/>
        </w:rPr>
        <w:t xml:space="preserve"> Reliability Standards would improve reliability by defining an appropriate division of responsibilities between reliability coordinators and transmission operators.</w:t>
      </w:r>
      <w:r w:rsidR="00044913" w:rsidRPr="00C57BDC">
        <w:rPr>
          <w:rStyle w:val="FootnoteReference"/>
        </w:rPr>
        <w:footnoteReference w:id="19"/>
      </w:r>
      <w:r w:rsidR="00044913" w:rsidRPr="00C57BDC">
        <w:rPr>
          <w:szCs w:val="26"/>
        </w:rPr>
        <w:t xml:space="preserve">  </w:t>
      </w:r>
      <w:r w:rsidR="00FF6FEC" w:rsidRPr="00C57BDC">
        <w:rPr>
          <w:szCs w:val="26"/>
        </w:rPr>
        <w:t>Specifically, NERC states that the proposed TOP Reliability Standards will be improved by eliminating multiple TOP standards</w:t>
      </w:r>
      <w:r w:rsidR="0058404E" w:rsidRPr="00C57BDC">
        <w:rPr>
          <w:szCs w:val="26"/>
        </w:rPr>
        <w:t>,</w:t>
      </w:r>
      <w:r w:rsidR="00FF6FEC" w:rsidRPr="00C57BDC">
        <w:rPr>
          <w:szCs w:val="26"/>
        </w:rPr>
        <w:t xml:space="preserve"> resulting in a more concise set of standards.  Thus, we believe that NERC’s TOP proposal would reduce redundancy and more clearly delineate responsibilities between applicable entities. </w:t>
      </w:r>
      <w:r w:rsidR="00F81EC7" w:rsidRPr="00C57BDC">
        <w:rPr>
          <w:szCs w:val="26"/>
        </w:rPr>
        <w:t xml:space="preserve"> </w:t>
      </w:r>
      <w:r w:rsidRPr="00C57BDC">
        <w:rPr>
          <w:szCs w:val="26"/>
        </w:rPr>
        <w:t>In addition, we believe that the proposed Reliability Standards provide</w:t>
      </w:r>
      <w:r w:rsidR="0058404E" w:rsidRPr="00C57BDC">
        <w:rPr>
          <w:szCs w:val="26"/>
        </w:rPr>
        <w:t xml:space="preserve"> a comprehensive framework as well as</w:t>
      </w:r>
      <w:r w:rsidRPr="00C57BDC">
        <w:rPr>
          <w:szCs w:val="26"/>
        </w:rPr>
        <w:t xml:space="preserve"> important improvements to ensure </w:t>
      </w:r>
      <w:r w:rsidR="00C62F12" w:rsidRPr="00C57BDC">
        <w:rPr>
          <w:szCs w:val="26"/>
        </w:rPr>
        <w:t xml:space="preserve">that </w:t>
      </w:r>
      <w:r w:rsidRPr="00C57BDC">
        <w:rPr>
          <w:szCs w:val="26"/>
        </w:rPr>
        <w:t xml:space="preserve">the bulk electric system is operated within pre-established limits while enhancing situational awareness and strengthening operations planning.  </w:t>
      </w:r>
      <w:r w:rsidR="004D5A63" w:rsidRPr="00C57BDC">
        <w:rPr>
          <w:szCs w:val="26"/>
        </w:rPr>
        <w:t xml:space="preserve">We believe that </w:t>
      </w:r>
      <w:r w:rsidR="004D5A63" w:rsidRPr="00C57BDC">
        <w:rPr>
          <w:szCs w:val="26"/>
        </w:rPr>
        <w:lastRenderedPageBreak/>
        <w:t>t</w:t>
      </w:r>
      <w:r w:rsidRPr="00C57BDC">
        <w:rPr>
          <w:szCs w:val="26"/>
        </w:rPr>
        <w:t xml:space="preserve">he proposed TOP and IRO Reliability Standards address the coordinated efforts to plan and reliably operate the bulk electric system under both normal and abnormal conditions.  </w:t>
      </w:r>
    </w:p>
    <w:p w14:paraId="147F7099" w14:textId="5728D04F" w:rsidR="004440A4" w:rsidRPr="00C57BDC" w:rsidRDefault="00141AA5" w:rsidP="007D3D4B">
      <w:pPr>
        <w:pStyle w:val="FERCparanumber"/>
        <w:tabs>
          <w:tab w:val="clear" w:pos="810"/>
          <w:tab w:val="num" w:pos="720"/>
        </w:tabs>
        <w:ind w:left="0"/>
        <w:rPr>
          <w:szCs w:val="26"/>
        </w:rPr>
      </w:pPr>
      <w:r w:rsidRPr="00C57BDC">
        <w:rPr>
          <w:szCs w:val="26"/>
        </w:rPr>
        <w:t>For these reasons,</w:t>
      </w:r>
      <w:r w:rsidR="00E35E20" w:rsidRPr="00C57BDC">
        <w:rPr>
          <w:szCs w:val="26"/>
        </w:rPr>
        <w:t xml:space="preserve"> </w:t>
      </w:r>
      <w:r w:rsidR="004440A4" w:rsidRPr="00C57BDC">
        <w:rPr>
          <w:szCs w:val="26"/>
        </w:rPr>
        <w:t>we propose to approve NERC’s revisions to the TOP and IRO Reliability Standards</w:t>
      </w:r>
      <w:r w:rsidR="00E35E20" w:rsidRPr="00C57BDC">
        <w:rPr>
          <w:szCs w:val="26"/>
        </w:rPr>
        <w:t>.</w:t>
      </w:r>
      <w:r w:rsidR="004440A4" w:rsidRPr="00C57BDC">
        <w:rPr>
          <w:szCs w:val="26"/>
        </w:rPr>
        <w:t xml:space="preserve"> </w:t>
      </w:r>
      <w:r w:rsidR="00E35E20" w:rsidRPr="00C57BDC">
        <w:rPr>
          <w:szCs w:val="26"/>
        </w:rPr>
        <w:t xml:space="preserve"> </w:t>
      </w:r>
      <w:r w:rsidR="00F33345">
        <w:rPr>
          <w:szCs w:val="26"/>
        </w:rPr>
        <w:t>W</w:t>
      </w:r>
      <w:r w:rsidR="004440A4" w:rsidRPr="00C57BDC">
        <w:rPr>
          <w:szCs w:val="26"/>
        </w:rPr>
        <w:t xml:space="preserve">e </w:t>
      </w:r>
      <w:r w:rsidR="00F33345">
        <w:rPr>
          <w:szCs w:val="26"/>
        </w:rPr>
        <w:t xml:space="preserve">also </w:t>
      </w:r>
      <w:r w:rsidR="004440A4" w:rsidRPr="00C57BDC">
        <w:rPr>
          <w:szCs w:val="26"/>
        </w:rPr>
        <w:t xml:space="preserve">discuss </w:t>
      </w:r>
      <w:r w:rsidRPr="00C57BDC">
        <w:rPr>
          <w:szCs w:val="26"/>
        </w:rPr>
        <w:t xml:space="preserve">below:  </w:t>
      </w:r>
      <w:r w:rsidR="00E35E20" w:rsidRPr="00C57BDC">
        <w:rPr>
          <w:szCs w:val="26"/>
        </w:rPr>
        <w:t>(A) concern</w:t>
      </w:r>
      <w:r w:rsidRPr="00C57BDC">
        <w:rPr>
          <w:szCs w:val="26"/>
        </w:rPr>
        <w:t>s</w:t>
      </w:r>
      <w:r w:rsidR="00E35E20" w:rsidRPr="00C57BDC">
        <w:rPr>
          <w:szCs w:val="26"/>
        </w:rPr>
        <w:t xml:space="preserve"> </w:t>
      </w:r>
      <w:r w:rsidRPr="00C57BDC">
        <w:rPr>
          <w:szCs w:val="26"/>
        </w:rPr>
        <w:t xml:space="preserve">raised in </w:t>
      </w:r>
      <w:r w:rsidR="00E35E20" w:rsidRPr="00C57BDC">
        <w:rPr>
          <w:szCs w:val="26"/>
        </w:rPr>
        <w:t xml:space="preserve">the Remand NOPR </w:t>
      </w:r>
      <w:r w:rsidR="0099665A" w:rsidRPr="00C57BDC">
        <w:rPr>
          <w:szCs w:val="26"/>
        </w:rPr>
        <w:t xml:space="preserve">plus </w:t>
      </w:r>
      <w:r w:rsidR="00E1513A" w:rsidRPr="00C57BDC">
        <w:rPr>
          <w:szCs w:val="26"/>
        </w:rPr>
        <w:t xml:space="preserve">possible </w:t>
      </w:r>
      <w:r w:rsidR="0099665A" w:rsidRPr="00C57BDC">
        <w:rPr>
          <w:szCs w:val="26"/>
        </w:rPr>
        <w:t>in</w:t>
      </w:r>
      <w:r w:rsidR="00E1513A" w:rsidRPr="00C57BDC">
        <w:rPr>
          <w:rFonts w:eastAsiaTheme="minorHAnsi"/>
        </w:rPr>
        <w:t>consistencies of identifying IROLs</w:t>
      </w:r>
      <w:r w:rsidR="00C8178C">
        <w:rPr>
          <w:rFonts w:eastAsiaTheme="minorHAnsi"/>
        </w:rPr>
        <w:t>;</w:t>
      </w:r>
      <w:r w:rsidR="004440A4" w:rsidRPr="00C57BDC">
        <w:rPr>
          <w:szCs w:val="26"/>
        </w:rPr>
        <w:t xml:space="preserve"> (</w:t>
      </w:r>
      <w:r w:rsidR="00E35E20" w:rsidRPr="00C57BDC">
        <w:rPr>
          <w:szCs w:val="26"/>
        </w:rPr>
        <w:t>B</w:t>
      </w:r>
      <w:r w:rsidR="004440A4" w:rsidRPr="00C57BDC">
        <w:rPr>
          <w:szCs w:val="26"/>
        </w:rPr>
        <w:t xml:space="preserve">) </w:t>
      </w:r>
      <w:r w:rsidR="00C56579">
        <w:rPr>
          <w:szCs w:val="26"/>
        </w:rPr>
        <w:t xml:space="preserve">other reliability issues including (1) </w:t>
      </w:r>
      <w:r w:rsidR="004440A4" w:rsidRPr="00C57BDC">
        <w:rPr>
          <w:szCs w:val="26"/>
        </w:rPr>
        <w:t>monitoring of non-bulk electric system facilities; (</w:t>
      </w:r>
      <w:r w:rsidR="00C56579">
        <w:rPr>
          <w:szCs w:val="26"/>
        </w:rPr>
        <w:t>2</w:t>
      </w:r>
      <w:r w:rsidR="004440A4" w:rsidRPr="00C57BDC">
        <w:rPr>
          <w:szCs w:val="26"/>
        </w:rPr>
        <w:t xml:space="preserve">) removal of </w:t>
      </w:r>
      <w:r w:rsidR="006D31AA">
        <w:rPr>
          <w:szCs w:val="26"/>
        </w:rPr>
        <w:t xml:space="preserve">the </w:t>
      </w:r>
      <w:r w:rsidR="004440A4" w:rsidRPr="00C57BDC">
        <w:rPr>
          <w:szCs w:val="26"/>
        </w:rPr>
        <w:t>load-serving entity function from proposed Reliability Standard TOP-001-3; and (</w:t>
      </w:r>
      <w:r w:rsidR="00C56579">
        <w:rPr>
          <w:szCs w:val="26"/>
        </w:rPr>
        <w:t>3</w:t>
      </w:r>
      <w:r w:rsidR="004440A4" w:rsidRPr="00C57BDC">
        <w:rPr>
          <w:szCs w:val="26"/>
        </w:rPr>
        <w:t>) data exchange capabilities.</w:t>
      </w:r>
      <w:r w:rsidR="00044913" w:rsidRPr="00C57BDC">
        <w:rPr>
          <w:szCs w:val="26"/>
        </w:rPr>
        <w:t xml:space="preserve">  </w:t>
      </w:r>
    </w:p>
    <w:p w14:paraId="3284DE88" w14:textId="77777777" w:rsidR="000146E3" w:rsidRPr="00C57BDC" w:rsidRDefault="000146E3" w:rsidP="00397892">
      <w:pPr>
        <w:pStyle w:val="FERCparanumber"/>
        <w:numPr>
          <w:ilvl w:val="1"/>
          <w:numId w:val="13"/>
        </w:numPr>
        <w:tabs>
          <w:tab w:val="clear" w:pos="1080"/>
          <w:tab w:val="num" w:pos="1440"/>
        </w:tabs>
        <w:ind w:left="1440"/>
        <w:rPr>
          <w:b/>
          <w:szCs w:val="26"/>
          <w:u w:val="single"/>
        </w:rPr>
      </w:pPr>
      <w:r w:rsidRPr="00C57BDC">
        <w:rPr>
          <w:b/>
          <w:u w:val="single"/>
        </w:rPr>
        <w:t>Remand NOPR Issues</w:t>
      </w:r>
    </w:p>
    <w:p w14:paraId="780F618A" w14:textId="56123B52" w:rsidR="0025368E" w:rsidRPr="00C57BDC" w:rsidRDefault="000146E3" w:rsidP="00397892">
      <w:pPr>
        <w:pStyle w:val="FERCparanumber"/>
        <w:numPr>
          <w:ilvl w:val="0"/>
          <w:numId w:val="0"/>
        </w:numPr>
        <w:ind w:left="2160" w:hanging="720"/>
        <w:rPr>
          <w:b/>
          <w:szCs w:val="26"/>
        </w:rPr>
      </w:pPr>
      <w:r w:rsidRPr="00C57BDC">
        <w:rPr>
          <w:b/>
        </w:rPr>
        <w:t>1.</w:t>
      </w:r>
      <w:r w:rsidRPr="00C57BDC">
        <w:rPr>
          <w:b/>
        </w:rPr>
        <w:tab/>
      </w:r>
      <w:r w:rsidR="0025368E" w:rsidRPr="00397892">
        <w:rPr>
          <w:b/>
          <w:u w:val="single"/>
        </w:rPr>
        <w:t>Operational Responsibilities and Actions of SOLs and IROLs</w:t>
      </w:r>
    </w:p>
    <w:p w14:paraId="011DE1AC" w14:textId="77777777" w:rsidR="00344870" w:rsidRPr="00C57BDC" w:rsidRDefault="00271E57" w:rsidP="007D3D4B">
      <w:pPr>
        <w:pStyle w:val="FERCparanumber"/>
        <w:tabs>
          <w:tab w:val="clear" w:pos="810"/>
          <w:tab w:val="num" w:pos="720"/>
          <w:tab w:val="num" w:pos="2340"/>
        </w:tabs>
        <w:ind w:left="0"/>
        <w:rPr>
          <w:szCs w:val="26"/>
        </w:rPr>
      </w:pPr>
      <w:r w:rsidRPr="00C57BDC">
        <w:rPr>
          <w:szCs w:val="26"/>
        </w:rPr>
        <w:t>We propose to find that NERC ha</w:t>
      </w:r>
      <w:r w:rsidR="00E615CF" w:rsidRPr="00C57BDC">
        <w:rPr>
          <w:szCs w:val="26"/>
        </w:rPr>
        <w:t>s</w:t>
      </w:r>
      <w:r w:rsidRPr="00C57BDC">
        <w:rPr>
          <w:szCs w:val="26"/>
        </w:rPr>
        <w:t xml:space="preserve"> adequately addressed the concerns raised by the</w:t>
      </w:r>
      <w:r w:rsidR="00D662B6" w:rsidRPr="00C57BDC">
        <w:rPr>
          <w:szCs w:val="26"/>
        </w:rPr>
        <w:t xml:space="preserve"> Commission in the Remand NOPR </w:t>
      </w:r>
      <w:r w:rsidRPr="00C57BDC">
        <w:rPr>
          <w:szCs w:val="26"/>
        </w:rPr>
        <w:t xml:space="preserve">with respect to </w:t>
      </w:r>
      <w:r w:rsidR="00E615CF" w:rsidRPr="00C57BDC">
        <w:rPr>
          <w:szCs w:val="26"/>
        </w:rPr>
        <w:t xml:space="preserve">the </w:t>
      </w:r>
      <w:r w:rsidRPr="00C57BDC">
        <w:rPr>
          <w:szCs w:val="26"/>
        </w:rPr>
        <w:t>treatment of SOLs in th</w:t>
      </w:r>
      <w:r w:rsidR="00D662B6" w:rsidRPr="00C57BDC">
        <w:rPr>
          <w:szCs w:val="26"/>
        </w:rPr>
        <w:t xml:space="preserve">e </w:t>
      </w:r>
      <w:r w:rsidR="00DB1EF6" w:rsidRPr="00C57BDC">
        <w:rPr>
          <w:szCs w:val="26"/>
        </w:rPr>
        <w:t xml:space="preserve">proposed </w:t>
      </w:r>
      <w:r w:rsidR="00D662B6" w:rsidRPr="00C57BDC">
        <w:rPr>
          <w:szCs w:val="26"/>
        </w:rPr>
        <w:t>TOP Reliability Standards</w:t>
      </w:r>
      <w:r w:rsidRPr="00C57BDC">
        <w:rPr>
          <w:szCs w:val="26"/>
        </w:rPr>
        <w:t xml:space="preserve">.  </w:t>
      </w:r>
      <w:r w:rsidR="00344870" w:rsidRPr="00C57BDC">
        <w:rPr>
          <w:szCs w:val="26"/>
        </w:rPr>
        <w:t xml:space="preserve">In the Remand NOPR, the Commission expressed concern that the proposed TOP standards did not have a requirement “for transmission operators to plan and operate within all SOLs.  Without a requirement to </w:t>
      </w:r>
      <w:r w:rsidR="004406F1" w:rsidRPr="00C57BDC">
        <w:rPr>
          <w:szCs w:val="26"/>
        </w:rPr>
        <w:t>plan</w:t>
      </w:r>
      <w:r w:rsidR="00344870" w:rsidRPr="00C57BDC">
        <w:rPr>
          <w:szCs w:val="26"/>
        </w:rPr>
        <w:t xml:space="preserve"> and operate within all SOLs in the proposed standards and by limiting non-IROL SOLs to only those identified by the transmission operator internal to its area, system reliability is reduced and negative consequences can occur outside of the transmission operator’s internal area.”</w:t>
      </w:r>
      <w:r w:rsidR="00344870" w:rsidRPr="00C57BDC">
        <w:rPr>
          <w:rStyle w:val="FootnoteReference"/>
        </w:rPr>
        <w:footnoteReference w:id="20"/>
      </w:r>
      <w:r w:rsidR="00344870" w:rsidRPr="00C57BDC">
        <w:rPr>
          <w:szCs w:val="26"/>
        </w:rPr>
        <w:t xml:space="preserve">  The </w:t>
      </w:r>
      <w:r w:rsidR="00D662B6" w:rsidRPr="00C57BDC">
        <w:rPr>
          <w:szCs w:val="26"/>
        </w:rPr>
        <w:t>Commission</w:t>
      </w:r>
      <w:r w:rsidR="00344870" w:rsidRPr="00C57BDC">
        <w:rPr>
          <w:szCs w:val="26"/>
        </w:rPr>
        <w:t xml:space="preserve"> noted that “non-IROL SOLs that appear to be excluded from </w:t>
      </w:r>
      <w:r w:rsidR="00344870" w:rsidRPr="00C57BDC">
        <w:rPr>
          <w:szCs w:val="26"/>
        </w:rPr>
        <w:lastRenderedPageBreak/>
        <w:t>the proposed standard are non-IROL SOLs that are in a transmission operator’s area that impact another transmission operator’s area or more than one transmission operator’s area.”</w:t>
      </w:r>
      <w:r w:rsidR="00344870" w:rsidRPr="00C57BDC">
        <w:rPr>
          <w:rStyle w:val="FootnoteReference"/>
        </w:rPr>
        <w:footnoteReference w:id="21"/>
      </w:r>
      <w:r w:rsidR="00344870" w:rsidRPr="00C57BDC">
        <w:rPr>
          <w:szCs w:val="26"/>
        </w:rPr>
        <w:t xml:space="preserve">  </w:t>
      </w:r>
    </w:p>
    <w:p w14:paraId="726744BF" w14:textId="5EA3B67E" w:rsidR="005338D0" w:rsidRPr="00C57BDC" w:rsidRDefault="00ED7DB2" w:rsidP="007D3D4B">
      <w:pPr>
        <w:pStyle w:val="FERCparanumber"/>
        <w:tabs>
          <w:tab w:val="clear" w:pos="810"/>
          <w:tab w:val="num" w:pos="720"/>
        </w:tabs>
        <w:ind w:left="0"/>
        <w:rPr>
          <w:szCs w:val="26"/>
        </w:rPr>
      </w:pPr>
      <w:r w:rsidRPr="00C57BDC">
        <w:rPr>
          <w:szCs w:val="26"/>
        </w:rPr>
        <w:t xml:space="preserve">The Commission </w:t>
      </w:r>
      <w:r w:rsidR="0095417F" w:rsidRPr="00C57BDC">
        <w:rPr>
          <w:szCs w:val="26"/>
        </w:rPr>
        <w:t>believes that the</w:t>
      </w:r>
      <w:r w:rsidR="00344870" w:rsidRPr="00C57BDC">
        <w:rPr>
          <w:szCs w:val="26"/>
        </w:rPr>
        <w:t xml:space="preserve"> proposed </w:t>
      </w:r>
      <w:r w:rsidR="00D662B6" w:rsidRPr="00C57BDC">
        <w:rPr>
          <w:szCs w:val="26"/>
        </w:rPr>
        <w:t xml:space="preserve">TOP </w:t>
      </w:r>
      <w:r w:rsidR="00344870" w:rsidRPr="00C57BDC">
        <w:rPr>
          <w:szCs w:val="26"/>
        </w:rPr>
        <w:t>Reliability Standards address the Commission’s</w:t>
      </w:r>
      <w:r w:rsidR="00D662B6" w:rsidRPr="00C57BDC">
        <w:rPr>
          <w:szCs w:val="26"/>
        </w:rPr>
        <w:t xml:space="preserve"> </w:t>
      </w:r>
      <w:r w:rsidRPr="00C57BDC">
        <w:rPr>
          <w:szCs w:val="26"/>
        </w:rPr>
        <w:t xml:space="preserve">Remand NOPR </w:t>
      </w:r>
      <w:r w:rsidR="00D662B6" w:rsidRPr="00C57BDC">
        <w:rPr>
          <w:szCs w:val="26"/>
        </w:rPr>
        <w:t>concerns by requiring t</w:t>
      </w:r>
      <w:r w:rsidR="00344870" w:rsidRPr="00C57BDC">
        <w:rPr>
          <w:szCs w:val="26"/>
        </w:rPr>
        <w:t xml:space="preserve">ransmission </w:t>
      </w:r>
      <w:r w:rsidR="00D662B6" w:rsidRPr="00C57BDC">
        <w:rPr>
          <w:szCs w:val="26"/>
        </w:rPr>
        <w:t>o</w:t>
      </w:r>
      <w:r w:rsidR="00344870" w:rsidRPr="00C57BDC">
        <w:rPr>
          <w:szCs w:val="26"/>
        </w:rPr>
        <w:t xml:space="preserve">perators to plan </w:t>
      </w:r>
      <w:r w:rsidR="00C31945" w:rsidRPr="00C57BDC">
        <w:rPr>
          <w:szCs w:val="26"/>
        </w:rPr>
        <w:t>and</w:t>
      </w:r>
      <w:r w:rsidR="00344870" w:rsidRPr="00C57BDC">
        <w:rPr>
          <w:szCs w:val="26"/>
        </w:rPr>
        <w:t xml:space="preserve"> operate within all SOLs</w:t>
      </w:r>
      <w:r w:rsidR="005B236A" w:rsidRPr="00C57BDC">
        <w:rPr>
          <w:szCs w:val="26"/>
        </w:rPr>
        <w:t>, and to monitor and assess SOL conditions within and outside a transmission operator’s area</w:t>
      </w:r>
      <w:r w:rsidR="00344870" w:rsidRPr="00C57BDC">
        <w:rPr>
          <w:szCs w:val="26"/>
        </w:rPr>
        <w:t xml:space="preserve">. </w:t>
      </w:r>
      <w:r w:rsidR="00D662B6" w:rsidRPr="00C57BDC">
        <w:rPr>
          <w:szCs w:val="26"/>
        </w:rPr>
        <w:t xml:space="preserve"> Specifically, p</w:t>
      </w:r>
      <w:r w:rsidR="00344870" w:rsidRPr="00C57BDC">
        <w:rPr>
          <w:szCs w:val="26"/>
        </w:rPr>
        <w:t xml:space="preserve">roposed Reliability </w:t>
      </w:r>
      <w:r w:rsidR="00DB574C" w:rsidRPr="00C57BDC">
        <w:rPr>
          <w:szCs w:val="26"/>
        </w:rPr>
        <w:t xml:space="preserve">Standard </w:t>
      </w:r>
      <w:r w:rsidR="00344870" w:rsidRPr="00C57BDC">
        <w:rPr>
          <w:szCs w:val="26"/>
        </w:rPr>
        <w:t xml:space="preserve">TOP-001-3, Requirement R14 requires each </w:t>
      </w:r>
      <w:r w:rsidR="00D23CEB" w:rsidRPr="00C57BDC">
        <w:rPr>
          <w:szCs w:val="26"/>
        </w:rPr>
        <w:t>t</w:t>
      </w:r>
      <w:r w:rsidR="00344870" w:rsidRPr="00C57BDC">
        <w:rPr>
          <w:szCs w:val="26"/>
        </w:rPr>
        <w:t xml:space="preserve">ransmission </w:t>
      </w:r>
      <w:r w:rsidR="00D23CEB" w:rsidRPr="00C57BDC">
        <w:rPr>
          <w:szCs w:val="26"/>
        </w:rPr>
        <w:t>o</w:t>
      </w:r>
      <w:r w:rsidR="00344870" w:rsidRPr="00C57BDC">
        <w:rPr>
          <w:szCs w:val="26"/>
        </w:rPr>
        <w:t xml:space="preserve">perator to initiate its </w:t>
      </w:r>
      <w:r w:rsidR="00D23CEB" w:rsidRPr="00C57BDC">
        <w:rPr>
          <w:szCs w:val="26"/>
        </w:rPr>
        <w:t>o</w:t>
      </w:r>
      <w:r w:rsidR="00344870" w:rsidRPr="00C57BDC">
        <w:rPr>
          <w:szCs w:val="26"/>
        </w:rPr>
        <w:t xml:space="preserve">perating </w:t>
      </w:r>
      <w:r w:rsidR="00D23CEB" w:rsidRPr="00C57BDC">
        <w:rPr>
          <w:szCs w:val="26"/>
        </w:rPr>
        <w:t>p</w:t>
      </w:r>
      <w:r w:rsidR="00344870" w:rsidRPr="00C57BDC">
        <w:rPr>
          <w:szCs w:val="26"/>
        </w:rPr>
        <w:t xml:space="preserve">lan to mitigate a SOL exceedance identified as part of its </w:t>
      </w:r>
      <w:r w:rsidR="00D23CEB" w:rsidRPr="00C57BDC">
        <w:rPr>
          <w:szCs w:val="26"/>
        </w:rPr>
        <w:t>r</w:t>
      </w:r>
      <w:r w:rsidR="00344870" w:rsidRPr="00C57BDC">
        <w:rPr>
          <w:szCs w:val="26"/>
        </w:rPr>
        <w:t xml:space="preserve">eal-time monitoring or </w:t>
      </w:r>
      <w:r w:rsidR="00D23CEB" w:rsidRPr="00C57BDC">
        <w:rPr>
          <w:szCs w:val="26"/>
        </w:rPr>
        <w:t>r</w:t>
      </w:r>
      <w:r w:rsidR="00344870" w:rsidRPr="00C57BDC">
        <w:rPr>
          <w:szCs w:val="26"/>
        </w:rPr>
        <w:t xml:space="preserve">eal-time </w:t>
      </w:r>
      <w:r w:rsidR="00D23CEB" w:rsidRPr="00C57BDC">
        <w:rPr>
          <w:szCs w:val="26"/>
        </w:rPr>
        <w:t>a</w:t>
      </w:r>
      <w:r w:rsidR="00344870" w:rsidRPr="00C57BDC">
        <w:rPr>
          <w:szCs w:val="26"/>
        </w:rPr>
        <w:t xml:space="preserve">ssessment. </w:t>
      </w:r>
      <w:r w:rsidR="00D662B6" w:rsidRPr="00C57BDC">
        <w:rPr>
          <w:szCs w:val="26"/>
        </w:rPr>
        <w:t xml:space="preserve"> </w:t>
      </w:r>
      <w:r w:rsidR="00D23CEB" w:rsidRPr="00C57BDC">
        <w:rPr>
          <w:szCs w:val="26"/>
        </w:rPr>
        <w:t xml:space="preserve">Proposed Reliability Standard TOP-001-3, Requirement R10 requires each transmission operator to monitor </w:t>
      </w:r>
      <w:r w:rsidR="003B30AE" w:rsidRPr="00C57BDC">
        <w:rPr>
          <w:szCs w:val="26"/>
        </w:rPr>
        <w:t>f</w:t>
      </w:r>
      <w:r w:rsidR="00D23CEB" w:rsidRPr="00C57BDC">
        <w:rPr>
          <w:szCs w:val="26"/>
        </w:rPr>
        <w:t>acilities within its transmission operator</w:t>
      </w:r>
      <w:r w:rsidR="004D5A63" w:rsidRPr="00C57BDC">
        <w:rPr>
          <w:szCs w:val="26"/>
        </w:rPr>
        <w:t xml:space="preserve"> area as well as certain f</w:t>
      </w:r>
      <w:r w:rsidR="00D23CEB" w:rsidRPr="00C57BDC">
        <w:rPr>
          <w:szCs w:val="26"/>
        </w:rPr>
        <w:t xml:space="preserve">acilities outside of its transmission operator area </w:t>
      </w:r>
      <w:r w:rsidR="00E53F1B" w:rsidRPr="00C57BDC">
        <w:rPr>
          <w:szCs w:val="26"/>
        </w:rPr>
        <w:t>to determine SOL exceedances within its transmission operator area</w:t>
      </w:r>
      <w:r w:rsidR="0058404E" w:rsidRPr="00C57BDC">
        <w:rPr>
          <w:szCs w:val="26"/>
        </w:rPr>
        <w:t xml:space="preserve"> during the real-time operations time horizon</w:t>
      </w:r>
      <w:r w:rsidR="00D23CEB" w:rsidRPr="00C57BDC">
        <w:rPr>
          <w:szCs w:val="26"/>
        </w:rPr>
        <w:t xml:space="preserve">.  </w:t>
      </w:r>
      <w:r w:rsidR="00D662B6" w:rsidRPr="00C57BDC">
        <w:rPr>
          <w:szCs w:val="26"/>
        </w:rPr>
        <w:t xml:space="preserve">In addition, </w:t>
      </w:r>
      <w:r w:rsidR="00344870" w:rsidRPr="00C57BDC">
        <w:rPr>
          <w:szCs w:val="26"/>
        </w:rPr>
        <w:t xml:space="preserve">proposed </w:t>
      </w:r>
      <w:r w:rsidR="004D5A63" w:rsidRPr="00C57BDC">
        <w:rPr>
          <w:szCs w:val="26"/>
        </w:rPr>
        <w:t xml:space="preserve">Reliability Standard </w:t>
      </w:r>
      <w:r w:rsidR="00344870" w:rsidRPr="00C57BDC">
        <w:rPr>
          <w:szCs w:val="26"/>
        </w:rPr>
        <w:t xml:space="preserve">TOP-001-3, Requirement R15 requires that each </w:t>
      </w:r>
      <w:r w:rsidR="00D662B6" w:rsidRPr="00C57BDC">
        <w:rPr>
          <w:szCs w:val="26"/>
        </w:rPr>
        <w:t>t</w:t>
      </w:r>
      <w:r w:rsidR="00344870" w:rsidRPr="00C57BDC">
        <w:rPr>
          <w:szCs w:val="26"/>
        </w:rPr>
        <w:t xml:space="preserve">ransmission </w:t>
      </w:r>
      <w:r w:rsidR="00D662B6" w:rsidRPr="00C57BDC">
        <w:rPr>
          <w:szCs w:val="26"/>
        </w:rPr>
        <w:t>o</w:t>
      </w:r>
      <w:r w:rsidR="00344870" w:rsidRPr="00C57BDC">
        <w:rPr>
          <w:szCs w:val="26"/>
        </w:rPr>
        <w:t xml:space="preserve">perator inform its </w:t>
      </w:r>
      <w:r w:rsidR="00D662B6" w:rsidRPr="00C57BDC">
        <w:rPr>
          <w:szCs w:val="26"/>
        </w:rPr>
        <w:t>r</w:t>
      </w:r>
      <w:r w:rsidR="00344870" w:rsidRPr="00C57BDC">
        <w:rPr>
          <w:szCs w:val="26"/>
        </w:rPr>
        <w:t xml:space="preserve">eliability </w:t>
      </w:r>
      <w:r w:rsidR="00D662B6" w:rsidRPr="00C57BDC">
        <w:rPr>
          <w:szCs w:val="26"/>
        </w:rPr>
        <w:t>c</w:t>
      </w:r>
      <w:r w:rsidR="00344870" w:rsidRPr="00C57BDC">
        <w:rPr>
          <w:szCs w:val="26"/>
        </w:rPr>
        <w:t xml:space="preserve">oordinator of actions taken to resolve </w:t>
      </w:r>
      <w:r w:rsidR="0058404E" w:rsidRPr="00C57BDC">
        <w:rPr>
          <w:szCs w:val="26"/>
        </w:rPr>
        <w:t>a</w:t>
      </w:r>
      <w:r w:rsidR="00344870" w:rsidRPr="00C57BDC">
        <w:rPr>
          <w:szCs w:val="26"/>
        </w:rPr>
        <w:t xml:space="preserve"> SOL exceedance.</w:t>
      </w:r>
      <w:r w:rsidR="006C6ECB" w:rsidRPr="00C57BDC">
        <w:rPr>
          <w:rStyle w:val="FootnoteReference"/>
        </w:rPr>
        <w:footnoteReference w:id="22"/>
      </w:r>
      <w:r w:rsidR="00DB574C" w:rsidRPr="00C57BDC">
        <w:rPr>
          <w:szCs w:val="26"/>
        </w:rPr>
        <w:t xml:space="preserve">  To address the concerns of operational planning, proposed Reliability Standard</w:t>
      </w:r>
      <w:r w:rsidR="00D662B6" w:rsidRPr="00C57BDC">
        <w:rPr>
          <w:szCs w:val="26"/>
        </w:rPr>
        <w:t xml:space="preserve"> </w:t>
      </w:r>
      <w:r w:rsidR="00DB574C" w:rsidRPr="00C57BDC">
        <w:rPr>
          <w:szCs w:val="26"/>
        </w:rPr>
        <w:t xml:space="preserve">TOP-002-4, Requirement R1 requires </w:t>
      </w:r>
      <w:r w:rsidR="0058404E" w:rsidRPr="00C57BDC">
        <w:rPr>
          <w:szCs w:val="26"/>
        </w:rPr>
        <w:t xml:space="preserve">each </w:t>
      </w:r>
      <w:r w:rsidR="00DB574C" w:rsidRPr="00C57BDC">
        <w:rPr>
          <w:szCs w:val="26"/>
        </w:rPr>
        <w:t xml:space="preserve">transmission operator to have an operational planning analysis to assess whether its next-day planned operations will </w:t>
      </w:r>
      <w:r w:rsidR="00DB574C" w:rsidRPr="00C57BDC">
        <w:rPr>
          <w:szCs w:val="26"/>
        </w:rPr>
        <w:lastRenderedPageBreak/>
        <w:t>exceed any of its SOLs within its area</w:t>
      </w:r>
      <w:r w:rsidR="006D31AA">
        <w:rPr>
          <w:szCs w:val="26"/>
        </w:rPr>
        <w:t>,</w:t>
      </w:r>
      <w:r w:rsidR="00DB574C" w:rsidRPr="00C57BDC">
        <w:rPr>
          <w:szCs w:val="26"/>
        </w:rPr>
        <w:t xml:space="preserve"> and Requirement R2 requires</w:t>
      </w:r>
      <w:r w:rsidR="003D00AA" w:rsidRPr="00C57BDC">
        <w:rPr>
          <w:szCs w:val="26"/>
        </w:rPr>
        <w:t xml:space="preserve"> the</w:t>
      </w:r>
      <w:r w:rsidR="00DB574C" w:rsidRPr="00C57BDC">
        <w:rPr>
          <w:szCs w:val="26"/>
        </w:rPr>
        <w:t xml:space="preserve"> transmission operator to have a next-day operating plan(s) to address any potential SOLs exceedances </w:t>
      </w:r>
      <w:r w:rsidR="0058404E" w:rsidRPr="00C57BDC">
        <w:rPr>
          <w:szCs w:val="26"/>
        </w:rPr>
        <w:t xml:space="preserve">identified in </w:t>
      </w:r>
      <w:r w:rsidR="00DB574C" w:rsidRPr="00C57BDC">
        <w:rPr>
          <w:szCs w:val="26"/>
        </w:rPr>
        <w:t>its operational planning analysis.</w:t>
      </w:r>
      <w:r w:rsidR="00DB574C" w:rsidRPr="00C57BDC">
        <w:rPr>
          <w:rStyle w:val="FootnoteReference"/>
        </w:rPr>
        <w:footnoteReference w:id="23"/>
      </w:r>
      <w:r w:rsidR="005B236A" w:rsidRPr="00C57BDC">
        <w:rPr>
          <w:szCs w:val="26"/>
        </w:rPr>
        <w:t xml:space="preserve"> </w:t>
      </w:r>
      <w:r w:rsidR="007D0943" w:rsidRPr="00C57BDC">
        <w:rPr>
          <w:szCs w:val="26"/>
        </w:rPr>
        <w:t xml:space="preserve">  </w:t>
      </w:r>
    </w:p>
    <w:p w14:paraId="7EC5353E" w14:textId="0A9F0F7D" w:rsidR="00FC505C" w:rsidRPr="00C57BDC" w:rsidRDefault="00D662B6" w:rsidP="007D3D4B">
      <w:pPr>
        <w:pStyle w:val="FERCparanumber"/>
        <w:tabs>
          <w:tab w:val="clear" w:pos="810"/>
          <w:tab w:val="num" w:pos="720"/>
        </w:tabs>
        <w:ind w:left="0"/>
        <w:rPr>
          <w:szCs w:val="26"/>
        </w:rPr>
      </w:pPr>
      <w:r w:rsidRPr="00C57BDC">
        <w:rPr>
          <w:szCs w:val="26"/>
        </w:rPr>
        <w:t>Further, p</w:t>
      </w:r>
      <w:r w:rsidR="00344870" w:rsidRPr="00C57BDC">
        <w:rPr>
          <w:szCs w:val="26"/>
        </w:rPr>
        <w:t xml:space="preserve">roposed </w:t>
      </w:r>
      <w:r w:rsidR="00044913" w:rsidRPr="00C57BDC">
        <w:rPr>
          <w:szCs w:val="26"/>
        </w:rPr>
        <w:t xml:space="preserve">Reliability Standard </w:t>
      </w:r>
      <w:r w:rsidR="00344870" w:rsidRPr="00C57BDC">
        <w:rPr>
          <w:szCs w:val="26"/>
        </w:rPr>
        <w:t xml:space="preserve">IRO-008-2, Requirements R1, R2, </w:t>
      </w:r>
      <w:r w:rsidR="007E614C" w:rsidRPr="00C57BDC">
        <w:rPr>
          <w:szCs w:val="26"/>
        </w:rPr>
        <w:t xml:space="preserve">R3, </w:t>
      </w:r>
      <w:r w:rsidR="00344870" w:rsidRPr="00C57BDC">
        <w:rPr>
          <w:szCs w:val="26"/>
        </w:rPr>
        <w:t xml:space="preserve">R5, and R6 </w:t>
      </w:r>
      <w:r w:rsidR="00A60D4B" w:rsidRPr="00C57BDC">
        <w:rPr>
          <w:szCs w:val="26"/>
        </w:rPr>
        <w:t xml:space="preserve">require reliability coordinators </w:t>
      </w:r>
      <w:r w:rsidR="00D7469B" w:rsidRPr="00C57BDC">
        <w:rPr>
          <w:szCs w:val="26"/>
        </w:rPr>
        <w:t xml:space="preserve">to plan and operate within </w:t>
      </w:r>
      <w:r w:rsidRPr="00C57BDC">
        <w:rPr>
          <w:szCs w:val="26"/>
        </w:rPr>
        <w:t>SOLs</w:t>
      </w:r>
      <w:r w:rsidR="00A60D4B" w:rsidRPr="00C57BDC">
        <w:rPr>
          <w:szCs w:val="26"/>
        </w:rPr>
        <w:t xml:space="preserve"> and IROLs</w:t>
      </w:r>
      <w:r w:rsidRPr="00C57BDC">
        <w:rPr>
          <w:szCs w:val="26"/>
        </w:rPr>
        <w:t>, which</w:t>
      </w:r>
      <w:r w:rsidR="0095417F" w:rsidRPr="00C57BDC">
        <w:rPr>
          <w:szCs w:val="26"/>
        </w:rPr>
        <w:t xml:space="preserve"> we believe</w:t>
      </w:r>
      <w:r w:rsidRPr="00C57BDC">
        <w:rPr>
          <w:szCs w:val="26"/>
        </w:rPr>
        <w:t xml:space="preserve"> </w:t>
      </w:r>
      <w:r w:rsidR="00B562CC" w:rsidRPr="00C57BDC">
        <w:rPr>
          <w:szCs w:val="26"/>
        </w:rPr>
        <w:t xml:space="preserve">work in tandem with the proposed TOP Standards </w:t>
      </w:r>
      <w:r w:rsidR="00CD32D7" w:rsidRPr="00C57BDC">
        <w:rPr>
          <w:szCs w:val="26"/>
        </w:rPr>
        <w:t xml:space="preserve">and </w:t>
      </w:r>
      <w:r w:rsidR="001E082B" w:rsidRPr="00C57BDC">
        <w:rPr>
          <w:szCs w:val="26"/>
        </w:rPr>
        <w:t xml:space="preserve">address </w:t>
      </w:r>
      <w:r w:rsidR="00344870" w:rsidRPr="00C57BDC">
        <w:rPr>
          <w:szCs w:val="26"/>
        </w:rPr>
        <w:t xml:space="preserve">the Commission’s concern that the previously-proposed Reliability Standards limited “non-IROL SOLs” to only those internally identified by the </w:t>
      </w:r>
      <w:r w:rsidRPr="00C57BDC">
        <w:rPr>
          <w:szCs w:val="26"/>
        </w:rPr>
        <w:t>t</w:t>
      </w:r>
      <w:r w:rsidR="00344870" w:rsidRPr="00C57BDC">
        <w:rPr>
          <w:szCs w:val="26"/>
        </w:rPr>
        <w:t xml:space="preserve">ransmission </w:t>
      </w:r>
      <w:r w:rsidRPr="00C57BDC">
        <w:rPr>
          <w:szCs w:val="26"/>
        </w:rPr>
        <w:t>o</w:t>
      </w:r>
      <w:r w:rsidR="00344870" w:rsidRPr="00C57BDC">
        <w:rPr>
          <w:szCs w:val="26"/>
        </w:rPr>
        <w:t>perator.</w:t>
      </w:r>
      <w:r w:rsidR="00C36947" w:rsidRPr="00C57BDC">
        <w:rPr>
          <w:szCs w:val="26"/>
        </w:rPr>
        <w:t xml:space="preserve">  </w:t>
      </w:r>
      <w:r w:rsidR="0074048E" w:rsidRPr="00C57BDC">
        <w:rPr>
          <w:szCs w:val="26"/>
        </w:rPr>
        <w:t>Specific</w:t>
      </w:r>
      <w:r w:rsidR="00D7469B" w:rsidRPr="00C57BDC">
        <w:rPr>
          <w:szCs w:val="26"/>
        </w:rPr>
        <w:t xml:space="preserve"> to operational planning</w:t>
      </w:r>
      <w:r w:rsidR="000146E3" w:rsidRPr="00C57BDC">
        <w:rPr>
          <w:szCs w:val="26"/>
        </w:rPr>
        <w:t xml:space="preserve">, proposed Reliability Standard </w:t>
      </w:r>
      <w:r w:rsidR="0074048E" w:rsidRPr="00C57BDC">
        <w:rPr>
          <w:szCs w:val="26"/>
        </w:rPr>
        <w:t xml:space="preserve">IRO-008-2, Requirement R1 requires the reliability coordinator </w:t>
      </w:r>
      <w:r w:rsidR="003D00AA" w:rsidRPr="00C57BDC">
        <w:rPr>
          <w:szCs w:val="26"/>
        </w:rPr>
        <w:t xml:space="preserve">to </w:t>
      </w:r>
      <w:r w:rsidR="006811E8" w:rsidRPr="00C57BDC">
        <w:rPr>
          <w:szCs w:val="26"/>
        </w:rPr>
        <w:t>have an operational planning analysis to assess whether its next-day planned operations will exceed SOLs and IROLs within its wide area</w:t>
      </w:r>
      <w:r w:rsidR="00AE1414">
        <w:rPr>
          <w:szCs w:val="26"/>
        </w:rPr>
        <w:t>,</w:t>
      </w:r>
      <w:r w:rsidR="006811E8" w:rsidRPr="00C57BDC">
        <w:rPr>
          <w:szCs w:val="26"/>
        </w:rPr>
        <w:t xml:space="preserve"> and Requirement R2 requires the reliability coordinator to have a coordinated next-day operating plan(s) to address potenti</w:t>
      </w:r>
      <w:r w:rsidR="008E438D" w:rsidRPr="00C57BDC">
        <w:rPr>
          <w:szCs w:val="26"/>
        </w:rPr>
        <w:t>al SOLs and IROLs exceedances identified in</w:t>
      </w:r>
      <w:r w:rsidR="006811E8" w:rsidRPr="00C57BDC">
        <w:rPr>
          <w:szCs w:val="26"/>
        </w:rPr>
        <w:t xml:space="preserve"> its operational planning analysis while considering the next-day operating plan(s) provided by its transmission operators and balancing authorit</w:t>
      </w:r>
      <w:r w:rsidR="00DA6CA7" w:rsidRPr="00C57BDC">
        <w:rPr>
          <w:szCs w:val="26"/>
        </w:rPr>
        <w:t>i</w:t>
      </w:r>
      <w:r w:rsidR="006811E8" w:rsidRPr="00C57BDC">
        <w:rPr>
          <w:szCs w:val="26"/>
        </w:rPr>
        <w:t>es.</w:t>
      </w:r>
      <w:r w:rsidR="0030397B" w:rsidRPr="00C57BDC">
        <w:rPr>
          <w:rStyle w:val="FootnoteReference"/>
        </w:rPr>
        <w:footnoteReference w:id="24"/>
      </w:r>
      <w:r w:rsidR="006811E8" w:rsidRPr="00C57BDC">
        <w:rPr>
          <w:szCs w:val="26"/>
        </w:rPr>
        <w:t xml:space="preserve"> </w:t>
      </w:r>
      <w:r w:rsidR="007E614C" w:rsidRPr="00C57BDC">
        <w:rPr>
          <w:szCs w:val="26"/>
        </w:rPr>
        <w:t xml:space="preserve"> Requirement R3 requires the reliability coordinator to notify impacted entities identified in its </w:t>
      </w:r>
      <w:r w:rsidR="008E7B16" w:rsidRPr="00C57BDC">
        <w:rPr>
          <w:szCs w:val="26"/>
        </w:rPr>
        <w:t>o</w:t>
      </w:r>
      <w:r w:rsidR="007E614C" w:rsidRPr="00C57BDC">
        <w:rPr>
          <w:szCs w:val="26"/>
        </w:rPr>
        <w:t xml:space="preserve">perating </w:t>
      </w:r>
      <w:r w:rsidR="008E7B16" w:rsidRPr="00C57BDC">
        <w:rPr>
          <w:szCs w:val="26"/>
        </w:rPr>
        <w:t>p</w:t>
      </w:r>
      <w:r w:rsidR="007E614C" w:rsidRPr="00C57BDC">
        <w:rPr>
          <w:szCs w:val="26"/>
        </w:rPr>
        <w:t>lan cited in Requirement R2 as to their role in such plan(s).  The Commission believes that the consideration of the transmission operators</w:t>
      </w:r>
      <w:r w:rsidR="00AE1414">
        <w:rPr>
          <w:szCs w:val="26"/>
        </w:rPr>
        <w:t>’</w:t>
      </w:r>
      <w:r w:rsidR="007E614C" w:rsidRPr="00C57BDC">
        <w:rPr>
          <w:szCs w:val="26"/>
        </w:rPr>
        <w:t xml:space="preserve"> and balancing authorities</w:t>
      </w:r>
      <w:r w:rsidR="00AE1414">
        <w:rPr>
          <w:szCs w:val="26"/>
        </w:rPr>
        <w:t>’</w:t>
      </w:r>
      <w:r w:rsidR="007E614C" w:rsidRPr="00C57BDC">
        <w:rPr>
          <w:szCs w:val="26"/>
        </w:rPr>
        <w:t xml:space="preserve"> </w:t>
      </w:r>
      <w:r w:rsidR="003B30AE" w:rsidRPr="00C57BDC">
        <w:rPr>
          <w:szCs w:val="26"/>
        </w:rPr>
        <w:t>o</w:t>
      </w:r>
      <w:r w:rsidR="007E614C" w:rsidRPr="00C57BDC">
        <w:rPr>
          <w:szCs w:val="26"/>
        </w:rPr>
        <w:t xml:space="preserve">perating </w:t>
      </w:r>
      <w:r w:rsidR="003B30AE" w:rsidRPr="00C57BDC">
        <w:rPr>
          <w:szCs w:val="26"/>
        </w:rPr>
        <w:t>p</w:t>
      </w:r>
      <w:r w:rsidR="007E614C" w:rsidRPr="00C57BDC">
        <w:rPr>
          <w:szCs w:val="26"/>
        </w:rPr>
        <w:t xml:space="preserve">lans by </w:t>
      </w:r>
      <w:r w:rsidR="007E614C" w:rsidRPr="00C57BDC">
        <w:rPr>
          <w:szCs w:val="26"/>
        </w:rPr>
        <w:lastRenderedPageBreak/>
        <w:t xml:space="preserve">the reliability coordinator in its own </w:t>
      </w:r>
      <w:r w:rsidR="003B30AE" w:rsidRPr="00C57BDC">
        <w:rPr>
          <w:szCs w:val="26"/>
        </w:rPr>
        <w:t>o</w:t>
      </w:r>
      <w:r w:rsidR="007E614C" w:rsidRPr="00C57BDC">
        <w:rPr>
          <w:szCs w:val="26"/>
        </w:rPr>
        <w:t xml:space="preserve">perating </w:t>
      </w:r>
      <w:r w:rsidR="003B30AE" w:rsidRPr="00C57BDC">
        <w:rPr>
          <w:szCs w:val="26"/>
        </w:rPr>
        <w:t>p</w:t>
      </w:r>
      <w:r w:rsidR="007E614C" w:rsidRPr="00C57BDC">
        <w:rPr>
          <w:szCs w:val="26"/>
        </w:rPr>
        <w:t xml:space="preserve">lan provides </w:t>
      </w:r>
      <w:r w:rsidR="006014FF" w:rsidRPr="00C57BDC">
        <w:rPr>
          <w:szCs w:val="26"/>
        </w:rPr>
        <w:t xml:space="preserve">the </w:t>
      </w:r>
      <w:r w:rsidR="007E614C" w:rsidRPr="00C57BDC">
        <w:rPr>
          <w:szCs w:val="26"/>
        </w:rPr>
        <w:t xml:space="preserve">necessary situational awareness </w:t>
      </w:r>
      <w:r w:rsidR="006014FF" w:rsidRPr="00C57BDC">
        <w:rPr>
          <w:szCs w:val="26"/>
        </w:rPr>
        <w:t>of all SOLs, internal and external to the transmission operator</w:t>
      </w:r>
      <w:r w:rsidR="008E438D" w:rsidRPr="00C57BDC">
        <w:rPr>
          <w:szCs w:val="26"/>
        </w:rPr>
        <w:t xml:space="preserve"> or balancing authority</w:t>
      </w:r>
      <w:r w:rsidR="006014FF" w:rsidRPr="00C57BDC">
        <w:rPr>
          <w:szCs w:val="26"/>
        </w:rPr>
        <w:t>.</w:t>
      </w:r>
    </w:p>
    <w:p w14:paraId="6E987971" w14:textId="45C8DBF0" w:rsidR="005B70B5" w:rsidRPr="00C57BDC" w:rsidRDefault="008E7B16" w:rsidP="007D3D4B">
      <w:pPr>
        <w:pStyle w:val="FERCparanumber"/>
        <w:tabs>
          <w:tab w:val="clear" w:pos="810"/>
          <w:tab w:val="num" w:pos="720"/>
        </w:tabs>
        <w:ind w:left="0"/>
        <w:rPr>
          <w:szCs w:val="26"/>
        </w:rPr>
      </w:pPr>
      <w:r w:rsidRPr="00C57BDC">
        <w:rPr>
          <w:szCs w:val="26"/>
        </w:rPr>
        <w:t>In the Remand NOPR, t</w:t>
      </w:r>
      <w:r w:rsidR="00FC505C" w:rsidRPr="00C57BDC">
        <w:rPr>
          <w:szCs w:val="26"/>
        </w:rPr>
        <w:t>he Commission raised the concern that th</w:t>
      </w:r>
      <w:r w:rsidR="003060AE" w:rsidRPr="00C57BDC">
        <w:rPr>
          <w:szCs w:val="26"/>
        </w:rPr>
        <w:t>e</w:t>
      </w:r>
      <w:r w:rsidR="00FC505C" w:rsidRPr="00C57BDC">
        <w:rPr>
          <w:szCs w:val="26"/>
        </w:rPr>
        <w:t xml:space="preserve"> </w:t>
      </w:r>
      <w:r w:rsidR="003060AE" w:rsidRPr="00C57BDC">
        <w:rPr>
          <w:szCs w:val="26"/>
        </w:rPr>
        <w:t xml:space="preserve">then-proposed version of the </w:t>
      </w:r>
      <w:r w:rsidR="00FC505C" w:rsidRPr="00C57BDC">
        <w:rPr>
          <w:szCs w:val="26"/>
        </w:rPr>
        <w:t xml:space="preserve">TOP/IRO Standards did not consider the possibility that additional SOLs could develop or occur in the same-day or </w:t>
      </w:r>
      <w:r w:rsidR="00C043AB" w:rsidRPr="00C57BDC">
        <w:rPr>
          <w:szCs w:val="26"/>
        </w:rPr>
        <w:t>r</w:t>
      </w:r>
      <w:r w:rsidR="00FC505C" w:rsidRPr="00C57BDC">
        <w:rPr>
          <w:szCs w:val="26"/>
        </w:rPr>
        <w:t>eal-time operational time horizon, and therefore would pose an operational risk to the interconnected transmission network.</w:t>
      </w:r>
      <w:r w:rsidR="00A73522" w:rsidRPr="00C57BDC">
        <w:rPr>
          <w:rStyle w:val="FootnoteReference"/>
        </w:rPr>
        <w:footnoteReference w:id="25"/>
      </w:r>
      <w:r w:rsidR="00FC505C" w:rsidRPr="00C57BDC">
        <w:rPr>
          <w:szCs w:val="26"/>
        </w:rPr>
        <w:t xml:space="preserve">  </w:t>
      </w:r>
      <w:r w:rsidR="00D7469B" w:rsidRPr="00C57BDC">
        <w:rPr>
          <w:szCs w:val="26"/>
        </w:rPr>
        <w:t>To address</w:t>
      </w:r>
      <w:r w:rsidR="00FC505C" w:rsidRPr="00C57BDC">
        <w:rPr>
          <w:szCs w:val="26"/>
        </w:rPr>
        <w:t xml:space="preserve"> this concern, </w:t>
      </w:r>
      <w:r w:rsidR="002225BB" w:rsidRPr="00C57BDC">
        <w:rPr>
          <w:szCs w:val="26"/>
        </w:rPr>
        <w:t xml:space="preserve">Reliability Standard IRO-008-2, </w:t>
      </w:r>
      <w:r w:rsidR="00D7469B" w:rsidRPr="00C57BDC">
        <w:rPr>
          <w:szCs w:val="26"/>
        </w:rPr>
        <w:t xml:space="preserve">Requirement R5 requires each reliability coordinator </w:t>
      </w:r>
      <w:r w:rsidR="00E132AB" w:rsidRPr="00C57BDC">
        <w:rPr>
          <w:szCs w:val="26"/>
        </w:rPr>
        <w:t xml:space="preserve">to notify impacted transmission </w:t>
      </w:r>
      <w:r w:rsidR="00220840" w:rsidRPr="00C57BDC">
        <w:rPr>
          <w:szCs w:val="26"/>
        </w:rPr>
        <w:t>operators and balancing authorities within its reliability coordinator area and other impacted reliability coordinators when results of a real-time assessment indicate actual or expected conditions that could result in SOL or IROL exceedances</w:t>
      </w:r>
      <w:r w:rsidR="00AE1414">
        <w:rPr>
          <w:szCs w:val="26"/>
        </w:rPr>
        <w:t>,</w:t>
      </w:r>
      <w:r w:rsidR="00220840" w:rsidRPr="00C57BDC">
        <w:rPr>
          <w:szCs w:val="26"/>
        </w:rPr>
        <w:t xml:space="preserve"> and Requirement R6 requires reliability coordinator notification to impacted transmission operators, balancing authorities and </w:t>
      </w:r>
      <w:r w:rsidR="008E438D" w:rsidRPr="00C57BDC">
        <w:rPr>
          <w:szCs w:val="26"/>
        </w:rPr>
        <w:t xml:space="preserve">other </w:t>
      </w:r>
      <w:r w:rsidR="00820C34" w:rsidRPr="00C57BDC">
        <w:rPr>
          <w:szCs w:val="26"/>
        </w:rPr>
        <w:t xml:space="preserve">impacted </w:t>
      </w:r>
      <w:r w:rsidR="00220840" w:rsidRPr="00C57BDC">
        <w:rPr>
          <w:szCs w:val="26"/>
        </w:rPr>
        <w:t xml:space="preserve">reliability coordinators when </w:t>
      </w:r>
      <w:r w:rsidR="008E438D" w:rsidRPr="00C57BDC">
        <w:rPr>
          <w:szCs w:val="26"/>
        </w:rPr>
        <w:t>any</w:t>
      </w:r>
      <w:r w:rsidR="00220840" w:rsidRPr="00C57BDC">
        <w:rPr>
          <w:szCs w:val="26"/>
        </w:rPr>
        <w:t xml:space="preserve"> SOLs or IROLs have been prevented or mitigated.</w:t>
      </w:r>
      <w:r w:rsidR="00D27EB8" w:rsidRPr="00C57BDC">
        <w:rPr>
          <w:rStyle w:val="FootnoteReference"/>
        </w:rPr>
        <w:footnoteReference w:id="26"/>
      </w:r>
      <w:r w:rsidR="00FC505C" w:rsidRPr="00C57BDC">
        <w:rPr>
          <w:szCs w:val="26"/>
        </w:rPr>
        <w:t xml:space="preserve">  </w:t>
      </w:r>
    </w:p>
    <w:p w14:paraId="6A77CFDF" w14:textId="1B7293EA" w:rsidR="00C043AB" w:rsidRPr="00C57BDC" w:rsidRDefault="00C043AB" w:rsidP="007D3D4B">
      <w:pPr>
        <w:pStyle w:val="FERCparanumber"/>
        <w:tabs>
          <w:tab w:val="clear" w:pos="810"/>
          <w:tab w:val="num" w:pos="720"/>
        </w:tabs>
        <w:ind w:left="0"/>
        <w:rPr>
          <w:szCs w:val="26"/>
        </w:rPr>
      </w:pPr>
      <w:r w:rsidRPr="00C57BDC">
        <w:rPr>
          <w:szCs w:val="26"/>
        </w:rPr>
        <w:t xml:space="preserve">Likewise, based on NERC’s explanation, we believe that the proposed Reliability Standards </w:t>
      </w:r>
      <w:r w:rsidR="00D87488" w:rsidRPr="00C57BDC">
        <w:rPr>
          <w:szCs w:val="26"/>
        </w:rPr>
        <w:t xml:space="preserve">in the immediate proceeding </w:t>
      </w:r>
      <w:r w:rsidRPr="00C57BDC">
        <w:rPr>
          <w:szCs w:val="26"/>
        </w:rPr>
        <w:t>are designed to improve system performance by giving reliability coordinators the authority to direct actions to prevent or mitigate</w:t>
      </w:r>
      <w:r w:rsidR="000146E3" w:rsidRPr="00C57BDC">
        <w:rPr>
          <w:szCs w:val="26"/>
        </w:rPr>
        <w:t xml:space="preserve"> instances of exceeding IROLs.  </w:t>
      </w:r>
      <w:r w:rsidRPr="00C57BDC">
        <w:rPr>
          <w:szCs w:val="26"/>
        </w:rPr>
        <w:t xml:space="preserve">This delineation of responsibilities between reliability </w:t>
      </w:r>
      <w:r w:rsidRPr="00C57BDC">
        <w:rPr>
          <w:szCs w:val="26"/>
        </w:rPr>
        <w:lastRenderedPageBreak/>
        <w:t>coordinators and transmission operators is appropriate because the primary decision-making authority for mitigating IROL</w:t>
      </w:r>
      <w:r w:rsidR="008E438D" w:rsidRPr="00C57BDC">
        <w:rPr>
          <w:szCs w:val="26"/>
        </w:rPr>
        <w:t xml:space="preserve"> exceedances</w:t>
      </w:r>
      <w:r w:rsidRPr="00C57BDC">
        <w:rPr>
          <w:szCs w:val="26"/>
        </w:rPr>
        <w:t xml:space="preserve"> is a</w:t>
      </w:r>
      <w:r w:rsidR="008E438D" w:rsidRPr="00C57BDC">
        <w:rPr>
          <w:szCs w:val="26"/>
        </w:rPr>
        <w:t xml:space="preserve">ssigned to </w:t>
      </w:r>
      <w:r w:rsidRPr="00C57BDC">
        <w:rPr>
          <w:szCs w:val="26"/>
        </w:rPr>
        <w:t xml:space="preserve">reliability coordinators while transmission operators have the primary responsibility for </w:t>
      </w:r>
      <w:r w:rsidR="008E438D" w:rsidRPr="00C57BDC">
        <w:rPr>
          <w:szCs w:val="26"/>
        </w:rPr>
        <w:t>mitigating SOL exceedances</w:t>
      </w:r>
      <w:r w:rsidRPr="00C57BDC">
        <w:rPr>
          <w:szCs w:val="26"/>
        </w:rPr>
        <w:t>.</w:t>
      </w:r>
      <w:r w:rsidRPr="00C57BDC">
        <w:rPr>
          <w:rStyle w:val="FootnoteReference"/>
        </w:rPr>
        <w:footnoteReference w:id="27"/>
      </w:r>
      <w:r w:rsidRPr="00C57BDC">
        <w:rPr>
          <w:szCs w:val="26"/>
        </w:rPr>
        <w:t xml:space="preserve">  To further support the reliability coordinator</w:t>
      </w:r>
      <w:r w:rsidR="0094485C" w:rsidRPr="00C57BDC">
        <w:rPr>
          <w:szCs w:val="26"/>
        </w:rPr>
        <w:t>’</w:t>
      </w:r>
      <w:r w:rsidRPr="00C57BDC">
        <w:rPr>
          <w:szCs w:val="26"/>
        </w:rPr>
        <w:t xml:space="preserve">s primary responsibility for IROLs to </w:t>
      </w:r>
      <w:r w:rsidRPr="00C57BDC">
        <w:t>prevent instability, uncontrolled separation, or cascading</w:t>
      </w:r>
      <w:r w:rsidRPr="00C57BDC">
        <w:rPr>
          <w:szCs w:val="26"/>
        </w:rPr>
        <w:t>, proposed Reliability Standard TOP-001-3</w:t>
      </w:r>
      <w:r w:rsidR="008E438D" w:rsidRPr="00C57BDC">
        <w:rPr>
          <w:szCs w:val="26"/>
        </w:rPr>
        <w:t>, Requirement R12</w:t>
      </w:r>
      <w:r w:rsidRPr="00C57BDC">
        <w:rPr>
          <w:szCs w:val="26"/>
        </w:rPr>
        <w:t xml:space="preserve"> requires that </w:t>
      </w:r>
      <w:r w:rsidR="008E438D" w:rsidRPr="00C57BDC">
        <w:rPr>
          <w:szCs w:val="26"/>
        </w:rPr>
        <w:t xml:space="preserve">a </w:t>
      </w:r>
      <w:r w:rsidRPr="00C57BDC">
        <w:rPr>
          <w:szCs w:val="26"/>
        </w:rPr>
        <w:t xml:space="preserve">transmission operator must not operate outside of any identified IROLs for a continuous duration exceeding its associated IROL </w:t>
      </w:r>
      <w:proofErr w:type="spellStart"/>
      <w:r w:rsidRPr="00C57BDC">
        <w:rPr>
          <w:szCs w:val="26"/>
        </w:rPr>
        <w:t>T</w:t>
      </w:r>
      <w:r w:rsidRPr="00C57BDC">
        <w:rPr>
          <w:sz w:val="17"/>
          <w:szCs w:val="17"/>
        </w:rPr>
        <w:t>v</w:t>
      </w:r>
      <w:proofErr w:type="spellEnd"/>
      <w:r w:rsidRPr="00C57BDC">
        <w:rPr>
          <w:sz w:val="17"/>
          <w:szCs w:val="17"/>
        </w:rPr>
        <w:t>.</w:t>
      </w:r>
      <w:r w:rsidRPr="00C57BDC">
        <w:rPr>
          <w:rStyle w:val="FootnoteReference"/>
        </w:rPr>
        <w:footnoteReference w:id="28"/>
      </w:r>
      <w:r w:rsidRPr="00C57BDC">
        <w:rPr>
          <w:sz w:val="17"/>
          <w:szCs w:val="17"/>
        </w:rPr>
        <w:t xml:space="preserve">  </w:t>
      </w:r>
    </w:p>
    <w:p w14:paraId="116E868A" w14:textId="15A12DCF" w:rsidR="005B70B5" w:rsidRPr="00C57BDC" w:rsidRDefault="005B70B5" w:rsidP="00FB4820">
      <w:pPr>
        <w:pStyle w:val="FERCparanumber"/>
        <w:tabs>
          <w:tab w:val="clear" w:pos="810"/>
          <w:tab w:val="num" w:pos="720"/>
        </w:tabs>
        <w:ind w:left="0"/>
        <w:rPr>
          <w:szCs w:val="26"/>
        </w:rPr>
      </w:pPr>
      <w:r w:rsidRPr="00C57BDC">
        <w:rPr>
          <w:szCs w:val="26"/>
        </w:rPr>
        <w:t xml:space="preserve">In addition, NERC explains that the proposed Reliability Standard IRO-014-3 contains requirements for coordination </w:t>
      </w:r>
      <w:r w:rsidR="00FC4E4E" w:rsidRPr="00C57BDC">
        <w:rPr>
          <w:szCs w:val="26"/>
        </w:rPr>
        <w:t>of</w:t>
      </w:r>
      <w:r w:rsidRPr="00C57BDC">
        <w:rPr>
          <w:szCs w:val="26"/>
        </w:rPr>
        <w:t xml:space="preserve"> interconnection operations at the reliability coordinator level and ensures that each reliability coordinator’s operations are coordinated such that they will not adversely affect other reliability coordinators</w:t>
      </w:r>
      <w:r w:rsidR="00ED7DB2" w:rsidRPr="00C57BDC">
        <w:rPr>
          <w:szCs w:val="26"/>
        </w:rPr>
        <w:t>’</w:t>
      </w:r>
      <w:r w:rsidRPr="00C57BDC">
        <w:rPr>
          <w:szCs w:val="26"/>
        </w:rPr>
        <w:t xml:space="preserve"> areas.</w:t>
      </w:r>
      <w:r w:rsidRPr="00C57BDC">
        <w:rPr>
          <w:rStyle w:val="FootnoteReference"/>
        </w:rPr>
        <w:footnoteReference w:id="29"/>
      </w:r>
      <w:r w:rsidRPr="00C57BDC">
        <w:rPr>
          <w:szCs w:val="26"/>
        </w:rPr>
        <w:t xml:space="preserve">  </w:t>
      </w:r>
      <w:r w:rsidR="00FC4E4E" w:rsidRPr="00C57BDC">
        <w:rPr>
          <w:szCs w:val="26"/>
        </w:rPr>
        <w:t>P</w:t>
      </w:r>
      <w:r w:rsidRPr="00C57BDC">
        <w:rPr>
          <w:szCs w:val="26"/>
        </w:rPr>
        <w:t>roposed Reliability Standard IRO-014</w:t>
      </w:r>
      <w:r w:rsidR="008E438D" w:rsidRPr="00C57BDC">
        <w:rPr>
          <w:szCs w:val="26"/>
        </w:rPr>
        <w:t>-3</w:t>
      </w:r>
      <w:r w:rsidRPr="00C57BDC">
        <w:rPr>
          <w:szCs w:val="26"/>
        </w:rPr>
        <w:t xml:space="preserve"> requires the reliability coordinator to have and implement operating procedures, processes, or plans for activities that require notification or coordination of actions that may affect adjacent reliability coordinators</w:t>
      </w:r>
      <w:r w:rsidR="00ED7DB2" w:rsidRPr="00C57BDC">
        <w:rPr>
          <w:szCs w:val="26"/>
        </w:rPr>
        <w:t>’</w:t>
      </w:r>
      <w:r w:rsidRPr="00C57BDC">
        <w:rPr>
          <w:szCs w:val="26"/>
        </w:rPr>
        <w:t xml:space="preserve"> areas.</w:t>
      </w:r>
    </w:p>
    <w:p w14:paraId="582C1E85" w14:textId="78A9255A" w:rsidR="00364A26" w:rsidRPr="00C57BDC" w:rsidRDefault="002024BB" w:rsidP="006E19A1">
      <w:pPr>
        <w:pStyle w:val="FERCparanumber"/>
        <w:tabs>
          <w:tab w:val="clear" w:pos="810"/>
          <w:tab w:val="num" w:pos="720"/>
        </w:tabs>
        <w:ind w:left="0"/>
        <w:rPr>
          <w:szCs w:val="26"/>
        </w:rPr>
      </w:pPr>
      <w:r w:rsidRPr="00C57BDC">
        <w:rPr>
          <w:szCs w:val="26"/>
        </w:rPr>
        <w:lastRenderedPageBreak/>
        <w:t>Furthermore, t</w:t>
      </w:r>
      <w:r w:rsidR="0011124E" w:rsidRPr="00C57BDC">
        <w:rPr>
          <w:szCs w:val="26"/>
        </w:rPr>
        <w:t>he Commission believes the</w:t>
      </w:r>
      <w:r w:rsidR="000A7AFF" w:rsidRPr="00C57BDC">
        <w:rPr>
          <w:szCs w:val="26"/>
        </w:rPr>
        <w:t xml:space="preserve"> revised definitions of operational planning analysis and r</w:t>
      </w:r>
      <w:r w:rsidR="000578A6" w:rsidRPr="00C57BDC">
        <w:rPr>
          <w:szCs w:val="26"/>
        </w:rPr>
        <w:t>eal-time a</w:t>
      </w:r>
      <w:r w:rsidR="000A7AFF" w:rsidRPr="00C57BDC">
        <w:rPr>
          <w:szCs w:val="26"/>
        </w:rPr>
        <w:t>ssessment</w:t>
      </w:r>
      <w:r w:rsidRPr="00C57BDC">
        <w:rPr>
          <w:szCs w:val="26"/>
        </w:rPr>
        <w:t xml:space="preserve"> are critical components of the proposed TOP and IRO Reliability Standards and</w:t>
      </w:r>
      <w:r w:rsidR="00BB7F45" w:rsidRPr="00C57BDC">
        <w:rPr>
          <w:szCs w:val="26"/>
        </w:rPr>
        <w:t>,</w:t>
      </w:r>
      <w:r w:rsidR="000A7AFF" w:rsidRPr="00C57BDC">
        <w:rPr>
          <w:szCs w:val="26"/>
        </w:rPr>
        <w:t xml:space="preserve"> together with the definitions of SOLs, IROLs and operating plans, </w:t>
      </w:r>
      <w:r w:rsidR="00C31872" w:rsidRPr="00C57BDC">
        <w:rPr>
          <w:szCs w:val="26"/>
        </w:rPr>
        <w:t>work to</w:t>
      </w:r>
      <w:r w:rsidR="00AA0C9E" w:rsidRPr="00C57BDC">
        <w:rPr>
          <w:szCs w:val="26"/>
        </w:rPr>
        <w:t xml:space="preserve"> ensure that </w:t>
      </w:r>
      <w:r w:rsidR="000A7AFF" w:rsidRPr="00C57BDC">
        <w:rPr>
          <w:szCs w:val="26"/>
        </w:rPr>
        <w:t xml:space="preserve">reliability coordinators, transmission operators and balancing authorities plan and operate the bulk electric system </w:t>
      </w:r>
      <w:r w:rsidR="00AA0C9E" w:rsidRPr="00C57BDC">
        <w:rPr>
          <w:szCs w:val="26"/>
        </w:rPr>
        <w:t xml:space="preserve">within all SOLs and IROLs </w:t>
      </w:r>
      <w:r w:rsidR="004F2734" w:rsidRPr="00C57BDC">
        <w:rPr>
          <w:szCs w:val="26"/>
        </w:rPr>
        <w:t xml:space="preserve">to </w:t>
      </w:r>
      <w:r w:rsidR="004F2734" w:rsidRPr="00C57BDC">
        <w:t>prevent instability, uncontrolled separation, or cascading.</w:t>
      </w:r>
      <w:r w:rsidR="0011124E" w:rsidRPr="00C57BDC">
        <w:t xml:space="preserve">  </w:t>
      </w:r>
      <w:r w:rsidR="009B5718" w:rsidRPr="00C57BDC">
        <w:t>In addition, t</w:t>
      </w:r>
      <w:r w:rsidR="0011124E" w:rsidRPr="00C57BDC">
        <w:t>he revised definition</w:t>
      </w:r>
      <w:r w:rsidR="00B40EE1" w:rsidRPr="00C57BDC">
        <w:t>s</w:t>
      </w:r>
      <w:r w:rsidR="0011124E" w:rsidRPr="00C57BDC">
        <w:t xml:space="preserve"> of operational planning a</w:t>
      </w:r>
      <w:r w:rsidR="0045765F" w:rsidRPr="00C57BDC">
        <w:t>nalysis</w:t>
      </w:r>
      <w:r w:rsidR="000146E3" w:rsidRPr="00C57BDC">
        <w:t xml:space="preserve"> and real-time assessment</w:t>
      </w:r>
      <w:r w:rsidR="000A7AFF" w:rsidRPr="00C57BDC">
        <w:t xml:space="preserve"> </w:t>
      </w:r>
      <w:r w:rsidR="000578A6" w:rsidRPr="00C57BDC">
        <w:t>address</w:t>
      </w:r>
      <w:r w:rsidR="00B40EE1" w:rsidRPr="00C57BDC">
        <w:t xml:space="preserve"> </w:t>
      </w:r>
      <w:r w:rsidR="009B5718" w:rsidRPr="00C57BDC">
        <w:t xml:space="preserve">other </w:t>
      </w:r>
      <w:r w:rsidR="00B40EE1" w:rsidRPr="00C57BDC">
        <w:t xml:space="preserve">concerns raised in the Remand NOPR as well as multiple recommendations in the </w:t>
      </w:r>
      <w:r w:rsidR="002B26C9" w:rsidRPr="00C57BDC">
        <w:rPr>
          <w:szCs w:val="26"/>
        </w:rPr>
        <w:t>2011 Southwest Outage Blackout Report</w:t>
      </w:r>
      <w:r w:rsidR="00B40EE1" w:rsidRPr="00C57BDC">
        <w:t>.</w:t>
      </w:r>
      <w:r w:rsidR="00006393" w:rsidRPr="00C57BDC">
        <w:rPr>
          <w:rStyle w:val="FootnoteReference"/>
        </w:rPr>
        <w:footnoteReference w:id="30"/>
      </w:r>
      <w:r w:rsidR="00B40EE1" w:rsidRPr="00C57BDC">
        <w:t xml:space="preserve">  For example, the definition of </w:t>
      </w:r>
      <w:r w:rsidR="000578A6" w:rsidRPr="00C57BDC">
        <w:t>operational planning a</w:t>
      </w:r>
      <w:r w:rsidR="0045765F" w:rsidRPr="00C57BDC">
        <w:t>nalysis</w:t>
      </w:r>
      <w:r w:rsidR="00B40EE1" w:rsidRPr="00C57BDC">
        <w:t xml:space="preserve"> is used in proposed Reliability Standards TOP-002-4</w:t>
      </w:r>
      <w:r w:rsidR="005C3C9E">
        <w:t>,</w:t>
      </w:r>
      <w:r w:rsidR="00B40EE1" w:rsidRPr="00C57BDC">
        <w:t xml:space="preserve"> TOP-003-3</w:t>
      </w:r>
      <w:r w:rsidR="005C3C9E">
        <w:t>,</w:t>
      </w:r>
      <w:r w:rsidR="00B40EE1" w:rsidRPr="00C57BDC">
        <w:t xml:space="preserve"> IRO-002-4</w:t>
      </w:r>
      <w:r w:rsidR="005C3C9E">
        <w:t>,</w:t>
      </w:r>
      <w:r w:rsidR="00B40EE1" w:rsidRPr="00C57BDC">
        <w:t xml:space="preserve"> IRO-008-2</w:t>
      </w:r>
      <w:r w:rsidR="005C3C9E">
        <w:t>,</w:t>
      </w:r>
      <w:r w:rsidR="00B40EE1" w:rsidRPr="00C57BDC">
        <w:t xml:space="preserve"> IRO-010-2</w:t>
      </w:r>
      <w:r w:rsidR="005C3C9E">
        <w:t>,</w:t>
      </w:r>
      <w:r w:rsidR="00B40EE1" w:rsidRPr="00C57BDC">
        <w:t xml:space="preserve"> and IRO-014-3 to ensure a consistent approach to operations planning for the </w:t>
      </w:r>
      <w:r w:rsidR="00B40EE1" w:rsidRPr="00C57BDC">
        <w:rPr>
          <w:szCs w:val="26"/>
        </w:rPr>
        <w:t>reliability coordinators, transmission operators and balancing authorities</w:t>
      </w:r>
      <w:r w:rsidR="00B40EE1" w:rsidRPr="00C57BDC">
        <w:t>.</w:t>
      </w:r>
      <w:r w:rsidR="00006393" w:rsidRPr="00C57BDC">
        <w:rPr>
          <w:rStyle w:val="FootnoteReference"/>
        </w:rPr>
        <w:footnoteReference w:id="31"/>
      </w:r>
      <w:r w:rsidR="00B40EE1" w:rsidRPr="00C57BDC">
        <w:t xml:space="preserve">  </w:t>
      </w:r>
      <w:r w:rsidR="00364A26" w:rsidRPr="00C57BDC">
        <w:t>Further, t</w:t>
      </w:r>
      <w:r w:rsidR="00B40EE1" w:rsidRPr="00C57BDC">
        <w:t xml:space="preserve">he proposed revised </w:t>
      </w:r>
      <w:r w:rsidR="000578A6" w:rsidRPr="00C57BDC">
        <w:t xml:space="preserve">operational planning </w:t>
      </w:r>
      <w:r w:rsidR="003B30AE" w:rsidRPr="00C57BDC">
        <w:t>analysis</w:t>
      </w:r>
      <w:r w:rsidR="00364A26" w:rsidRPr="00C57BDC">
        <w:t xml:space="preserve"> </w:t>
      </w:r>
      <w:r w:rsidR="00B40EE1" w:rsidRPr="00C57BDC">
        <w:t xml:space="preserve">definition </w:t>
      </w:r>
      <w:r w:rsidR="009B5718" w:rsidRPr="00C57BDC">
        <w:t xml:space="preserve">adds </w:t>
      </w:r>
      <w:r w:rsidR="00B40EE1" w:rsidRPr="00C57BDC">
        <w:t>addition</w:t>
      </w:r>
      <w:r w:rsidR="009B5718" w:rsidRPr="00C57BDC">
        <w:t>al detail and clarity</w:t>
      </w:r>
      <w:r w:rsidR="008E438D" w:rsidRPr="00C57BDC">
        <w:t>,</w:t>
      </w:r>
      <w:r w:rsidR="00B40EE1" w:rsidRPr="00C57BDC">
        <w:t xml:space="preserve"> includ</w:t>
      </w:r>
      <w:r w:rsidR="009B5718" w:rsidRPr="00C57BDC">
        <w:t>ing</w:t>
      </w:r>
      <w:r w:rsidR="00364A26" w:rsidRPr="00C57BDC">
        <w:t xml:space="preserve"> </w:t>
      </w:r>
      <w:r w:rsidR="009B5718" w:rsidRPr="00C57BDC">
        <w:t xml:space="preserve">the </w:t>
      </w:r>
      <w:r w:rsidR="00364A26" w:rsidRPr="00C57BDC">
        <w:t xml:space="preserve">evaluation of </w:t>
      </w:r>
      <w:r w:rsidR="00B40EE1" w:rsidRPr="00C57BDC">
        <w:t>pre</w:t>
      </w:r>
      <w:r w:rsidR="003C0EB9">
        <w:t>-</w:t>
      </w:r>
      <w:r w:rsidR="00B40EE1" w:rsidRPr="00C57BDC">
        <w:t xml:space="preserve"> and post-contingency conditions as well as</w:t>
      </w:r>
      <w:r w:rsidR="00364A26" w:rsidRPr="00C57BDC">
        <w:t xml:space="preserve"> the evaluation of multiple applicable inputs that </w:t>
      </w:r>
      <w:r w:rsidR="003C0EB9">
        <w:t>are</w:t>
      </w:r>
      <w:r w:rsidR="00364A26" w:rsidRPr="00C57BDC">
        <w:t xml:space="preserve"> absent in the currently-effective definition. </w:t>
      </w:r>
    </w:p>
    <w:p w14:paraId="23805269" w14:textId="0C0AE9C8" w:rsidR="008E3F9A" w:rsidRPr="00C57BDC" w:rsidRDefault="00364A26" w:rsidP="006E19A1">
      <w:pPr>
        <w:pStyle w:val="FERCparanumber"/>
        <w:tabs>
          <w:tab w:val="clear" w:pos="810"/>
          <w:tab w:val="num" w:pos="720"/>
        </w:tabs>
        <w:ind w:left="0"/>
        <w:rPr>
          <w:szCs w:val="26"/>
        </w:rPr>
      </w:pPr>
      <w:r w:rsidRPr="00C57BDC">
        <w:t xml:space="preserve">Likewise, the definition of </w:t>
      </w:r>
      <w:r w:rsidR="000578A6" w:rsidRPr="00C57BDC">
        <w:rPr>
          <w:szCs w:val="26"/>
        </w:rPr>
        <w:t>real-time assessment</w:t>
      </w:r>
      <w:r w:rsidRPr="00C57BDC">
        <w:t xml:space="preserve"> is used in the following proposed Reliability Standards: </w:t>
      </w:r>
      <w:r w:rsidR="006E19A1">
        <w:t xml:space="preserve"> </w:t>
      </w:r>
      <w:r w:rsidRPr="00C57BDC">
        <w:t xml:space="preserve">TOP-001-3; TOP-003-3; IRO-002-4; IRO-008-2; IRO-010-2; and </w:t>
      </w:r>
      <w:r w:rsidRPr="00C57BDC">
        <w:lastRenderedPageBreak/>
        <w:t xml:space="preserve">IRO-014-3 to ensure a consistent approach to the real-time operation of the Bulk Power System for the </w:t>
      </w:r>
      <w:r w:rsidRPr="00C57BDC">
        <w:rPr>
          <w:szCs w:val="26"/>
        </w:rPr>
        <w:t>reliability coordinators, transmission operators and balancing authorities</w:t>
      </w:r>
      <w:r w:rsidRPr="00C57BDC">
        <w:t>.</w:t>
      </w:r>
      <w:r w:rsidR="00006393" w:rsidRPr="00C57BDC">
        <w:rPr>
          <w:rStyle w:val="FootnoteReference"/>
        </w:rPr>
        <w:footnoteReference w:id="32"/>
      </w:r>
      <w:r w:rsidRPr="00C57BDC">
        <w:t xml:space="preserve">  The proposed revised </w:t>
      </w:r>
      <w:r w:rsidR="000578A6" w:rsidRPr="00C57BDC">
        <w:rPr>
          <w:szCs w:val="26"/>
        </w:rPr>
        <w:t>real-time assessment</w:t>
      </w:r>
      <w:r w:rsidRPr="00C57BDC">
        <w:t xml:space="preserve"> definition is </w:t>
      </w:r>
      <w:r w:rsidR="003C0EB9">
        <w:t>the same</w:t>
      </w:r>
      <w:r w:rsidRPr="00C57BDC">
        <w:t xml:space="preserve"> type of evaluation </w:t>
      </w:r>
      <w:r w:rsidR="003C0EB9">
        <w:t>as</w:t>
      </w:r>
      <w:r w:rsidRPr="00C57BDC">
        <w:t xml:space="preserve"> the </w:t>
      </w:r>
      <w:r w:rsidR="000578A6" w:rsidRPr="00C57BDC">
        <w:t xml:space="preserve">operational planning </w:t>
      </w:r>
      <w:r w:rsidR="003B30AE" w:rsidRPr="00C57BDC">
        <w:t>analysis</w:t>
      </w:r>
      <w:r w:rsidRPr="00C57BDC">
        <w:t xml:space="preserve"> with the exception that </w:t>
      </w:r>
      <w:r w:rsidR="000578A6" w:rsidRPr="00C57BDC">
        <w:rPr>
          <w:szCs w:val="26"/>
        </w:rPr>
        <w:t>real-time assessment</w:t>
      </w:r>
      <w:r w:rsidRPr="00C57BDC">
        <w:t xml:space="preserve"> uses real-time data to assess existing conditions and </w:t>
      </w:r>
      <w:r w:rsidR="000578A6" w:rsidRPr="00C57BDC">
        <w:t xml:space="preserve">operational planning </w:t>
      </w:r>
      <w:r w:rsidR="00266658" w:rsidRPr="00C57BDC">
        <w:t>analysis</w:t>
      </w:r>
      <w:r w:rsidRPr="00C57BDC">
        <w:t xml:space="preserve"> uses projected system conditions to assess anticipated system conditions.</w:t>
      </w:r>
    </w:p>
    <w:p w14:paraId="26FE3140" w14:textId="7F60E95C" w:rsidR="008E3F9A" w:rsidRPr="00C57BDC" w:rsidRDefault="00AC37B0" w:rsidP="006B2E29">
      <w:pPr>
        <w:pStyle w:val="FERCparanumber"/>
        <w:tabs>
          <w:tab w:val="left" w:pos="720"/>
        </w:tabs>
        <w:ind w:left="0"/>
        <w:rPr>
          <w:szCs w:val="26"/>
        </w:rPr>
      </w:pPr>
      <w:r w:rsidRPr="00C57BDC">
        <w:t xml:space="preserve">The Commission does note, however, </w:t>
      </w:r>
      <w:r w:rsidR="000E63EC" w:rsidRPr="00C57BDC">
        <w:t xml:space="preserve">that </w:t>
      </w:r>
      <w:r w:rsidR="00243D04" w:rsidRPr="00C57BDC">
        <w:t xml:space="preserve">in </w:t>
      </w:r>
      <w:r w:rsidRPr="00C57BDC">
        <w:t xml:space="preserve">Exhibit E </w:t>
      </w:r>
      <w:r w:rsidR="000E63EC" w:rsidRPr="00C57BDC">
        <w:t>(</w:t>
      </w:r>
      <w:r w:rsidRPr="00C57BDC">
        <w:t>SOL White Paper</w:t>
      </w:r>
      <w:r w:rsidR="000E63EC" w:rsidRPr="00C57BDC">
        <w:t>) of NERC’s petition</w:t>
      </w:r>
      <w:r w:rsidRPr="00C57BDC">
        <w:t>, NERC states that with regard to the SOL concept, the SOL White Paper brings “clarity and consistency to the notion of establishing SOLs, exceeding SOLs, and implementing Operating Plans to mitigate SOL exceedances.”</w:t>
      </w:r>
      <w:r w:rsidRPr="00C57BDC">
        <w:rPr>
          <w:rStyle w:val="FootnoteReference"/>
        </w:rPr>
        <w:footnoteReference w:id="33"/>
      </w:r>
      <w:r w:rsidRPr="00C57BDC">
        <w:t xml:space="preserve">  The Commission further notes that IROLs, </w:t>
      </w:r>
      <w:r w:rsidR="005055CB" w:rsidRPr="00C57BDC">
        <w:t>as defined by NERC</w:t>
      </w:r>
      <w:r w:rsidRPr="00C57BDC">
        <w:t>, are a subset of SOLs that, if violated, could lead to instability, uncontrolled separation, or cascading outages that adversely impact the reliability of the bulk electric system.</w:t>
      </w:r>
      <w:r w:rsidRPr="00C57BDC">
        <w:rPr>
          <w:rStyle w:val="FootnoteReference"/>
          <w:rFonts w:cstheme="minorBidi"/>
        </w:rPr>
        <w:footnoteReference w:id="34"/>
      </w:r>
      <w:r w:rsidRPr="00C57BDC">
        <w:t xml:space="preserve">  The Commission agrees with NERC that clarity and consistency are important with respect to establishing and implementing operating plans to mitigate SOL and IROL exceedances.  However, the Commission notes that in </w:t>
      </w:r>
      <w:r w:rsidRPr="00C57BDC">
        <w:lastRenderedPageBreak/>
        <w:t>its 2015 State of Reliability report, NERC states that the Western Interconnection reliability coordinator definition of an IROL has additional criteria that may not exist in other reliability coordinator areas.</w:t>
      </w:r>
      <w:r w:rsidRPr="00C57BDC">
        <w:rPr>
          <w:rStyle w:val="FootnoteReference"/>
          <w:rFonts w:cstheme="minorBidi"/>
        </w:rPr>
        <w:footnoteReference w:id="35"/>
      </w:r>
      <w:r w:rsidRPr="00C57BDC">
        <w:t xml:space="preserve">  </w:t>
      </w:r>
      <w:r w:rsidRPr="00C57BDC">
        <w:rPr>
          <w:rFonts w:eastAsiaTheme="minorHAnsi"/>
        </w:rPr>
        <w:t xml:space="preserve">Based on this information, it is unclear whether NERC regions apply a consistent approach to identifying IROLs.  </w:t>
      </w:r>
      <w:r w:rsidR="005055CB" w:rsidRPr="00C57BDC">
        <w:t>Accordingly, the Commission seeks comment on (1) identification of all regional differences or variances in the formulation of IROLs, (2) the potential reliability impacts of such differences or variations, and (3) the value of providing a uniform approach or methodology to defining and identifying IROLs.</w:t>
      </w:r>
    </w:p>
    <w:p w14:paraId="02134A9B" w14:textId="59EE7EBF" w:rsidR="0074048E" w:rsidRPr="00C57BDC" w:rsidRDefault="004B2924" w:rsidP="006B2E29">
      <w:pPr>
        <w:pStyle w:val="FERCparanumber"/>
        <w:numPr>
          <w:ilvl w:val="0"/>
          <w:numId w:val="0"/>
        </w:numPr>
        <w:ind w:left="2160" w:hanging="720"/>
        <w:rPr>
          <w:szCs w:val="26"/>
        </w:rPr>
      </w:pPr>
      <w:r w:rsidRPr="00C57BDC">
        <w:rPr>
          <w:szCs w:val="26"/>
        </w:rPr>
        <w:tab/>
      </w:r>
      <w:r w:rsidR="000146E3" w:rsidRPr="00C57BDC">
        <w:rPr>
          <w:b/>
          <w:szCs w:val="26"/>
        </w:rPr>
        <w:t>2</w:t>
      </w:r>
      <w:r w:rsidR="00FF6063" w:rsidRPr="00C57BDC">
        <w:rPr>
          <w:b/>
          <w:szCs w:val="26"/>
        </w:rPr>
        <w:t>.</w:t>
      </w:r>
      <w:r w:rsidR="00FF6063" w:rsidRPr="00C57BDC">
        <w:rPr>
          <w:szCs w:val="26"/>
        </w:rPr>
        <w:tab/>
      </w:r>
      <w:r w:rsidR="005B70B5" w:rsidRPr="006B2E29">
        <w:rPr>
          <w:b/>
          <w:szCs w:val="26"/>
          <w:u w:val="single"/>
        </w:rPr>
        <w:t>Outage Coordination</w:t>
      </w:r>
      <w:r w:rsidR="005B70B5" w:rsidRPr="00C57BDC">
        <w:rPr>
          <w:szCs w:val="26"/>
        </w:rPr>
        <w:t xml:space="preserve"> </w:t>
      </w:r>
    </w:p>
    <w:p w14:paraId="3921C200" w14:textId="0AD44C26" w:rsidR="004B7BEB" w:rsidRPr="00C57BDC" w:rsidRDefault="00C043AB" w:rsidP="006B2E29">
      <w:pPr>
        <w:pStyle w:val="FERCparanumber"/>
        <w:tabs>
          <w:tab w:val="clear" w:pos="810"/>
          <w:tab w:val="num" w:pos="720"/>
        </w:tabs>
        <w:ind w:left="0"/>
        <w:rPr>
          <w:szCs w:val="26"/>
        </w:rPr>
      </w:pPr>
      <w:r w:rsidRPr="00C57BDC">
        <w:rPr>
          <w:szCs w:val="26"/>
        </w:rPr>
        <w:t>W</w:t>
      </w:r>
      <w:r w:rsidR="00344870" w:rsidRPr="00C57BDC">
        <w:rPr>
          <w:szCs w:val="26"/>
        </w:rPr>
        <w:t xml:space="preserve">e </w:t>
      </w:r>
      <w:r w:rsidR="00931192" w:rsidRPr="00C57BDC">
        <w:rPr>
          <w:szCs w:val="26"/>
        </w:rPr>
        <w:t>believe</w:t>
      </w:r>
      <w:r w:rsidR="008E438D" w:rsidRPr="00C57BDC">
        <w:rPr>
          <w:szCs w:val="26"/>
        </w:rPr>
        <w:t>, too,</w:t>
      </w:r>
      <w:r w:rsidR="00931192" w:rsidRPr="00C57BDC">
        <w:rPr>
          <w:szCs w:val="26"/>
        </w:rPr>
        <w:t xml:space="preserve"> </w:t>
      </w:r>
      <w:r w:rsidR="00344870" w:rsidRPr="00C57BDC">
        <w:rPr>
          <w:szCs w:val="26"/>
        </w:rPr>
        <w:t xml:space="preserve">that NERC has addressed the concerns raised in the </w:t>
      </w:r>
      <w:r w:rsidR="00D662B6" w:rsidRPr="00C57BDC">
        <w:rPr>
          <w:szCs w:val="26"/>
        </w:rPr>
        <w:t>R</w:t>
      </w:r>
      <w:r w:rsidR="00344870" w:rsidRPr="00C57BDC">
        <w:rPr>
          <w:szCs w:val="26"/>
        </w:rPr>
        <w:t xml:space="preserve">emand NOPR with respect to the IRO standards </w:t>
      </w:r>
      <w:r w:rsidR="000578A6" w:rsidRPr="00C57BDC">
        <w:rPr>
          <w:szCs w:val="26"/>
        </w:rPr>
        <w:t xml:space="preserve">regarding </w:t>
      </w:r>
      <w:r w:rsidR="00344870" w:rsidRPr="00C57BDC">
        <w:rPr>
          <w:szCs w:val="26"/>
        </w:rPr>
        <w:t xml:space="preserve">planned outage coordination.  </w:t>
      </w:r>
      <w:r w:rsidR="004B7BEB" w:rsidRPr="00C57BDC">
        <w:rPr>
          <w:szCs w:val="26"/>
        </w:rPr>
        <w:t>In the Remand NOPR</w:t>
      </w:r>
      <w:r w:rsidR="00C70C26" w:rsidRPr="00C57BDC">
        <w:rPr>
          <w:szCs w:val="26"/>
        </w:rPr>
        <w:t>,</w:t>
      </w:r>
      <w:r w:rsidR="004B7BEB" w:rsidRPr="00C57BDC">
        <w:rPr>
          <w:szCs w:val="26"/>
        </w:rPr>
        <w:t xml:space="preserve"> the </w:t>
      </w:r>
      <w:r w:rsidR="00344870" w:rsidRPr="00C57BDC">
        <w:rPr>
          <w:szCs w:val="26"/>
        </w:rPr>
        <w:t xml:space="preserve">Commission </w:t>
      </w:r>
      <w:r w:rsidR="004B7BEB" w:rsidRPr="00C57BDC">
        <w:rPr>
          <w:szCs w:val="26"/>
        </w:rPr>
        <w:t xml:space="preserve">expressed concern </w:t>
      </w:r>
      <w:r w:rsidR="00344870" w:rsidRPr="00C57BDC">
        <w:rPr>
          <w:szCs w:val="26"/>
        </w:rPr>
        <w:t xml:space="preserve">with NERC’s proposal because Reliability Standards IRO-008-1, Requirement R3 and IRO-010-1a </w:t>
      </w:r>
      <w:r w:rsidR="00CD0303" w:rsidRPr="00C57BDC">
        <w:rPr>
          <w:szCs w:val="26"/>
        </w:rPr>
        <w:t>(subject</w:t>
      </w:r>
      <w:r w:rsidR="008E438D" w:rsidRPr="00C57BDC">
        <w:rPr>
          <w:szCs w:val="26"/>
        </w:rPr>
        <w:t>s</w:t>
      </w:r>
      <w:r w:rsidR="00CD0303" w:rsidRPr="00C57BDC">
        <w:rPr>
          <w:szCs w:val="26"/>
        </w:rPr>
        <w:t xml:space="preserve"> of the </w:t>
      </w:r>
      <w:r w:rsidR="009D3393" w:rsidRPr="00C57BDC">
        <w:rPr>
          <w:szCs w:val="26"/>
        </w:rPr>
        <w:t>proposed</w:t>
      </w:r>
      <w:r w:rsidR="00CD0303" w:rsidRPr="00C57BDC">
        <w:rPr>
          <w:szCs w:val="26"/>
        </w:rPr>
        <w:t xml:space="preserve"> remand and now withdrawn by NERC)</w:t>
      </w:r>
      <w:r w:rsidR="009D3393" w:rsidRPr="00C57BDC">
        <w:rPr>
          <w:szCs w:val="26"/>
        </w:rPr>
        <w:t xml:space="preserve"> </w:t>
      </w:r>
      <w:r w:rsidR="00344870" w:rsidRPr="00C57BDC">
        <w:rPr>
          <w:szCs w:val="26"/>
        </w:rPr>
        <w:t>d</w:t>
      </w:r>
      <w:r w:rsidR="001A445A" w:rsidRPr="00C57BDC">
        <w:rPr>
          <w:szCs w:val="26"/>
        </w:rPr>
        <w:t>id</w:t>
      </w:r>
      <w:r w:rsidR="00344870" w:rsidRPr="00C57BDC">
        <w:rPr>
          <w:szCs w:val="26"/>
        </w:rPr>
        <w:t xml:space="preserve"> not re</w:t>
      </w:r>
      <w:r w:rsidR="00D662B6" w:rsidRPr="00C57BDC">
        <w:rPr>
          <w:szCs w:val="26"/>
        </w:rPr>
        <w:t xml:space="preserve">quire </w:t>
      </w:r>
      <w:r w:rsidR="009D3393" w:rsidRPr="00C57BDC">
        <w:rPr>
          <w:szCs w:val="26"/>
        </w:rPr>
        <w:t xml:space="preserve">the </w:t>
      </w:r>
      <w:r w:rsidR="00D662B6" w:rsidRPr="00C57BDC">
        <w:rPr>
          <w:szCs w:val="26"/>
        </w:rPr>
        <w:t xml:space="preserve">coordination of </w:t>
      </w:r>
      <w:r w:rsidR="00D662B6" w:rsidRPr="00C57BDC">
        <w:rPr>
          <w:szCs w:val="26"/>
        </w:rPr>
        <w:lastRenderedPageBreak/>
        <w:t>outages</w:t>
      </w:r>
      <w:r w:rsidR="008E438D" w:rsidRPr="00C57BDC">
        <w:rPr>
          <w:szCs w:val="26"/>
        </w:rPr>
        <w:t xml:space="preserve">, noting </w:t>
      </w:r>
      <w:r w:rsidR="001A445A" w:rsidRPr="00C57BDC">
        <w:rPr>
          <w:szCs w:val="26"/>
        </w:rPr>
        <w:t xml:space="preserve">that outage coordination is </w:t>
      </w:r>
      <w:r w:rsidR="00344870" w:rsidRPr="00C57BDC">
        <w:rPr>
          <w:szCs w:val="26"/>
        </w:rPr>
        <w:t>a critical reliability function that should be performed by the reliability coordinator.</w:t>
      </w:r>
      <w:r w:rsidR="00931192" w:rsidRPr="00C57BDC">
        <w:rPr>
          <w:rStyle w:val="FootnoteReference"/>
        </w:rPr>
        <w:footnoteReference w:id="36"/>
      </w:r>
      <w:r w:rsidR="00344870" w:rsidRPr="00C57BDC">
        <w:rPr>
          <w:szCs w:val="26"/>
        </w:rPr>
        <w:t xml:space="preserve">    </w:t>
      </w:r>
    </w:p>
    <w:p w14:paraId="592311CF" w14:textId="1A739125" w:rsidR="00C93856" w:rsidRPr="00C57BDC" w:rsidRDefault="009D3393" w:rsidP="00777829">
      <w:pPr>
        <w:pStyle w:val="FERCparanumber"/>
        <w:tabs>
          <w:tab w:val="clear" w:pos="810"/>
          <w:tab w:val="num" w:pos="720"/>
        </w:tabs>
        <w:ind w:left="0"/>
        <w:rPr>
          <w:szCs w:val="26"/>
        </w:rPr>
      </w:pPr>
      <w:r w:rsidRPr="00C57BDC">
        <w:rPr>
          <w:szCs w:val="26"/>
        </w:rPr>
        <w:t xml:space="preserve">With respect to </w:t>
      </w:r>
      <w:r w:rsidR="004B7BEB" w:rsidRPr="00C57BDC">
        <w:rPr>
          <w:szCs w:val="26"/>
        </w:rPr>
        <w:t>p</w:t>
      </w:r>
      <w:r w:rsidR="00344870" w:rsidRPr="00C57BDC">
        <w:rPr>
          <w:szCs w:val="26"/>
        </w:rPr>
        <w:t>roposed Reliability Standard IRO-017-1</w:t>
      </w:r>
      <w:r w:rsidRPr="00C57BDC">
        <w:rPr>
          <w:szCs w:val="26"/>
        </w:rPr>
        <w:t>,</w:t>
      </w:r>
      <w:r w:rsidR="004B7BEB" w:rsidRPr="00C57BDC">
        <w:rPr>
          <w:szCs w:val="26"/>
        </w:rPr>
        <w:t xml:space="preserve"> </w:t>
      </w:r>
      <w:r w:rsidR="0086493D" w:rsidRPr="00C57BDC">
        <w:rPr>
          <w:szCs w:val="26"/>
        </w:rPr>
        <w:t xml:space="preserve">submitted by NERC for approval in the immediate proceeding, </w:t>
      </w:r>
      <w:r w:rsidRPr="00C57BDC">
        <w:rPr>
          <w:szCs w:val="26"/>
        </w:rPr>
        <w:t>Requirement R1</w:t>
      </w:r>
      <w:r w:rsidR="00230333" w:rsidRPr="00C57BDC">
        <w:rPr>
          <w:szCs w:val="26"/>
        </w:rPr>
        <w:t xml:space="preserve"> </w:t>
      </w:r>
      <w:r w:rsidR="00943F66" w:rsidRPr="00C57BDC">
        <w:rPr>
          <w:szCs w:val="26"/>
        </w:rPr>
        <w:t>r</w:t>
      </w:r>
      <w:r w:rsidR="00230333" w:rsidRPr="00C57BDC">
        <w:rPr>
          <w:szCs w:val="26"/>
        </w:rPr>
        <w:t>equir</w:t>
      </w:r>
      <w:r w:rsidR="0091154D" w:rsidRPr="00C57BDC">
        <w:rPr>
          <w:szCs w:val="26"/>
        </w:rPr>
        <w:t>es</w:t>
      </w:r>
      <w:r w:rsidRPr="00C57BDC">
        <w:rPr>
          <w:szCs w:val="26"/>
        </w:rPr>
        <w:t xml:space="preserve"> </w:t>
      </w:r>
      <w:r w:rsidR="00D662B6" w:rsidRPr="00C57BDC">
        <w:rPr>
          <w:szCs w:val="26"/>
        </w:rPr>
        <w:t>each r</w:t>
      </w:r>
      <w:r w:rsidR="00344870" w:rsidRPr="00C57BDC">
        <w:rPr>
          <w:szCs w:val="26"/>
        </w:rPr>
        <w:t xml:space="preserve">eliability </w:t>
      </w:r>
      <w:r w:rsidR="00631440" w:rsidRPr="00C57BDC">
        <w:rPr>
          <w:szCs w:val="26"/>
        </w:rPr>
        <w:t>coordinator to</w:t>
      </w:r>
      <w:r w:rsidR="00344870" w:rsidRPr="00C57BDC">
        <w:rPr>
          <w:szCs w:val="26"/>
        </w:rPr>
        <w:t xml:space="preserve"> develop, implement and maintain an outage coordination process for generation and transmission outages </w:t>
      </w:r>
      <w:r w:rsidRPr="00C57BDC">
        <w:rPr>
          <w:szCs w:val="26"/>
        </w:rPr>
        <w:t>with</w:t>
      </w:r>
      <w:r w:rsidR="00344870" w:rsidRPr="00C57BDC">
        <w:rPr>
          <w:szCs w:val="26"/>
        </w:rPr>
        <w:t xml:space="preserve">in its </w:t>
      </w:r>
      <w:r w:rsidR="00D662B6" w:rsidRPr="00C57BDC">
        <w:rPr>
          <w:szCs w:val="26"/>
        </w:rPr>
        <w:t>r</w:t>
      </w:r>
      <w:r w:rsidR="00344870" w:rsidRPr="00C57BDC">
        <w:rPr>
          <w:szCs w:val="26"/>
        </w:rPr>
        <w:t xml:space="preserve">eliability </w:t>
      </w:r>
      <w:r w:rsidR="00D662B6" w:rsidRPr="00C57BDC">
        <w:rPr>
          <w:szCs w:val="26"/>
        </w:rPr>
        <w:t>c</w:t>
      </w:r>
      <w:r w:rsidR="00344870" w:rsidRPr="00C57BDC">
        <w:rPr>
          <w:szCs w:val="26"/>
        </w:rPr>
        <w:t xml:space="preserve">oordinator </w:t>
      </w:r>
      <w:r w:rsidR="00D662B6" w:rsidRPr="00C57BDC">
        <w:rPr>
          <w:szCs w:val="26"/>
        </w:rPr>
        <w:t>a</w:t>
      </w:r>
      <w:r w:rsidR="00344870" w:rsidRPr="00C57BDC">
        <w:rPr>
          <w:szCs w:val="26"/>
        </w:rPr>
        <w:t xml:space="preserve">rea. </w:t>
      </w:r>
      <w:r w:rsidR="00D662B6" w:rsidRPr="00C57BDC">
        <w:rPr>
          <w:szCs w:val="26"/>
        </w:rPr>
        <w:t xml:space="preserve"> </w:t>
      </w:r>
      <w:r w:rsidRPr="00C57BDC">
        <w:rPr>
          <w:szCs w:val="26"/>
        </w:rPr>
        <w:t>Under Requirement R2, e</w:t>
      </w:r>
      <w:r w:rsidR="00344870" w:rsidRPr="00C57BDC">
        <w:rPr>
          <w:szCs w:val="26"/>
        </w:rPr>
        <w:t xml:space="preserve">ach </w:t>
      </w:r>
      <w:r w:rsidR="00C36947" w:rsidRPr="00C57BDC">
        <w:rPr>
          <w:szCs w:val="26"/>
        </w:rPr>
        <w:t>t</w:t>
      </w:r>
      <w:r w:rsidR="00344870" w:rsidRPr="00C57BDC">
        <w:rPr>
          <w:szCs w:val="26"/>
        </w:rPr>
        <w:t xml:space="preserve">ransmission </w:t>
      </w:r>
      <w:r w:rsidR="00C36947" w:rsidRPr="00C57BDC">
        <w:rPr>
          <w:szCs w:val="26"/>
        </w:rPr>
        <w:t>o</w:t>
      </w:r>
      <w:r w:rsidR="00344870" w:rsidRPr="00C57BDC">
        <w:rPr>
          <w:szCs w:val="26"/>
        </w:rPr>
        <w:t xml:space="preserve">perator and </w:t>
      </w:r>
      <w:r w:rsidR="00C36947" w:rsidRPr="00C57BDC">
        <w:rPr>
          <w:szCs w:val="26"/>
        </w:rPr>
        <w:t>b</w:t>
      </w:r>
      <w:r w:rsidR="00344870" w:rsidRPr="00C57BDC">
        <w:rPr>
          <w:szCs w:val="26"/>
        </w:rPr>
        <w:t xml:space="preserve">alancing </w:t>
      </w:r>
      <w:r w:rsidR="00C36947" w:rsidRPr="00C57BDC">
        <w:rPr>
          <w:szCs w:val="26"/>
        </w:rPr>
        <w:t>a</w:t>
      </w:r>
      <w:r w:rsidR="00344870" w:rsidRPr="00C57BDC">
        <w:rPr>
          <w:szCs w:val="26"/>
        </w:rPr>
        <w:t xml:space="preserve">uthority, in turn, would perform the functions specified in its </w:t>
      </w:r>
      <w:r w:rsidR="00C36947" w:rsidRPr="00C57BDC">
        <w:rPr>
          <w:szCs w:val="26"/>
        </w:rPr>
        <w:t>r</w:t>
      </w:r>
      <w:r w:rsidR="00344870" w:rsidRPr="00C57BDC">
        <w:rPr>
          <w:szCs w:val="26"/>
        </w:rPr>
        <w:t xml:space="preserve">eliability </w:t>
      </w:r>
      <w:r w:rsidR="00C36947" w:rsidRPr="00C57BDC">
        <w:rPr>
          <w:szCs w:val="26"/>
        </w:rPr>
        <w:t>c</w:t>
      </w:r>
      <w:r w:rsidR="00344870" w:rsidRPr="00C57BDC">
        <w:rPr>
          <w:szCs w:val="26"/>
        </w:rPr>
        <w:t xml:space="preserve">oordinator’s </w:t>
      </w:r>
      <w:r w:rsidRPr="00C57BDC">
        <w:rPr>
          <w:szCs w:val="26"/>
        </w:rPr>
        <w:t xml:space="preserve">outage coordination </w:t>
      </w:r>
      <w:r w:rsidR="00344870" w:rsidRPr="00C57BDC">
        <w:rPr>
          <w:szCs w:val="26"/>
        </w:rPr>
        <w:t xml:space="preserve">process. </w:t>
      </w:r>
      <w:r w:rsidR="00C36947" w:rsidRPr="00C57BDC">
        <w:rPr>
          <w:szCs w:val="26"/>
        </w:rPr>
        <w:t xml:space="preserve"> </w:t>
      </w:r>
      <w:r w:rsidR="00344870" w:rsidRPr="00C57BDC">
        <w:rPr>
          <w:szCs w:val="26"/>
        </w:rPr>
        <w:t xml:space="preserve">Further, </w:t>
      </w:r>
      <w:r w:rsidRPr="00C57BDC">
        <w:rPr>
          <w:szCs w:val="26"/>
        </w:rPr>
        <w:t xml:space="preserve">Requirement R3 requires </w:t>
      </w:r>
      <w:r w:rsidR="00344870" w:rsidRPr="00C57BDC">
        <w:rPr>
          <w:szCs w:val="26"/>
        </w:rPr>
        <w:t xml:space="preserve">each </w:t>
      </w:r>
      <w:r w:rsidR="00C36947" w:rsidRPr="00C57BDC">
        <w:rPr>
          <w:szCs w:val="26"/>
        </w:rPr>
        <w:t>p</w:t>
      </w:r>
      <w:r w:rsidR="00344870" w:rsidRPr="00C57BDC">
        <w:rPr>
          <w:szCs w:val="26"/>
        </w:rPr>
        <w:t xml:space="preserve">lanning </w:t>
      </w:r>
      <w:r w:rsidR="00C36947" w:rsidRPr="00C57BDC">
        <w:rPr>
          <w:szCs w:val="26"/>
        </w:rPr>
        <w:t>c</w:t>
      </w:r>
      <w:r w:rsidR="00344870" w:rsidRPr="00C57BDC">
        <w:rPr>
          <w:szCs w:val="26"/>
        </w:rPr>
        <w:t xml:space="preserve">oordinator and </w:t>
      </w:r>
      <w:r w:rsidR="00C36947" w:rsidRPr="00C57BDC">
        <w:rPr>
          <w:szCs w:val="26"/>
        </w:rPr>
        <w:t>t</w:t>
      </w:r>
      <w:r w:rsidR="00344870" w:rsidRPr="00C57BDC">
        <w:rPr>
          <w:szCs w:val="26"/>
        </w:rPr>
        <w:t xml:space="preserve">ransmission </w:t>
      </w:r>
      <w:r w:rsidR="00C36947" w:rsidRPr="00C57BDC">
        <w:rPr>
          <w:szCs w:val="26"/>
        </w:rPr>
        <w:t>p</w:t>
      </w:r>
      <w:r w:rsidR="00344870" w:rsidRPr="00C57BDC">
        <w:rPr>
          <w:szCs w:val="26"/>
        </w:rPr>
        <w:t xml:space="preserve">lanner </w:t>
      </w:r>
      <w:r w:rsidRPr="00C57BDC">
        <w:rPr>
          <w:szCs w:val="26"/>
        </w:rPr>
        <w:t xml:space="preserve">to </w:t>
      </w:r>
      <w:r w:rsidR="00344870" w:rsidRPr="00C57BDC">
        <w:rPr>
          <w:szCs w:val="26"/>
        </w:rPr>
        <w:t xml:space="preserve">provide its </w:t>
      </w:r>
      <w:r w:rsidR="00C36947" w:rsidRPr="00C57BDC">
        <w:rPr>
          <w:szCs w:val="26"/>
        </w:rPr>
        <w:t>p</w:t>
      </w:r>
      <w:r w:rsidR="00344870" w:rsidRPr="00C57BDC">
        <w:rPr>
          <w:szCs w:val="26"/>
        </w:rPr>
        <w:t xml:space="preserve">lanning </w:t>
      </w:r>
      <w:r w:rsidR="00C36947" w:rsidRPr="00C57BDC">
        <w:rPr>
          <w:szCs w:val="26"/>
        </w:rPr>
        <w:t>a</w:t>
      </w:r>
      <w:r w:rsidR="00344870" w:rsidRPr="00C57BDC">
        <w:rPr>
          <w:szCs w:val="26"/>
        </w:rPr>
        <w:t xml:space="preserve">ssessment to </w:t>
      </w:r>
      <w:r w:rsidRPr="00C57BDC">
        <w:rPr>
          <w:szCs w:val="26"/>
        </w:rPr>
        <w:t xml:space="preserve">the </w:t>
      </w:r>
      <w:r w:rsidR="00344870" w:rsidRPr="00C57BDC">
        <w:rPr>
          <w:szCs w:val="26"/>
        </w:rPr>
        <w:t xml:space="preserve">relevant </w:t>
      </w:r>
      <w:r w:rsidR="00C36947" w:rsidRPr="00C57BDC">
        <w:rPr>
          <w:szCs w:val="26"/>
        </w:rPr>
        <w:t>r</w:t>
      </w:r>
      <w:r w:rsidR="00344870" w:rsidRPr="00C57BDC">
        <w:rPr>
          <w:szCs w:val="26"/>
        </w:rPr>
        <w:t xml:space="preserve">eliability </w:t>
      </w:r>
      <w:r w:rsidR="00C36947" w:rsidRPr="00C57BDC">
        <w:rPr>
          <w:szCs w:val="26"/>
        </w:rPr>
        <w:t>c</w:t>
      </w:r>
      <w:r w:rsidR="00344870" w:rsidRPr="00C57BDC">
        <w:rPr>
          <w:szCs w:val="26"/>
        </w:rPr>
        <w:t xml:space="preserve">oordinators and </w:t>
      </w:r>
      <w:r w:rsidR="008E438D" w:rsidRPr="00C57BDC">
        <w:rPr>
          <w:szCs w:val="26"/>
        </w:rPr>
        <w:t xml:space="preserve">to </w:t>
      </w:r>
      <w:r w:rsidR="00344870" w:rsidRPr="00C57BDC">
        <w:rPr>
          <w:szCs w:val="26"/>
        </w:rPr>
        <w:t>work together to solve any issues or conflicts with planned outages among the applicable entities</w:t>
      </w:r>
      <w:r w:rsidRPr="00C57BDC">
        <w:rPr>
          <w:szCs w:val="26"/>
        </w:rPr>
        <w:t xml:space="preserve"> under Requirement R4</w:t>
      </w:r>
      <w:r w:rsidR="00344870" w:rsidRPr="00C57BDC">
        <w:rPr>
          <w:szCs w:val="26"/>
        </w:rPr>
        <w:t xml:space="preserve">. </w:t>
      </w:r>
      <w:r w:rsidR="00C36947" w:rsidRPr="00C57BDC">
        <w:rPr>
          <w:szCs w:val="26"/>
        </w:rPr>
        <w:t xml:space="preserve"> </w:t>
      </w:r>
      <w:r w:rsidR="00344870" w:rsidRPr="00C57BDC">
        <w:rPr>
          <w:szCs w:val="26"/>
        </w:rPr>
        <w:t xml:space="preserve">Additionally, proposed Reliability Standard IRO-014-3, Requirement R1, Part 1.4 requires </w:t>
      </w:r>
      <w:r w:rsidR="00C36947" w:rsidRPr="00C57BDC">
        <w:rPr>
          <w:szCs w:val="26"/>
        </w:rPr>
        <w:t>r</w:t>
      </w:r>
      <w:r w:rsidR="00344870" w:rsidRPr="00C57BDC">
        <w:rPr>
          <w:szCs w:val="26"/>
        </w:rPr>
        <w:t xml:space="preserve">eliability </w:t>
      </w:r>
      <w:r w:rsidR="00C36947" w:rsidRPr="00C57BDC">
        <w:rPr>
          <w:szCs w:val="26"/>
        </w:rPr>
        <w:t>c</w:t>
      </w:r>
      <w:r w:rsidR="00344870" w:rsidRPr="00C57BDC">
        <w:rPr>
          <w:szCs w:val="26"/>
        </w:rPr>
        <w:t xml:space="preserve">oordinators to include the exchange of planned and unplanned outage information to support </w:t>
      </w:r>
      <w:r w:rsidR="00C36947" w:rsidRPr="00C57BDC">
        <w:rPr>
          <w:szCs w:val="26"/>
        </w:rPr>
        <w:t>o</w:t>
      </w:r>
      <w:r w:rsidR="00344870" w:rsidRPr="00C57BDC">
        <w:rPr>
          <w:szCs w:val="26"/>
        </w:rPr>
        <w:t xml:space="preserve">perational </w:t>
      </w:r>
      <w:r w:rsidR="00C36947" w:rsidRPr="00C57BDC">
        <w:rPr>
          <w:szCs w:val="26"/>
        </w:rPr>
        <w:t>p</w:t>
      </w:r>
      <w:r w:rsidR="00344870" w:rsidRPr="00C57BDC">
        <w:rPr>
          <w:szCs w:val="26"/>
        </w:rPr>
        <w:t xml:space="preserve">lanning </w:t>
      </w:r>
      <w:r w:rsidR="00C36947" w:rsidRPr="00C57BDC">
        <w:rPr>
          <w:szCs w:val="26"/>
        </w:rPr>
        <w:t>a</w:t>
      </w:r>
      <w:r w:rsidR="00344870" w:rsidRPr="00C57BDC">
        <w:rPr>
          <w:szCs w:val="26"/>
        </w:rPr>
        <w:t xml:space="preserve">nalyses and </w:t>
      </w:r>
      <w:r w:rsidR="00C36947" w:rsidRPr="00C57BDC">
        <w:rPr>
          <w:szCs w:val="26"/>
        </w:rPr>
        <w:t>r</w:t>
      </w:r>
      <w:r w:rsidR="00344870" w:rsidRPr="00C57BDC">
        <w:rPr>
          <w:szCs w:val="26"/>
        </w:rPr>
        <w:t xml:space="preserve">eal-time </w:t>
      </w:r>
      <w:r w:rsidR="00C36947" w:rsidRPr="00C57BDC">
        <w:rPr>
          <w:szCs w:val="26"/>
        </w:rPr>
        <w:t>a</w:t>
      </w:r>
      <w:r w:rsidR="00344870" w:rsidRPr="00C57BDC">
        <w:rPr>
          <w:szCs w:val="26"/>
        </w:rPr>
        <w:t xml:space="preserve">ssessments in the </w:t>
      </w:r>
      <w:r w:rsidR="00C36947" w:rsidRPr="00C57BDC">
        <w:rPr>
          <w:szCs w:val="26"/>
        </w:rPr>
        <w:t>o</w:t>
      </w:r>
      <w:r w:rsidR="00344870" w:rsidRPr="00C57BDC">
        <w:rPr>
          <w:szCs w:val="26"/>
        </w:rPr>
        <w:t xml:space="preserve">perating </w:t>
      </w:r>
      <w:r w:rsidR="00C36947" w:rsidRPr="00C57BDC">
        <w:rPr>
          <w:szCs w:val="26"/>
        </w:rPr>
        <w:t>p</w:t>
      </w:r>
      <w:r w:rsidR="00344870" w:rsidRPr="00C57BDC">
        <w:rPr>
          <w:szCs w:val="26"/>
        </w:rPr>
        <w:t xml:space="preserve">rocedures, </w:t>
      </w:r>
      <w:r w:rsidR="00C36947" w:rsidRPr="00C57BDC">
        <w:rPr>
          <w:szCs w:val="26"/>
        </w:rPr>
        <w:t>p</w:t>
      </w:r>
      <w:r w:rsidR="00344870" w:rsidRPr="00C57BDC">
        <w:rPr>
          <w:szCs w:val="26"/>
        </w:rPr>
        <w:t xml:space="preserve">rocesses, and </w:t>
      </w:r>
      <w:r w:rsidR="00C36947" w:rsidRPr="00C57BDC">
        <w:rPr>
          <w:szCs w:val="26"/>
        </w:rPr>
        <w:t>p</w:t>
      </w:r>
      <w:r w:rsidR="00344870" w:rsidRPr="00C57BDC">
        <w:rPr>
          <w:szCs w:val="26"/>
        </w:rPr>
        <w:t xml:space="preserve">lans for activities that require coordination with adjacent </w:t>
      </w:r>
      <w:r w:rsidR="00C36947" w:rsidRPr="00C57BDC">
        <w:rPr>
          <w:szCs w:val="26"/>
        </w:rPr>
        <w:t>r</w:t>
      </w:r>
      <w:r w:rsidR="00344870" w:rsidRPr="00C57BDC">
        <w:rPr>
          <w:szCs w:val="26"/>
        </w:rPr>
        <w:t xml:space="preserve">eliability </w:t>
      </w:r>
      <w:r w:rsidR="00C36947" w:rsidRPr="00C57BDC">
        <w:rPr>
          <w:szCs w:val="26"/>
        </w:rPr>
        <w:t>c</w:t>
      </w:r>
      <w:r w:rsidR="00344870" w:rsidRPr="00C57BDC">
        <w:rPr>
          <w:szCs w:val="26"/>
        </w:rPr>
        <w:t>oordinators.</w:t>
      </w:r>
      <w:r w:rsidR="00C36947" w:rsidRPr="00C57BDC">
        <w:rPr>
          <w:szCs w:val="26"/>
        </w:rPr>
        <w:t xml:space="preserve">  </w:t>
      </w:r>
      <w:r w:rsidR="006D3379" w:rsidRPr="00C57BDC">
        <w:rPr>
          <w:szCs w:val="26"/>
        </w:rPr>
        <w:t xml:space="preserve">Further, the proposed revised definitions of </w:t>
      </w:r>
      <w:r w:rsidR="00266658" w:rsidRPr="00C57BDC">
        <w:rPr>
          <w:szCs w:val="26"/>
        </w:rPr>
        <w:t>o</w:t>
      </w:r>
      <w:r w:rsidR="006D3379" w:rsidRPr="00C57BDC">
        <w:rPr>
          <w:szCs w:val="26"/>
        </w:rPr>
        <w:t xml:space="preserve">perational </w:t>
      </w:r>
      <w:r w:rsidR="00266658" w:rsidRPr="00C57BDC">
        <w:rPr>
          <w:szCs w:val="26"/>
        </w:rPr>
        <w:t>p</w:t>
      </w:r>
      <w:r w:rsidR="006D3379" w:rsidRPr="00C57BDC">
        <w:rPr>
          <w:szCs w:val="26"/>
        </w:rPr>
        <w:t xml:space="preserve">lanning </w:t>
      </w:r>
      <w:r w:rsidR="00266658" w:rsidRPr="00C57BDC">
        <w:rPr>
          <w:szCs w:val="26"/>
        </w:rPr>
        <w:t>a</w:t>
      </w:r>
      <w:r w:rsidR="006D3379" w:rsidRPr="00C57BDC">
        <w:rPr>
          <w:szCs w:val="26"/>
        </w:rPr>
        <w:t xml:space="preserve">nalysis and </w:t>
      </w:r>
      <w:r w:rsidR="00266658" w:rsidRPr="00C57BDC">
        <w:rPr>
          <w:szCs w:val="26"/>
        </w:rPr>
        <w:t>r</w:t>
      </w:r>
      <w:r w:rsidR="006D3379" w:rsidRPr="00C57BDC">
        <w:rPr>
          <w:szCs w:val="26"/>
        </w:rPr>
        <w:t xml:space="preserve">eal-time </w:t>
      </w:r>
      <w:r w:rsidR="00266658" w:rsidRPr="00C57BDC">
        <w:rPr>
          <w:szCs w:val="26"/>
        </w:rPr>
        <w:t>a</w:t>
      </w:r>
      <w:r w:rsidR="006D3379" w:rsidRPr="00C57BDC">
        <w:rPr>
          <w:szCs w:val="26"/>
        </w:rPr>
        <w:t xml:space="preserve">ssessments require </w:t>
      </w:r>
      <w:r w:rsidR="00CE4519" w:rsidRPr="00C57BDC">
        <w:rPr>
          <w:szCs w:val="26"/>
        </w:rPr>
        <w:t xml:space="preserve">that these evaluations of system conditions include </w:t>
      </w:r>
      <w:r w:rsidR="006D3379" w:rsidRPr="00C57BDC">
        <w:rPr>
          <w:szCs w:val="26"/>
        </w:rPr>
        <w:t xml:space="preserve">transmission and generation outages.  </w:t>
      </w:r>
      <w:r w:rsidR="00C36947" w:rsidRPr="00C57BDC">
        <w:rPr>
          <w:szCs w:val="26"/>
        </w:rPr>
        <w:t xml:space="preserve">We </w:t>
      </w:r>
      <w:r w:rsidR="00C36947" w:rsidRPr="00C57BDC">
        <w:rPr>
          <w:szCs w:val="26"/>
        </w:rPr>
        <w:lastRenderedPageBreak/>
        <w:t xml:space="preserve">believe that these </w:t>
      </w:r>
      <w:r w:rsidR="008E438D" w:rsidRPr="00C57BDC">
        <w:rPr>
          <w:szCs w:val="26"/>
        </w:rPr>
        <w:t xml:space="preserve">proposed </w:t>
      </w:r>
      <w:r w:rsidR="00C36947" w:rsidRPr="00C57BDC">
        <w:rPr>
          <w:szCs w:val="26"/>
        </w:rPr>
        <w:t xml:space="preserve">standards </w:t>
      </w:r>
      <w:r w:rsidR="00CE4519" w:rsidRPr="00C57BDC">
        <w:rPr>
          <w:szCs w:val="26"/>
        </w:rPr>
        <w:t xml:space="preserve">and revised definitions </w:t>
      </w:r>
      <w:r w:rsidR="00C36947" w:rsidRPr="00C57BDC">
        <w:rPr>
          <w:szCs w:val="26"/>
        </w:rPr>
        <w:t xml:space="preserve">adequately address our concerns </w:t>
      </w:r>
      <w:r w:rsidR="00266658" w:rsidRPr="00C57BDC">
        <w:rPr>
          <w:szCs w:val="26"/>
        </w:rPr>
        <w:t xml:space="preserve">with respect to </w:t>
      </w:r>
      <w:r w:rsidR="00C36947" w:rsidRPr="00C57BDC">
        <w:rPr>
          <w:szCs w:val="26"/>
        </w:rPr>
        <w:t>outage coordination as outlined in the Remand NOPR.</w:t>
      </w:r>
      <w:r w:rsidR="00CD0303" w:rsidRPr="00C57BDC">
        <w:rPr>
          <w:szCs w:val="26"/>
        </w:rPr>
        <w:t xml:space="preserve"> </w:t>
      </w:r>
    </w:p>
    <w:p w14:paraId="0A555DAF" w14:textId="43E56110" w:rsidR="00A320D1" w:rsidRPr="00C57BDC" w:rsidRDefault="00A320D1" w:rsidP="00A320D1">
      <w:pPr>
        <w:pStyle w:val="FERCparanumber"/>
        <w:numPr>
          <w:ilvl w:val="0"/>
          <w:numId w:val="0"/>
        </w:numPr>
        <w:rPr>
          <w:b/>
          <w:szCs w:val="26"/>
        </w:rPr>
      </w:pPr>
      <w:r w:rsidRPr="00C57BDC">
        <w:rPr>
          <w:szCs w:val="26"/>
        </w:rPr>
        <w:tab/>
      </w:r>
      <w:r w:rsidR="004540CB">
        <w:rPr>
          <w:b/>
          <w:szCs w:val="26"/>
        </w:rPr>
        <w:t>B</w:t>
      </w:r>
      <w:r w:rsidRPr="00C57BDC">
        <w:rPr>
          <w:b/>
          <w:szCs w:val="26"/>
        </w:rPr>
        <w:t>.</w:t>
      </w:r>
      <w:r w:rsidRPr="00C57BDC">
        <w:rPr>
          <w:b/>
          <w:szCs w:val="26"/>
        </w:rPr>
        <w:tab/>
      </w:r>
      <w:r w:rsidRPr="00C57BDC">
        <w:rPr>
          <w:b/>
          <w:szCs w:val="26"/>
          <w:u w:val="single"/>
        </w:rPr>
        <w:t>Other Reliability Issues</w:t>
      </w:r>
      <w:r w:rsidRPr="00C57BDC">
        <w:rPr>
          <w:b/>
          <w:szCs w:val="26"/>
        </w:rPr>
        <w:t xml:space="preserve"> </w:t>
      </w:r>
    </w:p>
    <w:p w14:paraId="36B41150" w14:textId="17640BF6" w:rsidR="004540CB" w:rsidRDefault="00C93856" w:rsidP="00777829">
      <w:pPr>
        <w:pStyle w:val="FERCparanumber"/>
        <w:tabs>
          <w:tab w:val="left" w:pos="720"/>
        </w:tabs>
        <w:ind w:left="0"/>
        <w:rPr>
          <w:szCs w:val="26"/>
        </w:rPr>
      </w:pPr>
      <w:r w:rsidRPr="00C57BDC">
        <w:rPr>
          <w:szCs w:val="26"/>
        </w:rPr>
        <w:t xml:space="preserve">While proposing to approve the TOP and IRO Reliability Standards, the Commission seeks clarifying comments addressing three </w:t>
      </w:r>
      <w:r w:rsidR="007F3454" w:rsidRPr="00C57BDC">
        <w:rPr>
          <w:szCs w:val="26"/>
        </w:rPr>
        <w:t xml:space="preserve">additional </w:t>
      </w:r>
      <w:r w:rsidRPr="00C57BDC">
        <w:rPr>
          <w:szCs w:val="26"/>
        </w:rPr>
        <w:t xml:space="preserve">issues: </w:t>
      </w:r>
      <w:r w:rsidR="00777829">
        <w:rPr>
          <w:szCs w:val="26"/>
        </w:rPr>
        <w:t xml:space="preserve">                  </w:t>
      </w:r>
      <w:r w:rsidR="00F03064" w:rsidRPr="00C57BDC">
        <w:rPr>
          <w:szCs w:val="26"/>
        </w:rPr>
        <w:t xml:space="preserve"> </w:t>
      </w:r>
      <w:r w:rsidR="00637032" w:rsidRPr="00C57BDC">
        <w:rPr>
          <w:szCs w:val="26"/>
        </w:rPr>
        <w:t>(1</w:t>
      </w:r>
      <w:r w:rsidRPr="00C57BDC">
        <w:rPr>
          <w:szCs w:val="26"/>
        </w:rPr>
        <w:t>) monitoring of non-bulk electric system facilities; (</w:t>
      </w:r>
      <w:r w:rsidR="00637032" w:rsidRPr="00C57BDC">
        <w:rPr>
          <w:szCs w:val="26"/>
        </w:rPr>
        <w:t>2</w:t>
      </w:r>
      <w:r w:rsidRPr="00C57BDC">
        <w:rPr>
          <w:szCs w:val="26"/>
        </w:rPr>
        <w:t>) removal of the load-serving entity as an applicable entity for proposed Reliab</w:t>
      </w:r>
      <w:r w:rsidR="00637032" w:rsidRPr="00C57BDC">
        <w:rPr>
          <w:szCs w:val="26"/>
        </w:rPr>
        <w:t>ility Standard TOP-001-3; and (3</w:t>
      </w:r>
      <w:r w:rsidRPr="00C57BDC">
        <w:rPr>
          <w:szCs w:val="26"/>
        </w:rPr>
        <w:t>) data exchange capabilities.  Based on comments and information received on these issues, the Commission may issue directives as appropriate</w:t>
      </w:r>
      <w:r w:rsidR="00C75E1A" w:rsidRPr="00C57BDC">
        <w:rPr>
          <w:szCs w:val="26"/>
        </w:rPr>
        <w:t xml:space="preserve">.  </w:t>
      </w:r>
    </w:p>
    <w:p w14:paraId="0FFF0156" w14:textId="56739110" w:rsidR="004B7BEB" w:rsidRPr="004540CB" w:rsidRDefault="004540CB" w:rsidP="00777829">
      <w:pPr>
        <w:pStyle w:val="FERCparanumber"/>
        <w:numPr>
          <w:ilvl w:val="0"/>
          <w:numId w:val="0"/>
        </w:numPr>
        <w:ind w:left="2160" w:hanging="720"/>
        <w:rPr>
          <w:b/>
          <w:szCs w:val="26"/>
        </w:rPr>
      </w:pPr>
      <w:r>
        <w:rPr>
          <w:szCs w:val="26"/>
        </w:rPr>
        <w:tab/>
      </w:r>
      <w:r w:rsidRPr="004540CB">
        <w:rPr>
          <w:b/>
          <w:szCs w:val="26"/>
        </w:rPr>
        <w:t>1.</w:t>
      </w:r>
      <w:r w:rsidRPr="004540CB">
        <w:rPr>
          <w:b/>
          <w:szCs w:val="26"/>
        </w:rPr>
        <w:tab/>
      </w:r>
      <w:r w:rsidR="006312F4" w:rsidRPr="00777829">
        <w:rPr>
          <w:b/>
          <w:u w:val="single"/>
        </w:rPr>
        <w:t xml:space="preserve">Monitoring of </w:t>
      </w:r>
      <w:r w:rsidR="00CD6104" w:rsidRPr="00777829">
        <w:rPr>
          <w:b/>
          <w:u w:val="single"/>
        </w:rPr>
        <w:t>N</w:t>
      </w:r>
      <w:r w:rsidR="006312F4" w:rsidRPr="00777829">
        <w:rPr>
          <w:b/>
          <w:u w:val="single"/>
        </w:rPr>
        <w:t>on-</w:t>
      </w:r>
      <w:r w:rsidR="00CD6104" w:rsidRPr="00777829">
        <w:rPr>
          <w:b/>
          <w:u w:val="single"/>
        </w:rPr>
        <w:t>B</w:t>
      </w:r>
      <w:r w:rsidR="006312F4" w:rsidRPr="00777829">
        <w:rPr>
          <w:b/>
          <w:u w:val="single"/>
        </w:rPr>
        <w:t xml:space="preserve">ulk </w:t>
      </w:r>
      <w:r w:rsidR="00CD6104" w:rsidRPr="00777829">
        <w:rPr>
          <w:b/>
          <w:u w:val="single"/>
        </w:rPr>
        <w:t>E</w:t>
      </w:r>
      <w:r w:rsidR="006312F4" w:rsidRPr="00777829">
        <w:rPr>
          <w:b/>
          <w:u w:val="single"/>
        </w:rPr>
        <w:t xml:space="preserve">lectric </w:t>
      </w:r>
      <w:r w:rsidR="00CD6104" w:rsidRPr="00777829">
        <w:rPr>
          <w:b/>
          <w:u w:val="single"/>
        </w:rPr>
        <w:t>S</w:t>
      </w:r>
      <w:r w:rsidR="006312F4" w:rsidRPr="00777829">
        <w:rPr>
          <w:b/>
          <w:u w:val="single"/>
        </w:rPr>
        <w:t xml:space="preserve">ystem </w:t>
      </w:r>
      <w:r w:rsidR="00CD6104" w:rsidRPr="00777829">
        <w:rPr>
          <w:b/>
          <w:u w:val="single"/>
        </w:rPr>
        <w:t>F</w:t>
      </w:r>
      <w:r w:rsidR="004B7BEB" w:rsidRPr="00777829">
        <w:rPr>
          <w:b/>
          <w:u w:val="single"/>
        </w:rPr>
        <w:t>acilities</w:t>
      </w:r>
    </w:p>
    <w:p w14:paraId="44E3058D" w14:textId="77777777" w:rsidR="00D74EAD" w:rsidRPr="00777829" w:rsidRDefault="00D74EAD" w:rsidP="0067456F">
      <w:pPr>
        <w:pStyle w:val="FERCparanumber"/>
        <w:numPr>
          <w:ilvl w:val="0"/>
          <w:numId w:val="0"/>
        </w:numPr>
        <w:rPr>
          <w:b/>
          <w:szCs w:val="26"/>
          <w:u w:val="single"/>
        </w:rPr>
      </w:pPr>
      <w:r w:rsidRPr="00C57BDC">
        <w:rPr>
          <w:szCs w:val="26"/>
        </w:rPr>
        <w:tab/>
      </w:r>
      <w:r w:rsidRPr="00777829">
        <w:rPr>
          <w:b/>
          <w:szCs w:val="26"/>
          <w:u w:val="single"/>
        </w:rPr>
        <w:t>NERC Petition</w:t>
      </w:r>
    </w:p>
    <w:p w14:paraId="5458CCBC" w14:textId="77777777" w:rsidR="00D96FCD" w:rsidRPr="00C57BDC" w:rsidRDefault="00C67CA6" w:rsidP="00777829">
      <w:pPr>
        <w:pStyle w:val="FERCparanumber"/>
        <w:shd w:val="clear" w:color="auto" w:fill="FFFFFF"/>
        <w:tabs>
          <w:tab w:val="clear" w:pos="810"/>
          <w:tab w:val="num" w:pos="720"/>
        </w:tabs>
        <w:autoSpaceDE/>
        <w:autoSpaceDN/>
        <w:adjustRightInd/>
        <w:ind w:left="0"/>
      </w:pPr>
      <w:r w:rsidRPr="00C57BDC">
        <w:rPr>
          <w:szCs w:val="26"/>
        </w:rPr>
        <w:t xml:space="preserve">NERC </w:t>
      </w:r>
      <w:r w:rsidRPr="00C57BDC">
        <w:t xml:space="preserve">explains how the proposed Reliability Standards address the recommendations in the </w:t>
      </w:r>
      <w:r w:rsidR="002B26C9" w:rsidRPr="00C57BDC">
        <w:rPr>
          <w:szCs w:val="26"/>
        </w:rPr>
        <w:t>2011 Southwest Outage Blackout Report</w:t>
      </w:r>
      <w:r w:rsidR="00D96FCD" w:rsidRPr="00C57BDC">
        <w:t xml:space="preserve">, in </w:t>
      </w:r>
      <w:r w:rsidR="00D60391" w:rsidRPr="00C57BDC">
        <w:rPr>
          <w:szCs w:val="26"/>
        </w:rPr>
        <w:t>particular</w:t>
      </w:r>
      <w:r w:rsidR="00D96FCD" w:rsidRPr="00C57BDC">
        <w:rPr>
          <w:szCs w:val="26"/>
        </w:rPr>
        <w:t xml:space="preserve"> </w:t>
      </w:r>
      <w:r w:rsidR="00D60391" w:rsidRPr="00C57BDC">
        <w:rPr>
          <w:szCs w:val="26"/>
        </w:rPr>
        <w:t xml:space="preserve">with respect to Finding </w:t>
      </w:r>
      <w:r w:rsidR="00D96FCD" w:rsidRPr="00C57BDC">
        <w:rPr>
          <w:szCs w:val="26"/>
        </w:rPr>
        <w:t xml:space="preserve">17 </w:t>
      </w:r>
      <w:r w:rsidR="00635E76" w:rsidRPr="00C57BDC">
        <w:rPr>
          <w:szCs w:val="26"/>
        </w:rPr>
        <w:t>concerning</w:t>
      </w:r>
      <w:r w:rsidR="00D96FCD" w:rsidRPr="00C57BDC">
        <w:rPr>
          <w:szCs w:val="26"/>
        </w:rPr>
        <w:t xml:space="preserve"> the impact of s</w:t>
      </w:r>
      <w:r w:rsidR="00D96FCD" w:rsidRPr="00C57BDC">
        <w:t xml:space="preserve">ub-100 kV facilities on </w:t>
      </w:r>
      <w:r w:rsidR="008D4FD8" w:rsidRPr="00C57BDC">
        <w:t xml:space="preserve">the </w:t>
      </w:r>
      <w:r w:rsidR="00D96FCD" w:rsidRPr="00C57BDC">
        <w:t>reliability of the interconnected transmission network.  Finding 17 states:</w:t>
      </w:r>
    </w:p>
    <w:p w14:paraId="6DB33251" w14:textId="77777777" w:rsidR="00D96FCD" w:rsidRPr="00C57BDC" w:rsidRDefault="00D96FCD" w:rsidP="007A14C3">
      <w:pPr>
        <w:widowControl/>
        <w:shd w:val="clear" w:color="auto" w:fill="FFFFFF"/>
        <w:autoSpaceDE/>
        <w:autoSpaceDN/>
        <w:adjustRightInd/>
        <w:spacing w:before="100" w:beforeAutospacing="1" w:after="100" w:afterAutospacing="1"/>
        <w:ind w:left="720" w:right="1440"/>
      </w:pPr>
      <w:r w:rsidRPr="00C57BDC">
        <w:t xml:space="preserve">WECC RC and affected TOPs and BAs do not consistently recognize the adverse impact sub-100 kV facilities can have on BPS reliability. </w:t>
      </w:r>
      <w:r w:rsidR="00426455" w:rsidRPr="00C57BDC">
        <w:t xml:space="preserve"> </w:t>
      </w:r>
      <w:r w:rsidRPr="00C57BDC">
        <w:t xml:space="preserve">As a result, sub-100 kV facilities might not be designated as part of the BES, which can leave entities unable to address the reliability impact they can have in the planning and operations time horizons. </w:t>
      </w:r>
      <w:r w:rsidR="00426455" w:rsidRPr="00C57BDC">
        <w:t xml:space="preserve"> </w:t>
      </w:r>
      <w:r w:rsidRPr="00C57BDC">
        <w:t>If, prior to September 8, 2011, certain sub-100 kV facilities had been designated as part of the BES and, as a result, were incorporated into the TOPs’ and RC’s planning and operations studies, or otherwise had been incorporated into these studies, cascading outages may have been avoided on the day of the event.</w:t>
      </w:r>
    </w:p>
    <w:p w14:paraId="0E9E4E75" w14:textId="77777777" w:rsidR="00D96FCD" w:rsidRPr="00C57BDC" w:rsidRDefault="00D96FCD" w:rsidP="0067456F">
      <w:pPr>
        <w:widowControl/>
        <w:shd w:val="clear" w:color="auto" w:fill="FFFFFF"/>
        <w:autoSpaceDE/>
        <w:autoSpaceDN/>
        <w:adjustRightInd/>
      </w:pPr>
      <w:r w:rsidRPr="00C57BDC">
        <w:t> </w:t>
      </w:r>
    </w:p>
    <w:p w14:paraId="6A3489E3" w14:textId="77777777" w:rsidR="00D96FCD" w:rsidRPr="00C57BDC" w:rsidRDefault="00D96FCD" w:rsidP="0067456F">
      <w:pPr>
        <w:widowControl/>
        <w:shd w:val="clear" w:color="auto" w:fill="FFFFFF"/>
        <w:autoSpaceDE/>
        <w:autoSpaceDN/>
        <w:adjustRightInd/>
      </w:pPr>
      <w:r w:rsidRPr="00C57BDC">
        <w:lastRenderedPageBreak/>
        <w:t>Recommendation 17 states:</w:t>
      </w:r>
    </w:p>
    <w:p w14:paraId="7C9AA9D2" w14:textId="77777777" w:rsidR="00D96FCD" w:rsidRPr="00C57BDC" w:rsidRDefault="00D96FCD" w:rsidP="0067456F">
      <w:pPr>
        <w:widowControl/>
        <w:shd w:val="clear" w:color="auto" w:fill="FFFFFF"/>
        <w:autoSpaceDE/>
        <w:autoSpaceDN/>
        <w:adjustRightInd/>
      </w:pPr>
    </w:p>
    <w:p w14:paraId="5471CDC1" w14:textId="24B2178C" w:rsidR="00D96FCD" w:rsidRPr="00C57BDC" w:rsidRDefault="00D96FCD" w:rsidP="007A14C3">
      <w:pPr>
        <w:widowControl/>
        <w:shd w:val="clear" w:color="auto" w:fill="FFFFFF"/>
        <w:autoSpaceDE/>
        <w:autoSpaceDN/>
        <w:adjustRightInd/>
        <w:spacing w:before="100" w:beforeAutospacing="1" w:after="100" w:afterAutospacing="1"/>
        <w:ind w:left="720" w:right="1440"/>
      </w:pPr>
      <w:r w:rsidRPr="00C57BDC">
        <w:t xml:space="preserve">WECC, as the RE, should lead other entities, including TOPs and BAs, to ensure that all facilities that can adversely impact BPS reliability are either designated as part of the BES or otherwise incorporated into planning and operations studies and actively monitored and alarmed in </w:t>
      </w:r>
      <w:r w:rsidR="00426455" w:rsidRPr="00C57BDC">
        <w:t>[</w:t>
      </w:r>
      <w:r w:rsidR="0095417F" w:rsidRPr="00C57BDC">
        <w:t>real-time contingency analysis</w:t>
      </w:r>
      <w:r w:rsidR="00426455" w:rsidRPr="00C57BDC">
        <w:t>]</w:t>
      </w:r>
      <w:r w:rsidRPr="00C57BDC">
        <w:t xml:space="preserve"> systems.</w:t>
      </w:r>
    </w:p>
    <w:p w14:paraId="2CEF57AE" w14:textId="77777777" w:rsidR="00D74EAD" w:rsidRPr="00C57BDC" w:rsidRDefault="00D74EAD" w:rsidP="0067456F">
      <w:pPr>
        <w:widowControl/>
        <w:rPr>
          <w:rFonts w:ascii="Calibri" w:hAnsi="Calibri" w:cs="Calibri"/>
          <w:color w:val="000000"/>
          <w:sz w:val="23"/>
          <w:szCs w:val="23"/>
        </w:rPr>
      </w:pPr>
    </w:p>
    <w:p w14:paraId="75037DA2" w14:textId="2A90F9EA" w:rsidR="0049246D" w:rsidRPr="00C57BDC" w:rsidRDefault="0049246D" w:rsidP="0067456F">
      <w:pPr>
        <w:pStyle w:val="FERCparanumber"/>
        <w:numPr>
          <w:ilvl w:val="0"/>
          <w:numId w:val="0"/>
        </w:numPr>
        <w:rPr>
          <w:szCs w:val="26"/>
        </w:rPr>
      </w:pPr>
      <w:r w:rsidRPr="00C57BDC">
        <w:rPr>
          <w:szCs w:val="26"/>
        </w:rPr>
        <w:t xml:space="preserve">NERC states that </w:t>
      </w:r>
      <w:r w:rsidR="008D4FD8" w:rsidRPr="00C57BDC">
        <w:rPr>
          <w:szCs w:val="26"/>
        </w:rPr>
        <w:t>p</w:t>
      </w:r>
      <w:r w:rsidRPr="00C57BDC">
        <w:rPr>
          <w:szCs w:val="26"/>
        </w:rPr>
        <w:t>roposed Reliability Standard IRO-002-4, Requirement R3</w:t>
      </w:r>
      <w:r w:rsidR="008D4FD8" w:rsidRPr="00C57BDC">
        <w:rPr>
          <w:szCs w:val="26"/>
        </w:rPr>
        <w:t xml:space="preserve"> addresses monitoring of non-bulk electric system facilities</w:t>
      </w:r>
      <w:r w:rsidRPr="00C57BDC">
        <w:rPr>
          <w:szCs w:val="26"/>
        </w:rPr>
        <w:t xml:space="preserve"> </w:t>
      </w:r>
      <w:r w:rsidR="008E438D" w:rsidRPr="00C57BDC">
        <w:rPr>
          <w:szCs w:val="26"/>
        </w:rPr>
        <w:t xml:space="preserve">by requiring </w:t>
      </w:r>
      <w:r w:rsidRPr="00C57BDC">
        <w:rPr>
          <w:szCs w:val="26"/>
        </w:rPr>
        <w:t xml:space="preserve">each </w:t>
      </w:r>
      <w:r w:rsidR="00266658" w:rsidRPr="00C57BDC">
        <w:rPr>
          <w:szCs w:val="26"/>
        </w:rPr>
        <w:t xml:space="preserve">reliability coordinator </w:t>
      </w:r>
      <w:r w:rsidRPr="00C57BDC">
        <w:rPr>
          <w:szCs w:val="26"/>
        </w:rPr>
        <w:t xml:space="preserve">to monitor </w:t>
      </w:r>
      <w:r w:rsidR="00266658" w:rsidRPr="00C57BDC">
        <w:rPr>
          <w:szCs w:val="26"/>
        </w:rPr>
        <w:t>f</w:t>
      </w:r>
      <w:r w:rsidRPr="00C57BDC">
        <w:rPr>
          <w:szCs w:val="26"/>
        </w:rPr>
        <w:t>acilities</w:t>
      </w:r>
      <w:r w:rsidR="00266658" w:rsidRPr="00C57BDC">
        <w:rPr>
          <w:szCs w:val="26"/>
        </w:rPr>
        <w:t xml:space="preserve"> a</w:t>
      </w:r>
      <w:r w:rsidRPr="00C57BDC">
        <w:rPr>
          <w:szCs w:val="26"/>
        </w:rPr>
        <w:t xml:space="preserve">nd necessary </w:t>
      </w:r>
      <w:r w:rsidR="004B2924" w:rsidRPr="00C57BDC">
        <w:rPr>
          <w:iCs/>
          <w:szCs w:val="26"/>
        </w:rPr>
        <w:t>non-bulk</w:t>
      </w:r>
      <w:r w:rsidR="00C0677C" w:rsidRPr="00C57BDC">
        <w:rPr>
          <w:iCs/>
          <w:szCs w:val="26"/>
        </w:rPr>
        <w:t xml:space="preserve"> </w:t>
      </w:r>
      <w:r w:rsidR="004B2924" w:rsidRPr="00C57BDC">
        <w:rPr>
          <w:iCs/>
          <w:szCs w:val="26"/>
        </w:rPr>
        <w:t xml:space="preserve">electric system </w:t>
      </w:r>
      <w:r w:rsidRPr="00C57BDC">
        <w:rPr>
          <w:iCs/>
          <w:szCs w:val="26"/>
        </w:rPr>
        <w:t>facilities</w:t>
      </w:r>
      <w:r w:rsidRPr="00C57BDC">
        <w:rPr>
          <w:szCs w:val="26"/>
        </w:rPr>
        <w:t xml:space="preserve"> in order to identify SOL and IROL exceedances within its </w:t>
      </w:r>
      <w:r w:rsidR="004B2924" w:rsidRPr="00C57BDC">
        <w:rPr>
          <w:szCs w:val="26"/>
        </w:rPr>
        <w:t>reliability coordinator</w:t>
      </w:r>
      <w:r w:rsidRPr="00C57BDC">
        <w:rPr>
          <w:szCs w:val="26"/>
        </w:rPr>
        <w:t xml:space="preserve"> </w:t>
      </w:r>
      <w:r w:rsidR="00266658" w:rsidRPr="00C57BDC">
        <w:rPr>
          <w:szCs w:val="26"/>
        </w:rPr>
        <w:t>a</w:t>
      </w:r>
      <w:r w:rsidRPr="00C57BDC">
        <w:rPr>
          <w:szCs w:val="26"/>
        </w:rPr>
        <w:t>rea.</w:t>
      </w:r>
      <w:r w:rsidRPr="00C57BDC">
        <w:rPr>
          <w:rStyle w:val="FootnoteReference"/>
        </w:rPr>
        <w:footnoteReference w:id="37"/>
      </w:r>
      <w:r w:rsidRPr="00C57BDC">
        <w:rPr>
          <w:szCs w:val="26"/>
        </w:rPr>
        <w:t xml:space="preserve">  In addition, NERC states that proposed </w:t>
      </w:r>
      <w:r w:rsidR="00ED4251">
        <w:rPr>
          <w:szCs w:val="26"/>
        </w:rPr>
        <w:t xml:space="preserve">Reliability Standards </w:t>
      </w:r>
      <w:r w:rsidRPr="00C57BDC">
        <w:rPr>
          <w:szCs w:val="26"/>
        </w:rPr>
        <w:t>IRO-010-2, Requirement R1.1 and  TOP-003-3, Requirement R1.1 address non-</w:t>
      </w:r>
      <w:r w:rsidR="004B2924" w:rsidRPr="00C57BDC">
        <w:rPr>
          <w:szCs w:val="26"/>
        </w:rPr>
        <w:t>bulk electric system</w:t>
      </w:r>
      <w:r w:rsidRPr="00C57BDC">
        <w:rPr>
          <w:szCs w:val="26"/>
        </w:rPr>
        <w:t xml:space="preserve"> data by specifically requiring </w:t>
      </w:r>
      <w:r w:rsidR="004B2924" w:rsidRPr="00C57BDC">
        <w:rPr>
          <w:szCs w:val="26"/>
        </w:rPr>
        <w:t xml:space="preserve">reliability coordinators and transmission operators </w:t>
      </w:r>
      <w:r w:rsidRPr="00C57BDC">
        <w:rPr>
          <w:szCs w:val="26"/>
        </w:rPr>
        <w:t xml:space="preserve">to incorporate any </w:t>
      </w:r>
      <w:r w:rsidRPr="00C57BDC">
        <w:rPr>
          <w:iCs/>
          <w:szCs w:val="26"/>
        </w:rPr>
        <w:t>non-</w:t>
      </w:r>
      <w:r w:rsidR="004B2924" w:rsidRPr="00C57BDC">
        <w:rPr>
          <w:iCs/>
          <w:szCs w:val="26"/>
        </w:rPr>
        <w:t xml:space="preserve">bulk-electric system </w:t>
      </w:r>
      <w:r w:rsidRPr="00C57BDC">
        <w:rPr>
          <w:iCs/>
          <w:szCs w:val="26"/>
        </w:rPr>
        <w:t>data</w:t>
      </w:r>
      <w:r w:rsidRPr="00C57BDC">
        <w:rPr>
          <w:szCs w:val="26"/>
        </w:rPr>
        <w:t xml:space="preserve"> </w:t>
      </w:r>
      <w:r w:rsidR="00196408" w:rsidRPr="00C57BDC">
        <w:rPr>
          <w:szCs w:val="26"/>
        </w:rPr>
        <w:t xml:space="preserve">as </w:t>
      </w:r>
      <w:r w:rsidRPr="00C57BDC">
        <w:rPr>
          <w:szCs w:val="26"/>
        </w:rPr>
        <w:t>deemed necessary into their operational planning analyses, real-time monitoring, and real-time assessments.</w:t>
      </w:r>
      <w:r w:rsidRPr="00C57BDC">
        <w:rPr>
          <w:rStyle w:val="FootnoteReference"/>
        </w:rPr>
        <w:footnoteReference w:id="38"/>
      </w:r>
      <w:r w:rsidRPr="00C57BDC">
        <w:rPr>
          <w:szCs w:val="26"/>
        </w:rPr>
        <w:t xml:space="preserve">  </w:t>
      </w:r>
    </w:p>
    <w:p w14:paraId="21F79E5F" w14:textId="16D05D74" w:rsidR="0049246D" w:rsidRPr="00C57BDC" w:rsidRDefault="0049246D" w:rsidP="0067456F">
      <w:pPr>
        <w:pStyle w:val="FERCparanumber"/>
        <w:shd w:val="clear" w:color="auto" w:fill="FFFFFF"/>
        <w:tabs>
          <w:tab w:val="clear" w:pos="810"/>
          <w:tab w:val="num" w:pos="720"/>
        </w:tabs>
        <w:autoSpaceDE/>
        <w:autoSpaceDN/>
        <w:adjustRightInd/>
        <w:ind w:left="0"/>
        <w:rPr>
          <w:szCs w:val="26"/>
        </w:rPr>
      </w:pPr>
      <w:r w:rsidRPr="00C57BDC">
        <w:rPr>
          <w:szCs w:val="26"/>
        </w:rPr>
        <w:t xml:space="preserve">However, </w:t>
      </w:r>
      <w:r w:rsidR="00565991" w:rsidRPr="00C57BDC">
        <w:rPr>
          <w:szCs w:val="26"/>
        </w:rPr>
        <w:t>NERC explains that the standard drafting team concluded it is unnecessary to include non-</w:t>
      </w:r>
      <w:r w:rsidR="00FA2E44" w:rsidRPr="00C57BDC">
        <w:rPr>
          <w:szCs w:val="26"/>
        </w:rPr>
        <w:t>bulk electric system</w:t>
      </w:r>
      <w:r w:rsidR="00565991" w:rsidRPr="00C57BDC">
        <w:rPr>
          <w:szCs w:val="26"/>
        </w:rPr>
        <w:t xml:space="preserve"> monitoring in proposed Reliability Standard TOP-001-3, Requirement R10 for the </w:t>
      </w:r>
      <w:r w:rsidR="004B2924" w:rsidRPr="00C57BDC">
        <w:rPr>
          <w:szCs w:val="26"/>
        </w:rPr>
        <w:t>transmission operator</w:t>
      </w:r>
      <w:r w:rsidR="00565991" w:rsidRPr="00C57BDC">
        <w:rPr>
          <w:szCs w:val="26"/>
        </w:rPr>
        <w:t>, in</w:t>
      </w:r>
      <w:r w:rsidR="00D74EAD" w:rsidRPr="00C57BDC">
        <w:rPr>
          <w:szCs w:val="26"/>
        </w:rPr>
        <w:t xml:space="preserve"> a similar fashion as proposed Reliability Standard I</w:t>
      </w:r>
      <w:r w:rsidR="00565991" w:rsidRPr="00C57BDC">
        <w:rPr>
          <w:szCs w:val="26"/>
        </w:rPr>
        <w:t xml:space="preserve">RO-002-4, Requirement R3 for the </w:t>
      </w:r>
      <w:r w:rsidR="004B2924" w:rsidRPr="00C57BDC">
        <w:rPr>
          <w:szCs w:val="26"/>
        </w:rPr>
        <w:t xml:space="preserve">reliability </w:t>
      </w:r>
      <w:r w:rsidR="004B2924" w:rsidRPr="00C57BDC">
        <w:rPr>
          <w:szCs w:val="26"/>
        </w:rPr>
        <w:lastRenderedPageBreak/>
        <w:t>coordinator</w:t>
      </w:r>
      <w:r w:rsidR="00565991" w:rsidRPr="00C57BDC">
        <w:rPr>
          <w:szCs w:val="26"/>
        </w:rPr>
        <w:t xml:space="preserve">.  Instead, the </w:t>
      </w:r>
      <w:r w:rsidR="00D74EAD" w:rsidRPr="00C57BDC">
        <w:rPr>
          <w:szCs w:val="26"/>
        </w:rPr>
        <w:t xml:space="preserve">standard drafting team </w:t>
      </w:r>
      <w:r w:rsidR="00565991" w:rsidRPr="00C57BDC">
        <w:rPr>
          <w:szCs w:val="26"/>
        </w:rPr>
        <w:t xml:space="preserve">determined that any </w:t>
      </w:r>
      <w:r w:rsidR="004B2924" w:rsidRPr="00C57BDC">
        <w:rPr>
          <w:iCs/>
          <w:szCs w:val="26"/>
        </w:rPr>
        <w:t>non-bulk</w:t>
      </w:r>
      <w:r w:rsidR="00C0677C" w:rsidRPr="00C57BDC">
        <w:rPr>
          <w:iCs/>
          <w:szCs w:val="26"/>
        </w:rPr>
        <w:t xml:space="preserve"> </w:t>
      </w:r>
      <w:r w:rsidR="004B2924" w:rsidRPr="00C57BDC">
        <w:rPr>
          <w:iCs/>
          <w:szCs w:val="26"/>
        </w:rPr>
        <w:t xml:space="preserve">electric system </w:t>
      </w:r>
      <w:r w:rsidR="00565991" w:rsidRPr="00C57BDC">
        <w:rPr>
          <w:szCs w:val="26"/>
        </w:rPr>
        <w:t xml:space="preserve">facility elements that are necessary for reliable operation of the </w:t>
      </w:r>
      <w:r w:rsidR="00FA2E44" w:rsidRPr="00C57BDC">
        <w:rPr>
          <w:szCs w:val="26"/>
        </w:rPr>
        <w:t>bulk electric system</w:t>
      </w:r>
      <w:r w:rsidR="00565991" w:rsidRPr="00C57BDC">
        <w:rPr>
          <w:szCs w:val="26"/>
        </w:rPr>
        <w:t xml:space="preserve"> would be included </w:t>
      </w:r>
      <w:r w:rsidR="00ED4251">
        <w:rPr>
          <w:szCs w:val="26"/>
        </w:rPr>
        <w:t xml:space="preserve">in the bulk electric system </w:t>
      </w:r>
      <w:r w:rsidR="00D74EAD" w:rsidRPr="00C57BDC">
        <w:rPr>
          <w:szCs w:val="26"/>
        </w:rPr>
        <w:t xml:space="preserve">through the </w:t>
      </w:r>
      <w:r w:rsidR="00565991" w:rsidRPr="00C57BDC">
        <w:rPr>
          <w:szCs w:val="26"/>
        </w:rPr>
        <w:t xml:space="preserve">exception process provided in Appendix 5C to the NERC Rules of Procedure.  NERC states that the exception process provides the means for </w:t>
      </w:r>
      <w:r w:rsidR="00D74EAD" w:rsidRPr="00C57BDC">
        <w:rPr>
          <w:szCs w:val="26"/>
        </w:rPr>
        <w:t xml:space="preserve">transmission operators and reliability coordinators </w:t>
      </w:r>
      <w:r w:rsidR="00565991" w:rsidRPr="00C57BDC">
        <w:rPr>
          <w:szCs w:val="26"/>
        </w:rPr>
        <w:t xml:space="preserve">to include elements in the </w:t>
      </w:r>
      <w:r w:rsidR="00D74EAD" w:rsidRPr="00C57BDC">
        <w:rPr>
          <w:szCs w:val="26"/>
        </w:rPr>
        <w:t xml:space="preserve">bulk electric system </w:t>
      </w:r>
      <w:r w:rsidR="00565991" w:rsidRPr="00C57BDC">
        <w:rPr>
          <w:szCs w:val="26"/>
        </w:rPr>
        <w:t xml:space="preserve">that are necessary for the reliable operation of the interconnected transmission system but not identified in the </w:t>
      </w:r>
      <w:r w:rsidR="00D74EAD" w:rsidRPr="00C57BDC">
        <w:rPr>
          <w:szCs w:val="26"/>
        </w:rPr>
        <w:t xml:space="preserve">bulk electric system </w:t>
      </w:r>
      <w:r w:rsidR="00565991" w:rsidRPr="00C57BDC">
        <w:rPr>
          <w:szCs w:val="26"/>
        </w:rPr>
        <w:t>definition.</w:t>
      </w:r>
      <w:r w:rsidR="00565991" w:rsidRPr="00C57BDC">
        <w:rPr>
          <w:rStyle w:val="FootnoteReference"/>
        </w:rPr>
        <w:footnoteReference w:id="39"/>
      </w:r>
    </w:p>
    <w:p w14:paraId="3383795B" w14:textId="77777777" w:rsidR="00D74EAD" w:rsidRPr="00777829" w:rsidRDefault="00D74EAD" w:rsidP="0067456F">
      <w:pPr>
        <w:pStyle w:val="FERCparanumber"/>
        <w:numPr>
          <w:ilvl w:val="0"/>
          <w:numId w:val="0"/>
        </w:numPr>
        <w:rPr>
          <w:szCs w:val="26"/>
          <w:u w:val="single"/>
        </w:rPr>
      </w:pPr>
      <w:r w:rsidRPr="00C57BDC">
        <w:rPr>
          <w:b/>
          <w:szCs w:val="26"/>
        </w:rPr>
        <w:tab/>
      </w:r>
      <w:r w:rsidRPr="00777829">
        <w:rPr>
          <w:b/>
          <w:szCs w:val="26"/>
          <w:u w:val="single"/>
        </w:rPr>
        <w:t xml:space="preserve">Commission Proposal </w:t>
      </w:r>
    </w:p>
    <w:p w14:paraId="59C86DF3" w14:textId="77777777" w:rsidR="00F41AF3" w:rsidRDefault="002B3BE0" w:rsidP="00F41AF3">
      <w:pPr>
        <w:pStyle w:val="FERCparanumber"/>
        <w:tabs>
          <w:tab w:val="clear" w:pos="810"/>
          <w:tab w:val="num" w:pos="720"/>
        </w:tabs>
        <w:ind w:left="0"/>
        <w:rPr>
          <w:szCs w:val="26"/>
        </w:rPr>
      </w:pPr>
      <w:r w:rsidRPr="00C57BDC">
        <w:rPr>
          <w:szCs w:val="26"/>
        </w:rPr>
        <w:t>We</w:t>
      </w:r>
      <w:r w:rsidR="00687E98" w:rsidRPr="00C57BDC">
        <w:rPr>
          <w:szCs w:val="26"/>
        </w:rPr>
        <w:t xml:space="preserve"> </w:t>
      </w:r>
      <w:r w:rsidR="0049246D" w:rsidRPr="00C57BDC">
        <w:rPr>
          <w:szCs w:val="26"/>
        </w:rPr>
        <w:t xml:space="preserve">propose to find that </w:t>
      </w:r>
      <w:r w:rsidR="006312F4" w:rsidRPr="00C57BDC">
        <w:rPr>
          <w:szCs w:val="26"/>
        </w:rPr>
        <w:t xml:space="preserve">NERC has </w:t>
      </w:r>
      <w:r w:rsidR="00687E98" w:rsidRPr="00C57BDC">
        <w:rPr>
          <w:szCs w:val="26"/>
        </w:rPr>
        <w:t xml:space="preserve">adequately </w:t>
      </w:r>
      <w:r w:rsidR="006312F4" w:rsidRPr="00C57BDC">
        <w:rPr>
          <w:szCs w:val="26"/>
        </w:rPr>
        <w:t>addressed the</w:t>
      </w:r>
      <w:r w:rsidR="00AC61FA" w:rsidRPr="00C57BDC">
        <w:rPr>
          <w:szCs w:val="26"/>
        </w:rPr>
        <w:t xml:space="preserve"> </w:t>
      </w:r>
      <w:r w:rsidR="002B26C9" w:rsidRPr="00C57BDC">
        <w:rPr>
          <w:szCs w:val="26"/>
        </w:rPr>
        <w:t xml:space="preserve">2011 Southwest Outage Blackout Report </w:t>
      </w:r>
      <w:r w:rsidR="00AC61FA" w:rsidRPr="00C57BDC">
        <w:rPr>
          <w:szCs w:val="26"/>
        </w:rPr>
        <w:t>recommendation in connection with</w:t>
      </w:r>
      <w:r w:rsidR="006312F4" w:rsidRPr="00C57BDC">
        <w:rPr>
          <w:szCs w:val="26"/>
        </w:rPr>
        <w:t xml:space="preserve"> sub-100 kV facilities </w:t>
      </w:r>
      <w:r w:rsidR="00AC61FA" w:rsidRPr="00C57BDC">
        <w:rPr>
          <w:szCs w:val="26"/>
        </w:rPr>
        <w:t xml:space="preserve">for </w:t>
      </w:r>
      <w:r w:rsidR="006312F4" w:rsidRPr="00C57BDC">
        <w:rPr>
          <w:szCs w:val="26"/>
        </w:rPr>
        <w:t xml:space="preserve">proposed </w:t>
      </w:r>
      <w:r w:rsidR="00687E98" w:rsidRPr="00C57BDC">
        <w:rPr>
          <w:szCs w:val="26"/>
        </w:rPr>
        <w:t xml:space="preserve">Reliability Standards IRO-002-4, Requirement R3, </w:t>
      </w:r>
      <w:r w:rsidR="006312F4" w:rsidRPr="00C57BDC">
        <w:rPr>
          <w:szCs w:val="26"/>
        </w:rPr>
        <w:t xml:space="preserve">IRO-010-2, Requirement R1.1 and TOP-003-3, Requirement R1.1.  </w:t>
      </w:r>
      <w:r w:rsidR="00C0677C" w:rsidRPr="00C57BDC">
        <w:rPr>
          <w:szCs w:val="26"/>
        </w:rPr>
        <w:t>In doing so, we rely primarily on the proposed responsibility of the reliability coordinator to monitor such faci</w:t>
      </w:r>
      <w:r w:rsidR="00F41AF3">
        <w:rPr>
          <w:szCs w:val="26"/>
        </w:rPr>
        <w:t>lities to the extent necessary.</w:t>
      </w:r>
    </w:p>
    <w:p w14:paraId="03C4EA36" w14:textId="792EDC10" w:rsidR="000E1FC4" w:rsidRPr="00F41AF3" w:rsidRDefault="00633DC3" w:rsidP="00F41AF3">
      <w:pPr>
        <w:pStyle w:val="FERCparanumber"/>
        <w:tabs>
          <w:tab w:val="clear" w:pos="810"/>
          <w:tab w:val="num" w:pos="720"/>
        </w:tabs>
        <w:ind w:left="0"/>
        <w:rPr>
          <w:szCs w:val="26"/>
        </w:rPr>
      </w:pPr>
      <w:r w:rsidRPr="00C57BDC">
        <w:t xml:space="preserve">However, the transmission operator </w:t>
      </w:r>
      <w:r w:rsidR="00EC6300" w:rsidRPr="00C57BDC">
        <w:t xml:space="preserve">may </w:t>
      </w:r>
      <w:r w:rsidRPr="00C57BDC">
        <w:t>have a more granular perspective</w:t>
      </w:r>
      <w:r w:rsidR="00AC4EC6" w:rsidRPr="00C57BDC">
        <w:t xml:space="preserve"> </w:t>
      </w:r>
      <w:r w:rsidR="00EC6300" w:rsidRPr="00C57BDC">
        <w:t xml:space="preserve">than the reliability coordinator </w:t>
      </w:r>
      <w:r w:rsidR="00AC4EC6" w:rsidRPr="00C57BDC">
        <w:t xml:space="preserve">of its </w:t>
      </w:r>
      <w:r w:rsidR="00AC4EC6" w:rsidRPr="00F41AF3">
        <w:rPr>
          <w:szCs w:val="26"/>
        </w:rPr>
        <w:t xml:space="preserve">necessary </w:t>
      </w:r>
      <w:r w:rsidR="00AC4EC6" w:rsidRPr="00F41AF3">
        <w:rPr>
          <w:iCs/>
          <w:szCs w:val="26"/>
        </w:rPr>
        <w:t>non-bulk</w:t>
      </w:r>
      <w:r w:rsidR="00EC6300" w:rsidRPr="00F41AF3">
        <w:rPr>
          <w:iCs/>
          <w:szCs w:val="26"/>
        </w:rPr>
        <w:t xml:space="preserve"> </w:t>
      </w:r>
      <w:r w:rsidR="00AC4EC6" w:rsidRPr="00F41AF3">
        <w:rPr>
          <w:iCs/>
          <w:szCs w:val="26"/>
        </w:rPr>
        <w:t>electric system facilities</w:t>
      </w:r>
      <w:r w:rsidR="00AC4EC6" w:rsidRPr="00F41AF3">
        <w:rPr>
          <w:szCs w:val="26"/>
        </w:rPr>
        <w:t xml:space="preserve"> to monitor in order to identify SOL and IROL exceedances</w:t>
      </w:r>
      <w:r w:rsidRPr="00C57BDC">
        <w:t xml:space="preserve">, </w:t>
      </w:r>
      <w:r w:rsidR="00EC6300" w:rsidRPr="00C57BDC">
        <w:t xml:space="preserve">and </w:t>
      </w:r>
      <w:r w:rsidRPr="00C57BDC">
        <w:t xml:space="preserve">it is not clear whether or how the transmission operator would communicate any insight </w:t>
      </w:r>
      <w:r w:rsidR="00EC6300" w:rsidRPr="00C57BDC">
        <w:t xml:space="preserve">it may have </w:t>
      </w:r>
      <w:r w:rsidRPr="00C57BDC">
        <w:t xml:space="preserve">to the reliability </w:t>
      </w:r>
      <w:r w:rsidRPr="00C57BDC">
        <w:lastRenderedPageBreak/>
        <w:t>coordinator to ensure monitoring of all necessary facilities.  Thus, the Commission seeks comment on how NERC will ensure that the reliability coordinator will receive information from the transmission operator regarding which non-bulk electric system facilities should be monitored.</w:t>
      </w:r>
      <w:r w:rsidR="00F11E0F" w:rsidRPr="00C57BDC">
        <w:t xml:space="preserve">  Further, as stated above, Recommendation 17 states “…to ensure that all facilities that can adversely impact BPS reliability are either designated as part of the BES or </w:t>
      </w:r>
      <w:r w:rsidR="00F11E0F" w:rsidRPr="00F41AF3">
        <w:rPr>
          <w:i/>
        </w:rPr>
        <w:t>otherwise incorporated into planning and operations studies and actively monitored and alarmed in [real-time contingency analysis] systems</w:t>
      </w:r>
      <w:r w:rsidR="00F11E0F" w:rsidRPr="00C57BDC">
        <w:t xml:space="preserve">.” </w:t>
      </w:r>
      <w:r w:rsidR="004540CB">
        <w:t>(</w:t>
      </w:r>
      <w:proofErr w:type="gramStart"/>
      <w:r w:rsidR="004540CB">
        <w:t>emphasis</w:t>
      </w:r>
      <w:proofErr w:type="gramEnd"/>
      <w:r w:rsidR="004540CB">
        <w:t xml:space="preserve"> added.)</w:t>
      </w:r>
      <w:r w:rsidR="00F11E0F" w:rsidRPr="00C57BDC">
        <w:t xml:space="preserve"> </w:t>
      </w:r>
      <w:r w:rsidR="004540CB">
        <w:t xml:space="preserve"> </w:t>
      </w:r>
      <w:r w:rsidR="00F11E0F" w:rsidRPr="00C57BDC">
        <w:t xml:space="preserve">Including such non-bulk electric system facilities in the definition of bulk electric system through the Rules of Procedure exception process could be an option to address any potential gaps for monitoring facilities.  However, there may be potential efficiencies gained by using a more expedited method to include non-bulk electric system that requires monitoring.  Thus, the Commission seeks comments on whether the exception process should be used exclusively in all cases. </w:t>
      </w:r>
    </w:p>
    <w:p w14:paraId="23F9DBBF" w14:textId="5ED15B07" w:rsidR="00BE3B2A" w:rsidRDefault="00633DC3" w:rsidP="00BE3B2A">
      <w:pPr>
        <w:pStyle w:val="FERCparanumber"/>
        <w:tabs>
          <w:tab w:val="clear" w:pos="810"/>
          <w:tab w:val="num" w:pos="720"/>
        </w:tabs>
        <w:autoSpaceDE/>
        <w:autoSpaceDN/>
        <w:adjustRightInd/>
        <w:ind w:left="0"/>
        <w:rPr>
          <w:szCs w:val="26"/>
        </w:rPr>
      </w:pPr>
      <w:r w:rsidRPr="00C57BDC">
        <w:t xml:space="preserve">Alternatively, </w:t>
      </w:r>
      <w:r w:rsidR="00904A64" w:rsidRPr="00C57BDC">
        <w:t xml:space="preserve">we seek comment regarding whether this concern </w:t>
      </w:r>
      <w:r w:rsidR="00EC6300" w:rsidRPr="00C57BDC">
        <w:t xml:space="preserve">should </w:t>
      </w:r>
      <w:r w:rsidR="00904A64" w:rsidRPr="00C57BDC">
        <w:t xml:space="preserve">be </w:t>
      </w:r>
      <w:r w:rsidR="00EC6300" w:rsidRPr="00C57BDC">
        <w:t>addressed through</w:t>
      </w:r>
      <w:r w:rsidR="00904A64" w:rsidRPr="00C57BDC">
        <w:t xml:space="preserve"> </w:t>
      </w:r>
      <w:r w:rsidRPr="00C57BDC">
        <w:t xml:space="preserve">a review process of </w:t>
      </w:r>
      <w:r w:rsidR="00AC4EC6" w:rsidRPr="00C57BDC">
        <w:t xml:space="preserve">the </w:t>
      </w:r>
      <w:r w:rsidRPr="00C57BDC">
        <w:t>transmission operator</w:t>
      </w:r>
      <w:r w:rsidR="00BE7D32" w:rsidRPr="00C57BDC">
        <w:t>s’</w:t>
      </w:r>
      <w:r w:rsidRPr="00C57BDC">
        <w:t xml:space="preserve"> systems to determine if there are important non-bulk-electric system facilities </w:t>
      </w:r>
      <w:r w:rsidR="00BE7D32" w:rsidRPr="00C57BDC">
        <w:t>that require monitoring</w:t>
      </w:r>
      <w:r w:rsidR="00EC6300" w:rsidRPr="00C57BDC">
        <w:t xml:space="preserve">.  </w:t>
      </w:r>
      <w:r w:rsidRPr="00C57BDC">
        <w:t xml:space="preserve">For example, </w:t>
      </w:r>
      <w:r w:rsidR="00EC6300" w:rsidRPr="00C57BDC">
        <w:t xml:space="preserve">Commission staff </w:t>
      </w:r>
      <w:r w:rsidRPr="00C57BDC">
        <w:t xml:space="preserve">could work with </w:t>
      </w:r>
      <w:r w:rsidR="00EC6300" w:rsidRPr="00C57BDC">
        <w:t xml:space="preserve">NERC, Regional Entities and </w:t>
      </w:r>
      <w:r w:rsidRPr="00C57BDC">
        <w:t xml:space="preserve">applicable entities to review their </w:t>
      </w:r>
      <w:r w:rsidR="00BE7D32" w:rsidRPr="00C57BDC">
        <w:t xml:space="preserve">system </w:t>
      </w:r>
      <w:r w:rsidRPr="00C57BDC">
        <w:t xml:space="preserve">modeling and perform an analysis </w:t>
      </w:r>
      <w:r w:rsidR="009C20E0" w:rsidRPr="00C57BDC">
        <w:t>to identify</w:t>
      </w:r>
      <w:r w:rsidRPr="00C57BDC">
        <w:t xml:space="preserve"> non-bulk electric system facilities that need monitoring.  </w:t>
      </w:r>
      <w:r w:rsidR="001572B6" w:rsidRPr="00BE3B2A">
        <w:rPr>
          <w:szCs w:val="26"/>
        </w:rPr>
        <w:t>Accordingly, we</w:t>
      </w:r>
      <w:r w:rsidR="003407DE" w:rsidRPr="00BE3B2A">
        <w:rPr>
          <w:szCs w:val="26"/>
        </w:rPr>
        <w:t xml:space="preserve"> seek </w:t>
      </w:r>
      <w:r w:rsidR="00CE7316" w:rsidRPr="00BE3B2A">
        <w:rPr>
          <w:szCs w:val="26"/>
        </w:rPr>
        <w:t xml:space="preserve">comment </w:t>
      </w:r>
      <w:r w:rsidR="003407DE" w:rsidRPr="00BE3B2A">
        <w:rPr>
          <w:szCs w:val="26"/>
        </w:rPr>
        <w:t xml:space="preserve">from NERC </w:t>
      </w:r>
      <w:r w:rsidR="001572B6" w:rsidRPr="00BE3B2A">
        <w:rPr>
          <w:szCs w:val="26"/>
        </w:rPr>
        <w:t xml:space="preserve">and other interested persons </w:t>
      </w:r>
      <w:r w:rsidR="003407DE" w:rsidRPr="00BE3B2A">
        <w:rPr>
          <w:szCs w:val="26"/>
        </w:rPr>
        <w:t xml:space="preserve">on these </w:t>
      </w:r>
      <w:r w:rsidR="00374D5B" w:rsidRPr="00BE3B2A">
        <w:rPr>
          <w:szCs w:val="26"/>
        </w:rPr>
        <w:t>alternatives</w:t>
      </w:r>
      <w:r w:rsidR="003407DE" w:rsidRPr="00BE3B2A">
        <w:rPr>
          <w:szCs w:val="26"/>
        </w:rPr>
        <w:t>.</w:t>
      </w:r>
    </w:p>
    <w:p w14:paraId="209E07AB" w14:textId="77777777" w:rsidR="00BE3B2A" w:rsidRDefault="00BE3B2A">
      <w:pPr>
        <w:widowControl/>
        <w:autoSpaceDE/>
        <w:autoSpaceDN/>
        <w:adjustRightInd/>
        <w:rPr>
          <w:szCs w:val="26"/>
        </w:rPr>
      </w:pPr>
      <w:r>
        <w:rPr>
          <w:szCs w:val="26"/>
        </w:rPr>
        <w:br w:type="page"/>
      </w:r>
    </w:p>
    <w:p w14:paraId="41A3BCCB" w14:textId="2ABCB1B3" w:rsidR="00BE3B2A" w:rsidRDefault="004540CB" w:rsidP="00BE3B2A">
      <w:pPr>
        <w:pStyle w:val="FERCparanumber"/>
        <w:numPr>
          <w:ilvl w:val="0"/>
          <w:numId w:val="0"/>
        </w:numPr>
        <w:spacing w:line="240" w:lineRule="auto"/>
        <w:ind w:left="2160" w:hanging="720"/>
        <w:rPr>
          <w:b/>
          <w:u w:val="single"/>
        </w:rPr>
      </w:pPr>
      <w:r>
        <w:rPr>
          <w:szCs w:val="26"/>
        </w:rPr>
        <w:lastRenderedPageBreak/>
        <w:tab/>
      </w:r>
      <w:r w:rsidRPr="004540CB">
        <w:rPr>
          <w:b/>
          <w:szCs w:val="26"/>
        </w:rPr>
        <w:t>2.</w:t>
      </w:r>
      <w:r w:rsidRPr="004540CB">
        <w:rPr>
          <w:b/>
          <w:szCs w:val="26"/>
        </w:rPr>
        <w:tab/>
      </w:r>
      <w:r w:rsidR="004B7BEB" w:rsidRPr="008F5066">
        <w:rPr>
          <w:b/>
          <w:u w:val="single"/>
        </w:rPr>
        <w:t>Removal of</w:t>
      </w:r>
      <w:r w:rsidR="008850E7" w:rsidRPr="008F5066">
        <w:rPr>
          <w:b/>
          <w:u w:val="single"/>
        </w:rPr>
        <w:t xml:space="preserve"> Load-Serving Entity</w:t>
      </w:r>
      <w:r w:rsidR="004B7BEB" w:rsidRPr="008F5066">
        <w:rPr>
          <w:b/>
          <w:u w:val="single"/>
        </w:rPr>
        <w:t xml:space="preserve"> Function from</w:t>
      </w:r>
    </w:p>
    <w:p w14:paraId="290515EA" w14:textId="17DB1D7E" w:rsidR="004B7BEB" w:rsidRPr="004540CB" w:rsidRDefault="008F5066" w:rsidP="008F5066">
      <w:pPr>
        <w:pStyle w:val="FERCparanumber"/>
        <w:numPr>
          <w:ilvl w:val="0"/>
          <w:numId w:val="0"/>
        </w:numPr>
        <w:ind w:left="2160" w:hanging="720"/>
        <w:rPr>
          <w:b/>
          <w:szCs w:val="26"/>
        </w:rPr>
      </w:pPr>
      <w:r>
        <w:rPr>
          <w:b/>
          <w:szCs w:val="26"/>
        </w:rPr>
        <w:tab/>
      </w:r>
      <w:r w:rsidR="00BE3B2A">
        <w:rPr>
          <w:b/>
          <w:szCs w:val="26"/>
        </w:rPr>
        <w:tab/>
      </w:r>
      <w:r w:rsidR="004B7BEB" w:rsidRPr="008F5066">
        <w:rPr>
          <w:b/>
          <w:u w:val="single"/>
        </w:rPr>
        <w:t>TOP-001-</w:t>
      </w:r>
      <w:r w:rsidR="004B7BEB" w:rsidRPr="004540CB">
        <w:rPr>
          <w:b/>
        </w:rPr>
        <w:t>3</w:t>
      </w:r>
    </w:p>
    <w:p w14:paraId="4326713F" w14:textId="68E7A061" w:rsidR="003407DE" w:rsidRPr="00BE3B2A" w:rsidRDefault="003407DE" w:rsidP="0067456F">
      <w:pPr>
        <w:pStyle w:val="FERCparanumber"/>
        <w:numPr>
          <w:ilvl w:val="0"/>
          <w:numId w:val="0"/>
        </w:numPr>
        <w:rPr>
          <w:b/>
          <w:u w:val="single"/>
        </w:rPr>
      </w:pPr>
      <w:r w:rsidRPr="00C57BDC">
        <w:tab/>
      </w:r>
      <w:r w:rsidRPr="00BE3B2A">
        <w:rPr>
          <w:b/>
          <w:u w:val="single"/>
        </w:rPr>
        <w:t>NERC Petition</w:t>
      </w:r>
    </w:p>
    <w:p w14:paraId="34D3636A" w14:textId="0E9E8F0D" w:rsidR="004440A4" w:rsidRPr="00C57BDC" w:rsidRDefault="004440A4" w:rsidP="00BE3B2A">
      <w:pPr>
        <w:pStyle w:val="FERCparanumber"/>
        <w:tabs>
          <w:tab w:val="clear" w:pos="810"/>
          <w:tab w:val="num" w:pos="720"/>
        </w:tabs>
        <w:ind w:left="0"/>
      </w:pPr>
      <w:r w:rsidRPr="00C57BDC">
        <w:t>Proposed Reliability Standard TOP-001-3, Requirement R3 requires</w:t>
      </w:r>
      <w:r w:rsidR="004D148B" w:rsidRPr="00C57BDC">
        <w:t xml:space="preserve"> </w:t>
      </w:r>
      <w:r w:rsidRPr="00C57BDC">
        <w:t>that each balancing authority, generator operator and distribution provider shall comply with each operating instruction issued by its transmission operator</w:t>
      </w:r>
      <w:r w:rsidR="00DC533D">
        <w:t>,</w:t>
      </w:r>
      <w:r w:rsidRPr="00C57BDC">
        <w:t xml:space="preserve"> and proposed Reliability Standard TOP-001-3, Requirement R4 requires that each balancing authority, generator operator and distribution provider inform its transmission operator of its inability to comply with an operating instruction.  Proposed Reliability Standard TOP-001-3, Requirement R5 requires that each transmission operator, generator operator and distribution provider shall comply with each operating instruction issued by its balancing authority</w:t>
      </w:r>
      <w:r w:rsidR="00DC533D">
        <w:t>,</w:t>
      </w:r>
      <w:r w:rsidRPr="00C57BDC">
        <w:t xml:space="preserve"> and proposed Reliability Standard TOP-001-3, Requirement R6 requires that each transmission operator, generator operator and distribution provider inform its balancing authority of its inability to comply with an operating instruction.</w:t>
      </w:r>
      <w:r w:rsidRPr="00C57BDC">
        <w:rPr>
          <w:rStyle w:val="FootnoteReference"/>
        </w:rPr>
        <w:footnoteReference w:id="40"/>
      </w:r>
    </w:p>
    <w:p w14:paraId="2C99B812" w14:textId="777E2550" w:rsidR="004D148B" w:rsidRPr="00C57BDC" w:rsidRDefault="004D148B" w:rsidP="00BE3B2A">
      <w:pPr>
        <w:pStyle w:val="FERCparanumber"/>
        <w:tabs>
          <w:tab w:val="clear" w:pos="810"/>
          <w:tab w:val="num" w:pos="720"/>
        </w:tabs>
        <w:ind w:left="0"/>
      </w:pPr>
      <w:r w:rsidRPr="00C57BDC">
        <w:t>In its petition, NERC states that</w:t>
      </w:r>
      <w:r w:rsidR="008046B7" w:rsidRPr="00C57BDC">
        <w:t>, during the standard drafting process,</w:t>
      </w:r>
      <w:r w:rsidRPr="00C57BDC">
        <w:t xml:space="preserve"> the load-serving entity function</w:t>
      </w:r>
      <w:r w:rsidR="008046B7" w:rsidRPr="00C57BDC">
        <w:t xml:space="preserve"> was removed</w:t>
      </w:r>
      <w:r w:rsidRPr="00C57BDC">
        <w:t xml:space="preserve"> from proposed Reliability Standard TOP-001-3, Requirements R3 through R6</w:t>
      </w:r>
      <w:r w:rsidR="008046B7" w:rsidRPr="00C57BDC">
        <w:t>.  NERC explains that the removal of the load-serving entity as an applicable entity was based on</w:t>
      </w:r>
      <w:r w:rsidRPr="00C57BDC">
        <w:t xml:space="preserve"> the November 2014 NERC Board of Trustees action to remove load-serving entity as a functional entity from NERC’s Rules of Procedure.</w:t>
      </w:r>
      <w:r w:rsidRPr="00C57BDC">
        <w:rPr>
          <w:rStyle w:val="FootnoteReference"/>
        </w:rPr>
        <w:footnoteReference w:id="41"/>
      </w:r>
      <w:r w:rsidRPr="00C57BDC">
        <w:t xml:space="preserve">  </w:t>
      </w:r>
      <w:r w:rsidR="00D1520E" w:rsidRPr="00C57BDC">
        <w:lastRenderedPageBreak/>
        <w:t xml:space="preserve">Since that time, the Commission has issued an order </w:t>
      </w:r>
      <w:r w:rsidR="003E1201">
        <w:t xml:space="preserve">in Docket No. RR15-4-000 </w:t>
      </w:r>
      <w:r w:rsidR="00D1520E" w:rsidRPr="00C57BDC">
        <w:t xml:space="preserve">that denied, without prejudice, NERC’s proposal to remove the </w:t>
      </w:r>
      <w:r w:rsidRPr="00C57BDC">
        <w:rPr>
          <w:bCs/>
        </w:rPr>
        <w:t>load-serving entity</w:t>
      </w:r>
      <w:r w:rsidR="00D1520E" w:rsidRPr="00C57BDC">
        <w:t xml:space="preserve"> as a functional entity under NERC’s Risk Based Registration petition and directed NERC to submit a compliance filing to address this issue.</w:t>
      </w:r>
      <w:r w:rsidR="00D1520E" w:rsidRPr="00C57BDC">
        <w:rPr>
          <w:rStyle w:val="FootnoteReference"/>
        </w:rPr>
        <w:footnoteReference w:id="42"/>
      </w:r>
      <w:r w:rsidR="00D1520E" w:rsidRPr="00C57BDC">
        <w:t> </w:t>
      </w:r>
      <w:r w:rsidR="00AB74D5" w:rsidRPr="00C57BDC">
        <w:rPr>
          <w:bCs/>
        </w:rPr>
        <w:t xml:space="preserve">  </w:t>
      </w:r>
    </w:p>
    <w:p w14:paraId="203746DC" w14:textId="4E333E3C" w:rsidR="004D148B" w:rsidRPr="00C57BDC" w:rsidRDefault="00841C3B" w:rsidP="00BE3B2A">
      <w:pPr>
        <w:pStyle w:val="FERCparanumber"/>
        <w:tabs>
          <w:tab w:val="clear" w:pos="810"/>
          <w:tab w:val="num" w:pos="720"/>
        </w:tabs>
        <w:ind w:left="0"/>
      </w:pPr>
      <w:r w:rsidRPr="00C57BDC">
        <w:rPr>
          <w:bCs/>
        </w:rPr>
        <w:t xml:space="preserve">On May </w:t>
      </w:r>
      <w:r w:rsidR="007A14C3" w:rsidRPr="00C57BDC">
        <w:rPr>
          <w:bCs/>
        </w:rPr>
        <w:t>12</w:t>
      </w:r>
      <w:r w:rsidRPr="00C57BDC">
        <w:rPr>
          <w:bCs/>
        </w:rPr>
        <w:t>, 2015</w:t>
      </w:r>
      <w:r w:rsidR="001E41CF" w:rsidRPr="00C57BDC">
        <w:rPr>
          <w:bCs/>
        </w:rPr>
        <w:t>,</w:t>
      </w:r>
      <w:r w:rsidRPr="00C57BDC">
        <w:rPr>
          <w:bCs/>
        </w:rPr>
        <w:t xml:space="preserve"> NERC supplemented its initial petition with additional explanation for the removal of the </w:t>
      </w:r>
      <w:r w:rsidR="004D148B" w:rsidRPr="00C57BDC">
        <w:rPr>
          <w:bCs/>
        </w:rPr>
        <w:t>load-serving entity</w:t>
      </w:r>
      <w:r w:rsidRPr="00C57BDC">
        <w:rPr>
          <w:bCs/>
        </w:rPr>
        <w:t xml:space="preserve"> function</w:t>
      </w:r>
      <w:r w:rsidR="00DC533D">
        <w:rPr>
          <w:bCs/>
        </w:rPr>
        <w:t xml:space="preserve"> from proposed Reliability Standard TOP-001-3</w:t>
      </w:r>
      <w:r w:rsidRPr="00C57BDC">
        <w:rPr>
          <w:bCs/>
        </w:rPr>
        <w:t xml:space="preserve">.  </w:t>
      </w:r>
      <w:r w:rsidR="00CE7316" w:rsidRPr="00C57BDC">
        <w:rPr>
          <w:szCs w:val="26"/>
        </w:rPr>
        <w:t xml:space="preserve">NERC explains that the proposed standard gives transmission operators and balancing authorities the authority to direct the actions of certain other functional entities by issuing an operating instruction to maintain reliability during </w:t>
      </w:r>
      <w:r w:rsidR="00247910" w:rsidRPr="00C57BDC">
        <w:rPr>
          <w:szCs w:val="26"/>
        </w:rPr>
        <w:t>r</w:t>
      </w:r>
      <w:r w:rsidR="00CE7316" w:rsidRPr="00C57BDC">
        <w:rPr>
          <w:szCs w:val="26"/>
        </w:rPr>
        <w:t xml:space="preserve">eal-time operations.  According to NERC, </w:t>
      </w:r>
      <w:r w:rsidR="004D148B" w:rsidRPr="00C57BDC">
        <w:rPr>
          <w:bCs/>
        </w:rPr>
        <w:t>load-serving entitie</w:t>
      </w:r>
      <w:r w:rsidR="00CE7316" w:rsidRPr="00C57BDC">
        <w:rPr>
          <w:szCs w:val="26"/>
        </w:rPr>
        <w:t>s are not included in the list of entities that must comply with a transmission operator’s or balancing authority’s operating instructions.  NERC contends that</w:t>
      </w:r>
      <w:r w:rsidR="008E438D" w:rsidRPr="00C57BDC">
        <w:rPr>
          <w:szCs w:val="26"/>
        </w:rPr>
        <w:t xml:space="preserve"> the exclusion</w:t>
      </w:r>
      <w:r w:rsidR="00CE7316" w:rsidRPr="00C57BDC">
        <w:rPr>
          <w:szCs w:val="26"/>
        </w:rPr>
        <w:t xml:space="preserve"> is </w:t>
      </w:r>
      <w:r w:rsidR="00DC533D">
        <w:rPr>
          <w:szCs w:val="26"/>
        </w:rPr>
        <w:t xml:space="preserve">justified </w:t>
      </w:r>
      <w:r w:rsidR="00CE7316" w:rsidRPr="00C57BDC">
        <w:rPr>
          <w:szCs w:val="26"/>
        </w:rPr>
        <w:t xml:space="preserve">because none of the functions performed by </w:t>
      </w:r>
      <w:r w:rsidR="004D148B" w:rsidRPr="00C57BDC">
        <w:rPr>
          <w:bCs/>
        </w:rPr>
        <w:t>load-serving entitie</w:t>
      </w:r>
      <w:r w:rsidR="004D148B" w:rsidRPr="00C57BDC">
        <w:rPr>
          <w:szCs w:val="26"/>
        </w:rPr>
        <w:t>s</w:t>
      </w:r>
      <w:r w:rsidR="00CE7316" w:rsidRPr="00C57BDC">
        <w:rPr>
          <w:szCs w:val="26"/>
        </w:rPr>
        <w:t xml:space="preserve">, as described in the NERC Functional Model, necessitate that </w:t>
      </w:r>
      <w:r w:rsidR="004D148B" w:rsidRPr="00C57BDC">
        <w:rPr>
          <w:bCs/>
        </w:rPr>
        <w:t>load-serving entitie</w:t>
      </w:r>
      <w:r w:rsidR="004D148B" w:rsidRPr="00C57BDC">
        <w:rPr>
          <w:szCs w:val="26"/>
        </w:rPr>
        <w:t>s</w:t>
      </w:r>
      <w:r w:rsidR="00CE7316" w:rsidRPr="00C57BDC">
        <w:rPr>
          <w:szCs w:val="26"/>
        </w:rPr>
        <w:t xml:space="preserve"> be subject to a requirement to comply with such operating instructions to ensure that a transmission operator or balancing authority can maintain reliability.</w:t>
      </w:r>
      <w:r w:rsidR="009C20E0" w:rsidRPr="00C57BDC">
        <w:rPr>
          <w:rStyle w:val="FootnoteReference"/>
        </w:rPr>
        <w:footnoteReference w:id="43"/>
      </w:r>
      <w:r w:rsidR="00CE7316" w:rsidRPr="00C57BDC">
        <w:rPr>
          <w:szCs w:val="26"/>
        </w:rPr>
        <w:t xml:space="preserve">  NERC adds that a</w:t>
      </w:r>
      <w:r w:rsidR="004D148B" w:rsidRPr="00C57BDC">
        <w:rPr>
          <w:szCs w:val="26"/>
        </w:rPr>
        <w:t xml:space="preserve"> load</w:t>
      </w:r>
      <w:r w:rsidR="0059379E" w:rsidRPr="00C57BDC">
        <w:rPr>
          <w:szCs w:val="26"/>
        </w:rPr>
        <w:t>-</w:t>
      </w:r>
      <w:r w:rsidR="004D148B" w:rsidRPr="00C57BDC">
        <w:rPr>
          <w:szCs w:val="26"/>
        </w:rPr>
        <w:t xml:space="preserve">serving entity </w:t>
      </w:r>
      <w:r w:rsidR="00CE7316" w:rsidRPr="00C57BDC">
        <w:rPr>
          <w:szCs w:val="26"/>
        </w:rPr>
        <w:t xml:space="preserve">does not own or operate bulk electric system facilities or equipment or the facilities or equipment used to serve end-use customers and its NERC Functional Model tasks are limited in scope.  As </w:t>
      </w:r>
      <w:r w:rsidR="00CE7316" w:rsidRPr="00C57BDC">
        <w:rPr>
          <w:szCs w:val="26"/>
        </w:rPr>
        <w:lastRenderedPageBreak/>
        <w:t xml:space="preserve">indicated by the NERC Functional Model, the </w:t>
      </w:r>
      <w:r w:rsidR="004D148B" w:rsidRPr="00C57BDC">
        <w:rPr>
          <w:bCs/>
        </w:rPr>
        <w:t xml:space="preserve">load-serving entity </w:t>
      </w:r>
      <w:r w:rsidR="00CE7316" w:rsidRPr="00C57BDC">
        <w:rPr>
          <w:szCs w:val="26"/>
        </w:rPr>
        <w:t xml:space="preserve">does not play a role in shedding load in real-time.  </w:t>
      </w:r>
    </w:p>
    <w:p w14:paraId="03A621DE" w14:textId="7FEB7629" w:rsidR="00CE7316" w:rsidRPr="00C57BDC" w:rsidRDefault="00CE7316" w:rsidP="00BE3B2A">
      <w:pPr>
        <w:pStyle w:val="FERCparanumber"/>
        <w:tabs>
          <w:tab w:val="clear" w:pos="810"/>
          <w:tab w:val="num" w:pos="720"/>
        </w:tabs>
        <w:ind w:left="0"/>
      </w:pPr>
      <w:r w:rsidRPr="00C57BDC">
        <w:rPr>
          <w:szCs w:val="26"/>
        </w:rPr>
        <w:t xml:space="preserve">NERC also explains </w:t>
      </w:r>
      <w:r w:rsidR="00247910" w:rsidRPr="00C57BDC">
        <w:rPr>
          <w:szCs w:val="26"/>
        </w:rPr>
        <w:t xml:space="preserve">in its supplemental filing </w:t>
      </w:r>
      <w:r w:rsidRPr="00C57BDC">
        <w:rPr>
          <w:szCs w:val="26"/>
        </w:rPr>
        <w:t xml:space="preserve">that the standard drafting team did not identify any circumstances under which a transmission operator or balancing authority would need to issue an operating instruction to a </w:t>
      </w:r>
      <w:r w:rsidR="004D148B" w:rsidRPr="00C57BDC">
        <w:rPr>
          <w:bCs/>
        </w:rPr>
        <w:t>load-serving entity</w:t>
      </w:r>
      <w:r w:rsidRPr="00C57BDC">
        <w:rPr>
          <w:szCs w:val="26"/>
        </w:rPr>
        <w:t xml:space="preserve"> to prevent instability, uncontrolled separation, or cascading outages.  NERC contends that, with respect to the </w:t>
      </w:r>
      <w:r w:rsidR="004D148B" w:rsidRPr="00C57BDC">
        <w:rPr>
          <w:bCs/>
        </w:rPr>
        <w:t>load-serving entity</w:t>
      </w:r>
      <w:r w:rsidRPr="00C57BDC">
        <w:rPr>
          <w:szCs w:val="26"/>
        </w:rPr>
        <w:t xml:space="preserve">’s role as a provider of information to other functional entities, that role is primarily carried out ahead of real-time and would not be the subject of an operating instruction. Additionally, NERC states that the </w:t>
      </w:r>
      <w:r w:rsidR="004D148B" w:rsidRPr="00C57BDC">
        <w:rPr>
          <w:bCs/>
        </w:rPr>
        <w:t>load-serving entity</w:t>
      </w:r>
      <w:r w:rsidRPr="00C57BDC">
        <w:rPr>
          <w:szCs w:val="26"/>
        </w:rPr>
        <w:t xml:space="preserve">’s real-time role with respect to voluntary load curtailment does not necessitate requiring </w:t>
      </w:r>
      <w:r w:rsidR="004D148B" w:rsidRPr="00C57BDC">
        <w:rPr>
          <w:bCs/>
        </w:rPr>
        <w:t>load-serving entitie</w:t>
      </w:r>
      <w:r w:rsidR="004D148B" w:rsidRPr="00C57BDC">
        <w:rPr>
          <w:szCs w:val="26"/>
        </w:rPr>
        <w:t>s</w:t>
      </w:r>
      <w:r w:rsidRPr="00C57BDC">
        <w:rPr>
          <w:szCs w:val="26"/>
        </w:rPr>
        <w:t xml:space="preserve"> to comply with operating instructions issued by a transmission operator or balancing authority.  In order to maintain reliability in their areas and prevent instability, uncontrolled separation, or cascading outages, there may be circumstances under which transmission operators and balancing authorities need to shed load.  NERC states that such action is implemented in real-time to address imminent or existing reliability issues such as an exceedance of an IROL or SOL, or a voltage problem.  According to NERC, due to the urgent nature of these circumstances, the reliability coordinator, balancing authority, or transmission operator may issue operating instructions directly to the </w:t>
      </w:r>
      <w:r w:rsidRPr="00C57BDC">
        <w:rPr>
          <w:szCs w:val="26"/>
        </w:rPr>
        <w:lastRenderedPageBreak/>
        <w:t>distribution provider for physical implementation of load shedding (except when this can be accomplished directly by the transmission operator).</w:t>
      </w:r>
      <w:r w:rsidR="0059379E" w:rsidRPr="00C57BDC">
        <w:rPr>
          <w:rStyle w:val="FootnoteReference"/>
        </w:rPr>
        <w:footnoteReference w:id="44"/>
      </w:r>
    </w:p>
    <w:p w14:paraId="176E011E" w14:textId="15DD2626" w:rsidR="003407DE" w:rsidRPr="00BE3B2A" w:rsidRDefault="003407DE" w:rsidP="0067456F">
      <w:pPr>
        <w:pStyle w:val="FERCparanumber"/>
        <w:numPr>
          <w:ilvl w:val="0"/>
          <w:numId w:val="0"/>
        </w:numPr>
        <w:rPr>
          <w:b/>
          <w:bCs/>
          <w:u w:val="single"/>
        </w:rPr>
      </w:pPr>
      <w:r w:rsidRPr="00C57BDC">
        <w:rPr>
          <w:bCs/>
        </w:rPr>
        <w:tab/>
      </w:r>
      <w:r w:rsidRPr="00BE3B2A">
        <w:rPr>
          <w:b/>
          <w:bCs/>
          <w:u w:val="single"/>
        </w:rPr>
        <w:t>Commission Proposal</w:t>
      </w:r>
    </w:p>
    <w:p w14:paraId="5A7FE62E" w14:textId="345DAFE5" w:rsidR="00247910" w:rsidRPr="00C57BDC" w:rsidRDefault="00B47C48" w:rsidP="00BE3B2A">
      <w:pPr>
        <w:pStyle w:val="FERCparanumber"/>
        <w:tabs>
          <w:tab w:val="clear" w:pos="810"/>
          <w:tab w:val="num" w:pos="720"/>
        </w:tabs>
        <w:ind w:left="0"/>
      </w:pPr>
      <w:r w:rsidRPr="00C57BDC">
        <w:t>NERC proposes</w:t>
      </w:r>
      <w:r w:rsidR="00247910" w:rsidRPr="00C57BDC">
        <w:t xml:space="preserve"> the removal of the load-serving entity </w:t>
      </w:r>
      <w:r w:rsidR="008E438D" w:rsidRPr="00C57BDC">
        <w:t xml:space="preserve">function </w:t>
      </w:r>
      <w:r w:rsidR="00247910" w:rsidRPr="00C57BDC">
        <w:t xml:space="preserve">from proposed Reliability Standard, TOP-001-3, </w:t>
      </w:r>
      <w:proofErr w:type="gramStart"/>
      <w:r w:rsidR="00247910" w:rsidRPr="00C57BDC">
        <w:t>Requirements</w:t>
      </w:r>
      <w:proofErr w:type="gramEnd"/>
      <w:r w:rsidR="00247910" w:rsidRPr="00C57BDC">
        <w:t xml:space="preserve"> R3 through R6, as a recipient of an operating instruction from a transmission operator or balancing authority.  </w:t>
      </w:r>
      <w:r w:rsidR="00B46804">
        <w:t xml:space="preserve">However, </w:t>
      </w:r>
      <w:r w:rsidR="00B46804" w:rsidRPr="009C20E0">
        <w:rPr>
          <w:szCs w:val="26"/>
        </w:rPr>
        <w:t>the Commission notes that the issuance and compliance of operating instructions under proposed Reliability Standard TOP-001-3 is not limited to the real-time operations time horizon only.</w:t>
      </w:r>
      <w:r w:rsidR="00420824">
        <w:rPr>
          <w:rStyle w:val="FootnoteReference"/>
        </w:rPr>
        <w:footnoteReference w:id="45"/>
      </w:r>
      <w:r w:rsidR="00B46804" w:rsidRPr="009C20E0">
        <w:rPr>
          <w:szCs w:val="26"/>
        </w:rPr>
        <w:t xml:space="preserve">  </w:t>
      </w:r>
      <w:r w:rsidR="00247910" w:rsidRPr="00C57BDC">
        <w:t xml:space="preserve">  </w:t>
      </w:r>
    </w:p>
    <w:p w14:paraId="490AC08F" w14:textId="0931AF80" w:rsidR="00B47C48" w:rsidRPr="00C57BDC" w:rsidRDefault="00247910" w:rsidP="00BE3B2A">
      <w:pPr>
        <w:pStyle w:val="FERCparanumber"/>
        <w:tabs>
          <w:tab w:val="clear" w:pos="810"/>
          <w:tab w:val="num" w:pos="720"/>
        </w:tabs>
        <w:ind w:left="0"/>
        <w:rPr>
          <w:szCs w:val="26"/>
        </w:rPr>
      </w:pPr>
      <w:r w:rsidRPr="00C57BDC">
        <w:t>Further, if a transmission operator or balancing authority would issue an operating instruction to a load-serving entity such as to carry</w:t>
      </w:r>
      <w:r w:rsidR="003E1201">
        <w:t xml:space="preserve"> </w:t>
      </w:r>
      <w:r w:rsidRPr="00C57BDC">
        <w:t>out interruptible load curtailments, it is not clear what entity would respond to this operating instruction if the load-serving entity is removed from proposed TOP-001-3, Requirements R3 through R6.</w:t>
      </w:r>
      <w:r w:rsidR="004D00B5" w:rsidRPr="00C57BDC">
        <w:rPr>
          <w:rStyle w:val="FootnoteReference"/>
        </w:rPr>
        <w:footnoteReference w:id="46"/>
      </w:r>
      <w:r w:rsidRPr="00C57BDC">
        <w:t xml:space="preserve">    </w:t>
      </w:r>
    </w:p>
    <w:p w14:paraId="6A6E2C4F" w14:textId="2FDAF796" w:rsidR="004540CB" w:rsidRPr="004540CB" w:rsidRDefault="00A84387" w:rsidP="00BE3B2A">
      <w:pPr>
        <w:pStyle w:val="FERCparanumber"/>
        <w:tabs>
          <w:tab w:val="clear" w:pos="810"/>
          <w:tab w:val="num" w:pos="720"/>
        </w:tabs>
        <w:ind w:left="0"/>
        <w:rPr>
          <w:szCs w:val="26"/>
        </w:rPr>
      </w:pPr>
      <w:r w:rsidRPr="00C57BDC">
        <w:rPr>
          <w:szCs w:val="26"/>
        </w:rPr>
        <w:t xml:space="preserve">The Commission notes that NERC is </w:t>
      </w:r>
      <w:r w:rsidR="003E1201">
        <w:rPr>
          <w:szCs w:val="26"/>
        </w:rPr>
        <w:t>required</w:t>
      </w:r>
      <w:r w:rsidRPr="00C57BDC">
        <w:rPr>
          <w:szCs w:val="26"/>
        </w:rPr>
        <w:t xml:space="preserve"> to make a compliance filing in </w:t>
      </w:r>
      <w:r w:rsidR="002B6847">
        <w:rPr>
          <w:szCs w:val="26"/>
        </w:rPr>
        <w:t xml:space="preserve">  </w:t>
      </w:r>
      <w:r w:rsidRPr="00C57BDC">
        <w:rPr>
          <w:szCs w:val="26"/>
        </w:rPr>
        <w:t xml:space="preserve">July 2015 in Docket No. RR15-4-000.  The Commission’s decision on that filing will </w:t>
      </w:r>
      <w:r w:rsidRPr="00C57BDC">
        <w:t>guide</w:t>
      </w:r>
      <w:r w:rsidR="004D00B5" w:rsidRPr="00C57BDC">
        <w:t xml:space="preserve"> any action in this proceeding.</w:t>
      </w:r>
    </w:p>
    <w:p w14:paraId="5804D181" w14:textId="5AAE32C8" w:rsidR="004B7BEB" w:rsidRPr="004540CB" w:rsidRDefault="004540CB" w:rsidP="008C466C">
      <w:pPr>
        <w:pStyle w:val="FERCparanumber"/>
        <w:numPr>
          <w:ilvl w:val="0"/>
          <w:numId w:val="0"/>
        </w:numPr>
        <w:ind w:left="2160" w:hanging="720"/>
        <w:rPr>
          <w:b/>
          <w:szCs w:val="26"/>
        </w:rPr>
      </w:pPr>
      <w:r>
        <w:tab/>
      </w:r>
      <w:r w:rsidRPr="004540CB">
        <w:rPr>
          <w:b/>
        </w:rPr>
        <w:t>3.</w:t>
      </w:r>
      <w:r w:rsidRPr="004540CB">
        <w:rPr>
          <w:b/>
        </w:rPr>
        <w:tab/>
      </w:r>
      <w:r w:rsidR="00675384" w:rsidRPr="008C466C">
        <w:rPr>
          <w:b/>
          <w:u w:val="single"/>
        </w:rPr>
        <w:t>Data Exchange</w:t>
      </w:r>
      <w:r w:rsidR="00A903A4" w:rsidRPr="008C466C">
        <w:rPr>
          <w:b/>
          <w:u w:val="single"/>
        </w:rPr>
        <w:t xml:space="preserve"> Capabilities</w:t>
      </w:r>
    </w:p>
    <w:p w14:paraId="4BE625BE" w14:textId="77777777" w:rsidR="007A14C3" w:rsidRPr="008C466C" w:rsidRDefault="007A14C3" w:rsidP="007A14C3">
      <w:pPr>
        <w:pStyle w:val="FERCparanumber"/>
        <w:numPr>
          <w:ilvl w:val="0"/>
          <w:numId w:val="0"/>
        </w:numPr>
        <w:ind w:left="90"/>
        <w:rPr>
          <w:b/>
          <w:u w:val="single"/>
        </w:rPr>
      </w:pPr>
      <w:r w:rsidRPr="00C57BDC">
        <w:tab/>
      </w:r>
      <w:r w:rsidRPr="008C466C">
        <w:rPr>
          <w:b/>
          <w:u w:val="single"/>
        </w:rPr>
        <w:t>NERC Petition</w:t>
      </w:r>
    </w:p>
    <w:p w14:paraId="5742C8BB" w14:textId="293CE2AA" w:rsidR="007A14C3" w:rsidRPr="00C57BDC" w:rsidRDefault="00675384" w:rsidP="00BE3B2A">
      <w:pPr>
        <w:pStyle w:val="FERCparanumber"/>
        <w:tabs>
          <w:tab w:val="clear" w:pos="810"/>
          <w:tab w:val="num" w:pos="720"/>
        </w:tabs>
        <w:ind w:left="0"/>
      </w:pPr>
      <w:r w:rsidRPr="00C57BDC">
        <w:rPr>
          <w:szCs w:val="26"/>
        </w:rPr>
        <w:t xml:space="preserve">In </w:t>
      </w:r>
      <w:r w:rsidR="00C86816" w:rsidRPr="00C57BDC">
        <w:t>Order No. 808,</w:t>
      </w:r>
      <w:r w:rsidRPr="00C57BDC">
        <w:rPr>
          <w:szCs w:val="26"/>
        </w:rPr>
        <w:t xml:space="preserve"> the Commission </w:t>
      </w:r>
      <w:r w:rsidR="00687284" w:rsidRPr="00C57BDC">
        <w:rPr>
          <w:szCs w:val="26"/>
        </w:rPr>
        <w:t>approv</w:t>
      </w:r>
      <w:r w:rsidR="00C86816" w:rsidRPr="00C57BDC">
        <w:rPr>
          <w:szCs w:val="26"/>
        </w:rPr>
        <w:t>ed</w:t>
      </w:r>
      <w:r w:rsidR="00687284" w:rsidRPr="00C57BDC">
        <w:rPr>
          <w:szCs w:val="26"/>
        </w:rPr>
        <w:t xml:space="preserve"> </w:t>
      </w:r>
      <w:r w:rsidRPr="00C57BDC">
        <w:rPr>
          <w:szCs w:val="26"/>
        </w:rPr>
        <w:t>Reliability Standards COM-001-2 (Communications) and COM-002-4 (Operating Personnel Communications Protocols).</w:t>
      </w:r>
      <w:r w:rsidR="00687284" w:rsidRPr="00C57BDC">
        <w:rPr>
          <w:rStyle w:val="FootnoteReference"/>
        </w:rPr>
        <w:footnoteReference w:id="47"/>
      </w:r>
      <w:r w:rsidRPr="00C57BDC">
        <w:rPr>
          <w:szCs w:val="26"/>
        </w:rPr>
        <w:t xml:space="preserve">  </w:t>
      </w:r>
      <w:r w:rsidR="005D3ABC" w:rsidRPr="00C57BDC">
        <w:rPr>
          <w:szCs w:val="26"/>
        </w:rPr>
        <w:t xml:space="preserve">In </w:t>
      </w:r>
      <w:r w:rsidR="00C86816" w:rsidRPr="00C57BDC">
        <w:t>Order No. 808</w:t>
      </w:r>
      <w:r w:rsidR="005D3ABC" w:rsidRPr="00C57BDC">
        <w:t xml:space="preserve">, the Commission </w:t>
      </w:r>
      <w:r w:rsidR="00555B88" w:rsidRPr="00C57BDC">
        <w:t>explained</w:t>
      </w:r>
      <w:r w:rsidR="005D3ABC" w:rsidRPr="00C57BDC">
        <w:t xml:space="preserve"> that it had </w:t>
      </w:r>
      <w:r w:rsidR="00A903A4" w:rsidRPr="00C57BDC">
        <w:t xml:space="preserve">raised concerns </w:t>
      </w:r>
      <w:r w:rsidR="005D3ABC" w:rsidRPr="00C57BDC">
        <w:t xml:space="preserve">in the </w:t>
      </w:r>
      <w:r w:rsidR="00637032" w:rsidRPr="00C57BDC">
        <w:t xml:space="preserve">underlying </w:t>
      </w:r>
      <w:r w:rsidR="005D3ABC" w:rsidRPr="00C57BDC">
        <w:t xml:space="preserve">NOPR </w:t>
      </w:r>
      <w:r w:rsidR="00637032" w:rsidRPr="00C57BDC">
        <w:t>proposing to approve the</w:t>
      </w:r>
      <w:r w:rsidR="008E438D" w:rsidRPr="00C57BDC">
        <w:t>se</w:t>
      </w:r>
      <w:r w:rsidR="00637032" w:rsidRPr="00C57BDC">
        <w:t xml:space="preserve"> COM Reliability Standard</w:t>
      </w:r>
      <w:r w:rsidR="008E438D" w:rsidRPr="00C57BDC">
        <w:t>s</w:t>
      </w:r>
      <w:r w:rsidR="00637032" w:rsidRPr="00C57BDC">
        <w:t xml:space="preserve"> (COM NOPR) </w:t>
      </w:r>
      <w:r w:rsidR="00A903A4" w:rsidRPr="00C57BDC">
        <w:t>whether COM-001-2 addresse</w:t>
      </w:r>
      <w:r w:rsidR="003E1201">
        <w:t>s</w:t>
      </w:r>
      <w:r w:rsidR="00A903A4" w:rsidRPr="00C57BDC">
        <w:t xml:space="preserve"> “facilities that directly exchange or transfer data.”</w:t>
      </w:r>
      <w:r w:rsidR="005D3ABC" w:rsidRPr="00C57BDC">
        <w:rPr>
          <w:rStyle w:val="FootnoteReference"/>
        </w:rPr>
        <w:footnoteReference w:id="48"/>
      </w:r>
      <w:r w:rsidR="00A903A4" w:rsidRPr="00C57BDC" w:rsidDel="00206A71">
        <w:t xml:space="preserve"> </w:t>
      </w:r>
      <w:r w:rsidR="00A903A4" w:rsidRPr="00C57BDC">
        <w:t xml:space="preserve"> In response to the </w:t>
      </w:r>
      <w:r w:rsidR="005D3ABC" w:rsidRPr="00C57BDC">
        <w:t xml:space="preserve">COM </w:t>
      </w:r>
      <w:r w:rsidR="00A903A4" w:rsidRPr="00C57BDC">
        <w:t xml:space="preserve">NOPR, NERC </w:t>
      </w:r>
      <w:r w:rsidR="00873BFF" w:rsidRPr="00C57BDC">
        <w:t xml:space="preserve">and other commenters clarified that </w:t>
      </w:r>
      <w:r w:rsidR="00637032" w:rsidRPr="00C57BDC">
        <w:t xml:space="preserve">Reliability Standard </w:t>
      </w:r>
      <w:r w:rsidR="00873BFF" w:rsidRPr="00C57BDC">
        <w:t xml:space="preserve">COM-001-2, which covers communications capability requirements, </w:t>
      </w:r>
      <w:r w:rsidR="004D148B" w:rsidRPr="00C57BDC">
        <w:t xml:space="preserve">is </w:t>
      </w:r>
      <w:r w:rsidR="00873BFF" w:rsidRPr="00C57BDC">
        <w:t xml:space="preserve">not intended to </w:t>
      </w:r>
      <w:r w:rsidR="00AB3570" w:rsidRPr="00C57BDC">
        <w:t>address</w:t>
      </w:r>
      <w:r w:rsidR="00873BFF" w:rsidRPr="00C57BDC">
        <w:t xml:space="preserve"> data exchanges or transfers.</w:t>
      </w:r>
      <w:r w:rsidR="00873BFF" w:rsidRPr="00C57BDC">
        <w:rPr>
          <w:rStyle w:val="FootnoteReference"/>
        </w:rPr>
        <w:footnoteReference w:id="49"/>
      </w:r>
      <w:r w:rsidR="00873BFF" w:rsidRPr="00C57BDC">
        <w:t xml:space="preserve">  As the Commission noted in </w:t>
      </w:r>
      <w:r w:rsidR="00BF4C67" w:rsidRPr="00C57BDC">
        <w:t>Order No. 808</w:t>
      </w:r>
      <w:r w:rsidR="00873BFF" w:rsidRPr="00C57BDC">
        <w:t xml:space="preserve">, NERC maintained that </w:t>
      </w:r>
      <w:r w:rsidR="00637032" w:rsidRPr="00C57BDC">
        <w:t xml:space="preserve">Reliability Standard </w:t>
      </w:r>
      <w:r w:rsidR="00873BFF" w:rsidRPr="00C57BDC">
        <w:t>COM-001-2 need not include requirements regarding data exchange capability, “because such capability is covered under other</w:t>
      </w:r>
      <w:r w:rsidR="004440A4" w:rsidRPr="00C57BDC">
        <w:t xml:space="preserve"> existing or proposed standards.</w:t>
      </w:r>
      <w:r w:rsidR="003E1201">
        <w:t>”</w:t>
      </w:r>
      <w:r w:rsidR="00A903A4" w:rsidRPr="00C57BDC">
        <w:rPr>
          <w:rStyle w:val="FootnoteReference"/>
        </w:rPr>
        <w:footnoteReference w:id="50"/>
      </w:r>
      <w:r w:rsidR="00A903A4" w:rsidRPr="00C57BDC">
        <w:t xml:space="preserve">  </w:t>
      </w:r>
      <w:r w:rsidR="005D3ABC" w:rsidRPr="00C57BDC">
        <w:t>T</w:t>
      </w:r>
      <w:r w:rsidR="00A903A4" w:rsidRPr="00C57BDC">
        <w:t xml:space="preserve">he Commission did not make any determinations regarding </w:t>
      </w:r>
      <w:r w:rsidR="005D3ABC" w:rsidRPr="00C57BDC">
        <w:t xml:space="preserve">facilities used for </w:t>
      </w:r>
      <w:r w:rsidR="00A903A4" w:rsidRPr="00C57BDC">
        <w:t xml:space="preserve">data exchange capability </w:t>
      </w:r>
      <w:r w:rsidR="00873BFF" w:rsidRPr="00C57BDC">
        <w:t xml:space="preserve">in </w:t>
      </w:r>
      <w:r w:rsidR="00BF4C67" w:rsidRPr="00C57BDC">
        <w:t>Order No. 808</w:t>
      </w:r>
      <w:r w:rsidR="00873BFF" w:rsidRPr="00C57BDC">
        <w:t xml:space="preserve"> </w:t>
      </w:r>
      <w:r w:rsidR="00A903A4" w:rsidRPr="00C57BDC">
        <w:t>and</w:t>
      </w:r>
      <w:r w:rsidR="00BF4C67" w:rsidRPr="00C57BDC">
        <w:t>, based on NERC’s explanation in its supplemental filing, the Commission</w:t>
      </w:r>
      <w:r w:rsidR="00A903A4" w:rsidRPr="00C57BDC">
        <w:t xml:space="preserve"> stated that it would address </w:t>
      </w:r>
      <w:r w:rsidR="005D3ABC" w:rsidRPr="00C57BDC">
        <w:t xml:space="preserve">these </w:t>
      </w:r>
      <w:r w:rsidR="00A903A4" w:rsidRPr="00C57BDC">
        <w:t>issues in th</w:t>
      </w:r>
      <w:r w:rsidR="008E438D" w:rsidRPr="00C57BDC">
        <w:t>is</w:t>
      </w:r>
      <w:r w:rsidR="00873BFF" w:rsidRPr="00C57BDC">
        <w:t xml:space="preserve"> </w:t>
      </w:r>
      <w:r w:rsidR="005D3ABC" w:rsidRPr="00C57BDC">
        <w:t xml:space="preserve">TOP </w:t>
      </w:r>
      <w:r w:rsidR="00873BFF" w:rsidRPr="00C57BDC">
        <w:t xml:space="preserve">and </w:t>
      </w:r>
      <w:r w:rsidR="005D3ABC" w:rsidRPr="00C57BDC">
        <w:t xml:space="preserve">IRO </w:t>
      </w:r>
      <w:r w:rsidR="00A903A4" w:rsidRPr="00C57BDC">
        <w:t xml:space="preserve">rulemaking </w:t>
      </w:r>
      <w:r w:rsidR="005D3ABC" w:rsidRPr="00C57BDC">
        <w:t>proceeding</w:t>
      </w:r>
      <w:r w:rsidR="00A903A4" w:rsidRPr="00C57BDC">
        <w:t>.</w:t>
      </w:r>
      <w:r w:rsidR="00873BFF" w:rsidRPr="00C57BDC">
        <w:rPr>
          <w:rStyle w:val="FootnoteReference"/>
        </w:rPr>
        <w:footnoteReference w:id="51"/>
      </w:r>
    </w:p>
    <w:p w14:paraId="381B9E8D" w14:textId="31A2887A" w:rsidR="00A903A4" w:rsidRPr="00C57BDC" w:rsidRDefault="00F52EBE" w:rsidP="00BE3B2A">
      <w:pPr>
        <w:pStyle w:val="FERCparanumber"/>
        <w:tabs>
          <w:tab w:val="clear" w:pos="810"/>
          <w:tab w:val="num" w:pos="720"/>
        </w:tabs>
        <w:ind w:left="0"/>
      </w:pPr>
      <w:r w:rsidRPr="00C57BDC">
        <w:t xml:space="preserve">In general, it appears that facilities for data exchange capabilities are addressed in NERC’s proposal.  For example, </w:t>
      </w:r>
      <w:r w:rsidRPr="00C57BDC">
        <w:rPr>
          <w:szCs w:val="26"/>
        </w:rPr>
        <w:t>proposed Reliability Standard TOP-001-3, Requirements R19 and R20 require some form of “data exchange capabilities” for the transmission operator and balancing authority, respectively.  Similarly, proposed Reliability Standard IRO-002-4, Requirement R1 requires some form of “data exchange capabilities” for the reliability coordinator</w:t>
      </w:r>
      <w:r w:rsidR="00C611BC" w:rsidRPr="00C57BDC">
        <w:rPr>
          <w:szCs w:val="26"/>
        </w:rPr>
        <w:t>.</w:t>
      </w:r>
      <w:r w:rsidRPr="00C57BDC">
        <w:t xml:space="preserve">  </w:t>
      </w:r>
      <w:r w:rsidR="009A27FF" w:rsidRPr="00C57BDC">
        <w:t>However, we</w:t>
      </w:r>
      <w:r w:rsidR="0049246D" w:rsidRPr="00C57BDC">
        <w:t xml:space="preserve"> seek additional explanation from NERC regarding how it </w:t>
      </w:r>
      <w:r w:rsidR="00A903A4" w:rsidRPr="00C57BDC">
        <w:t>address</w:t>
      </w:r>
      <w:r w:rsidR="0049246D" w:rsidRPr="00C57BDC">
        <w:t>es</w:t>
      </w:r>
      <w:r w:rsidR="00A903A4" w:rsidRPr="00C57BDC">
        <w:t xml:space="preserve"> data excha</w:t>
      </w:r>
      <w:r w:rsidR="00841C3B" w:rsidRPr="00C57BDC">
        <w:t xml:space="preserve">nge capabilities </w:t>
      </w:r>
      <w:r w:rsidR="0049246D" w:rsidRPr="00C57BDC">
        <w:t xml:space="preserve">in the TOP and IRO Reliability Standards </w:t>
      </w:r>
      <w:r w:rsidR="00841C3B" w:rsidRPr="00C57BDC">
        <w:t xml:space="preserve">in </w:t>
      </w:r>
      <w:r w:rsidR="00805E72" w:rsidRPr="00C57BDC">
        <w:t xml:space="preserve">the following </w:t>
      </w:r>
      <w:r w:rsidR="00841C3B" w:rsidRPr="00C57BDC">
        <w:t xml:space="preserve">areas: </w:t>
      </w:r>
      <w:r w:rsidR="009A27FF" w:rsidRPr="00C57BDC">
        <w:t xml:space="preserve"> </w:t>
      </w:r>
      <w:r w:rsidR="00A903A4" w:rsidRPr="00C57BDC">
        <w:t xml:space="preserve">(a) redundancy and diverse routing; </w:t>
      </w:r>
      <w:r w:rsidR="00E77A6B" w:rsidRPr="00C57BDC">
        <w:t xml:space="preserve">and </w:t>
      </w:r>
      <w:r w:rsidR="00A903A4" w:rsidRPr="00C57BDC">
        <w:t>(b) testing of the alternate or less frequently used data exchange capability</w:t>
      </w:r>
      <w:r w:rsidR="00266182">
        <w:t>.</w:t>
      </w:r>
      <w:r w:rsidR="00A903A4" w:rsidRPr="00C57BDC">
        <w:t xml:space="preserve"> </w:t>
      </w:r>
    </w:p>
    <w:p w14:paraId="169E614A" w14:textId="72BA679C" w:rsidR="00A903A4" w:rsidRPr="00540BDE" w:rsidRDefault="00A903A4" w:rsidP="00540BDE">
      <w:pPr>
        <w:pStyle w:val="Heading8"/>
        <w:tabs>
          <w:tab w:val="clear" w:pos="2736"/>
          <w:tab w:val="num" w:pos="3600"/>
        </w:tabs>
        <w:ind w:left="3600" w:hanging="720"/>
      </w:pPr>
      <w:r w:rsidRPr="00540BDE">
        <w:t>Redundancy and Diverse Routing of Data Exchange Capabilities</w:t>
      </w:r>
    </w:p>
    <w:p w14:paraId="55071418" w14:textId="4B79FBBB" w:rsidR="003407DE" w:rsidRPr="00540BDE" w:rsidRDefault="003407DE" w:rsidP="0095417F">
      <w:pPr>
        <w:pStyle w:val="FERCparanumber"/>
        <w:numPr>
          <w:ilvl w:val="0"/>
          <w:numId w:val="0"/>
        </w:numPr>
        <w:tabs>
          <w:tab w:val="left" w:pos="720"/>
          <w:tab w:val="left" w:pos="1440"/>
          <w:tab w:val="left" w:pos="2160"/>
          <w:tab w:val="left" w:pos="2880"/>
          <w:tab w:val="left" w:pos="3600"/>
          <w:tab w:val="left" w:pos="7545"/>
        </w:tabs>
        <w:rPr>
          <w:u w:val="single"/>
        </w:rPr>
      </w:pPr>
      <w:r w:rsidRPr="00C57BDC">
        <w:rPr>
          <w:b/>
        </w:rPr>
        <w:tab/>
      </w:r>
      <w:r w:rsidR="00B312E8" w:rsidRPr="00540BDE">
        <w:rPr>
          <w:b/>
          <w:u w:val="single"/>
        </w:rPr>
        <w:t>Background</w:t>
      </w:r>
      <w:r w:rsidR="003A6B15" w:rsidRPr="00540BDE">
        <w:rPr>
          <w:b/>
          <w:u w:val="single"/>
        </w:rPr>
        <w:tab/>
      </w:r>
    </w:p>
    <w:p w14:paraId="731EBC28" w14:textId="4E3E9B72" w:rsidR="00C611BC" w:rsidRPr="00C57BDC" w:rsidRDefault="00C611BC" w:rsidP="00BE3B2A">
      <w:pPr>
        <w:pStyle w:val="FERCparanumber"/>
        <w:tabs>
          <w:tab w:val="clear" w:pos="810"/>
          <w:tab w:val="num" w:pos="720"/>
        </w:tabs>
        <w:ind w:left="0"/>
        <w:rPr>
          <w:szCs w:val="26"/>
        </w:rPr>
      </w:pPr>
      <w:r w:rsidRPr="00C57BDC">
        <w:t>T</w:t>
      </w:r>
      <w:r w:rsidRPr="00C57BDC">
        <w:rPr>
          <w:szCs w:val="26"/>
        </w:rPr>
        <w:t>he terms “redundant” and “diverse routing” of data exchange capabilities appear in Reliability Standard COM-001-1</w:t>
      </w:r>
      <w:r w:rsidR="00E22BB7">
        <w:rPr>
          <w:szCs w:val="26"/>
        </w:rPr>
        <w:t>,</w:t>
      </w:r>
      <w:r w:rsidRPr="00C57BDC">
        <w:rPr>
          <w:szCs w:val="26"/>
        </w:rPr>
        <w:t xml:space="preserve"> where the reliability coordinator, transmission operator and balancing authority are required to have telecommunication facilities that are “redundant” and “diversely routed” to maintain Bulk-Power System reliability.</w:t>
      </w:r>
      <w:r w:rsidRPr="00C57BDC">
        <w:rPr>
          <w:rStyle w:val="FootnoteReference"/>
        </w:rPr>
        <w:footnoteReference w:id="52"/>
      </w:r>
      <w:r w:rsidRPr="00C57BDC">
        <w:rPr>
          <w:szCs w:val="26"/>
        </w:rPr>
        <w:t xml:space="preserve">  </w:t>
      </w:r>
      <w:r w:rsidR="0077121C" w:rsidRPr="00C57BDC">
        <w:rPr>
          <w:szCs w:val="26"/>
        </w:rPr>
        <w:t>NERC added two definitions</w:t>
      </w:r>
      <w:r w:rsidR="0077121C" w:rsidRPr="00C57BDC">
        <w:t xml:space="preserve"> (Interpersonal Communication and Alternative Interpersonal Communication)</w:t>
      </w:r>
      <w:r w:rsidR="008E438D" w:rsidRPr="00C57BDC">
        <w:t xml:space="preserve"> </w:t>
      </w:r>
      <w:r w:rsidR="008E438D" w:rsidRPr="00C57BDC">
        <w:rPr>
          <w:szCs w:val="26"/>
        </w:rPr>
        <w:t xml:space="preserve">to Reliability Standard COM-001-2 </w:t>
      </w:r>
      <w:r w:rsidR="0077121C" w:rsidRPr="00C57BDC">
        <w:rPr>
          <w:szCs w:val="26"/>
        </w:rPr>
        <w:t xml:space="preserve">that addressed redundant and diverse routing of communications between persons and </w:t>
      </w:r>
      <w:r w:rsidRPr="00C57BDC">
        <w:rPr>
          <w:szCs w:val="26"/>
        </w:rPr>
        <w:t xml:space="preserve">proposed to eliminate </w:t>
      </w:r>
      <w:r w:rsidRPr="00C57BDC">
        <w:t xml:space="preserve">the need to use phrases such as </w:t>
      </w:r>
      <w:r w:rsidR="008E438D" w:rsidRPr="00C57BDC">
        <w:t>“redundant and diversely routed</w:t>
      </w:r>
      <w:r w:rsidRPr="00C57BDC">
        <w:t>”</w:t>
      </w:r>
      <w:r w:rsidR="008E438D" w:rsidRPr="00C57BDC">
        <w:t xml:space="preserve"> that it described as ambiguous.</w:t>
      </w:r>
      <w:r w:rsidRPr="00C57BDC">
        <w:rPr>
          <w:rStyle w:val="FootnoteReference"/>
        </w:rPr>
        <w:footnoteReference w:id="53"/>
      </w:r>
      <w:r w:rsidRPr="00C57BDC">
        <w:t xml:space="preserve"> </w:t>
      </w:r>
      <w:r w:rsidR="0077121C" w:rsidRPr="00C57BDC">
        <w:t xml:space="preserve"> With respect to the </w:t>
      </w:r>
      <w:r w:rsidR="00786451" w:rsidRPr="00C57BDC">
        <w:t>d</w:t>
      </w:r>
      <w:r w:rsidR="0077121C" w:rsidRPr="00C57BDC">
        <w:t xml:space="preserve">ata </w:t>
      </w:r>
      <w:r w:rsidR="00786451" w:rsidRPr="00C57BDC">
        <w:t xml:space="preserve">exchange </w:t>
      </w:r>
      <w:r w:rsidR="0077121C" w:rsidRPr="00C57BDC">
        <w:t xml:space="preserve">capabilities, NERC stated that several proposed or existing standards </w:t>
      </w:r>
      <w:r w:rsidR="0077121C" w:rsidRPr="00C57BDC">
        <w:rPr>
          <w:szCs w:val="26"/>
        </w:rPr>
        <w:t>“provided the necessary mandatory Requirements to ensure proper data exchange is occurring.”</w:t>
      </w:r>
      <w:r w:rsidR="0077121C" w:rsidRPr="00C57BDC">
        <w:rPr>
          <w:b/>
          <w:szCs w:val="26"/>
          <w:vertAlign w:val="superscript"/>
        </w:rPr>
        <w:footnoteReference w:id="54"/>
      </w:r>
      <w:r w:rsidR="0077121C" w:rsidRPr="00C57BDC">
        <w:rPr>
          <w:szCs w:val="26"/>
        </w:rPr>
        <w:t xml:space="preserve">  NERC also asserted that four proposed IRO and TOP standards “include specific coverage related to data exchange,” and “collectively require data exchange capability” for reliability coordinators, transmission operators, balancing authorities, generator operators, and distribution providers.</w:t>
      </w:r>
      <w:r w:rsidR="0077121C" w:rsidRPr="00C57BDC">
        <w:rPr>
          <w:b/>
          <w:szCs w:val="26"/>
          <w:vertAlign w:val="superscript"/>
        </w:rPr>
        <w:footnoteReference w:id="55"/>
      </w:r>
      <w:r w:rsidR="0077121C" w:rsidRPr="00C57BDC">
        <w:rPr>
          <w:szCs w:val="26"/>
        </w:rPr>
        <w:t xml:space="preserve">  </w:t>
      </w:r>
      <w:r w:rsidRPr="00C57BDC">
        <w:t xml:space="preserve">  </w:t>
      </w:r>
    </w:p>
    <w:p w14:paraId="0B9AD01D" w14:textId="35AA2E88" w:rsidR="00144975" w:rsidRPr="00C57BDC" w:rsidRDefault="00290B72" w:rsidP="00BE3B2A">
      <w:pPr>
        <w:pStyle w:val="FERCparanumber"/>
        <w:tabs>
          <w:tab w:val="clear" w:pos="810"/>
          <w:tab w:val="num" w:pos="720"/>
        </w:tabs>
        <w:ind w:left="0"/>
        <w:rPr>
          <w:szCs w:val="26"/>
        </w:rPr>
      </w:pPr>
      <w:r w:rsidRPr="00C57BDC">
        <w:t>In Order No. 808,</w:t>
      </w:r>
      <w:r w:rsidR="003652ED" w:rsidRPr="00C57BDC">
        <w:t xml:space="preserve"> the Commission </w:t>
      </w:r>
      <w:r w:rsidRPr="00C57BDC">
        <w:t>approved</w:t>
      </w:r>
      <w:r w:rsidR="003652ED" w:rsidRPr="00C57BDC">
        <w:t xml:space="preserve"> </w:t>
      </w:r>
      <w:r w:rsidRPr="00C57BDC">
        <w:t>NERC’s definition of the</w:t>
      </w:r>
      <w:r w:rsidR="003652ED" w:rsidRPr="00C57BDC">
        <w:t xml:space="preserve"> terms Interpersonal Communication and Alternative Interpersonal Communication.  </w:t>
      </w:r>
      <w:r w:rsidRPr="00C57BDC">
        <w:t xml:space="preserve">NERC defines </w:t>
      </w:r>
      <w:r w:rsidR="003652ED" w:rsidRPr="00C57BDC">
        <w:t>Interpersonal Communication as “[a]</w:t>
      </w:r>
      <w:proofErr w:type="spellStart"/>
      <w:r w:rsidR="003652ED" w:rsidRPr="00C57BDC">
        <w:t>ny</w:t>
      </w:r>
      <w:proofErr w:type="spellEnd"/>
      <w:r w:rsidR="003652ED" w:rsidRPr="00C57BDC">
        <w:t xml:space="preserve"> medium that allows two or more individuals to interact, consult, or exchange information</w:t>
      </w:r>
      <w:r w:rsidR="00740FE9" w:rsidRPr="00C57BDC">
        <w:t>.</w:t>
      </w:r>
      <w:r w:rsidR="003652ED" w:rsidRPr="00C57BDC">
        <w:t xml:space="preserve">” </w:t>
      </w:r>
      <w:r w:rsidR="00740FE9" w:rsidRPr="00C57BDC">
        <w:t xml:space="preserve"> NERC defines </w:t>
      </w:r>
      <w:r w:rsidR="003652ED" w:rsidRPr="00C57BDC">
        <w:t>Alternative Interpersonal Communication as “[a]</w:t>
      </w:r>
      <w:proofErr w:type="spellStart"/>
      <w:r w:rsidR="003652ED" w:rsidRPr="00C57BDC">
        <w:t>ny</w:t>
      </w:r>
      <w:proofErr w:type="spellEnd"/>
      <w:r w:rsidR="003652ED" w:rsidRPr="00C57BDC">
        <w:t xml:space="preserve"> Interpersonal Communication that is able to serve as a substitute for, and does not utilize the same infrastructure (medium) as, Interpersonal Communication used for day-to-day operation.”</w:t>
      </w:r>
      <w:r w:rsidR="003652ED" w:rsidRPr="00C57BDC">
        <w:rPr>
          <w:rStyle w:val="FootnoteReference"/>
        </w:rPr>
        <w:footnoteReference w:id="56"/>
      </w:r>
      <w:r w:rsidR="003652ED" w:rsidRPr="00C57BDC">
        <w:t xml:space="preserve">  Reliability Standard COM-001-2, Requi</w:t>
      </w:r>
      <w:r w:rsidR="007145A6" w:rsidRPr="00C57BDC">
        <w:t>rements R1</w:t>
      </w:r>
      <w:r w:rsidR="00E37D32" w:rsidRPr="00C57BDC">
        <w:t xml:space="preserve"> through </w:t>
      </w:r>
      <w:r w:rsidR="007145A6" w:rsidRPr="00C57BDC">
        <w:t xml:space="preserve">R6 require that </w:t>
      </w:r>
      <w:r w:rsidR="00873BFF" w:rsidRPr="00C57BDC">
        <w:t xml:space="preserve">reliability coordinators, transmission operators, and balancing authorities </w:t>
      </w:r>
      <w:r w:rsidR="007145A6" w:rsidRPr="00C57BDC">
        <w:t xml:space="preserve">have Interpersonal Communication </w:t>
      </w:r>
      <w:r w:rsidR="003652ED" w:rsidRPr="00C57BDC">
        <w:t xml:space="preserve">capabilities </w:t>
      </w:r>
      <w:r w:rsidR="00E6061E" w:rsidRPr="00C57BDC">
        <w:t xml:space="preserve">and </w:t>
      </w:r>
      <w:r w:rsidR="003652ED" w:rsidRPr="00C57BDC">
        <w:t>Alternative Interpersonal Communication capabilities</w:t>
      </w:r>
      <w:r w:rsidR="00873BFF" w:rsidRPr="00C57BDC">
        <w:t xml:space="preserve"> in place with other defined entities (</w:t>
      </w:r>
      <w:r w:rsidR="00873BFF" w:rsidRPr="00C57BDC">
        <w:rPr>
          <w:i/>
        </w:rPr>
        <w:t xml:space="preserve">e.g., </w:t>
      </w:r>
      <w:r w:rsidR="00873BFF" w:rsidRPr="00C57BDC">
        <w:t>other interconnected transmission operators)</w:t>
      </w:r>
      <w:r w:rsidR="003652ED" w:rsidRPr="00C57BDC">
        <w:t xml:space="preserve">.  </w:t>
      </w:r>
      <w:r w:rsidR="00814311" w:rsidRPr="00C57BDC">
        <w:t xml:space="preserve">In its COM Petition, </w:t>
      </w:r>
      <w:r w:rsidR="00E6061E" w:rsidRPr="00C57BDC">
        <w:t xml:space="preserve">NERC </w:t>
      </w:r>
      <w:r w:rsidR="00873BFF" w:rsidRPr="00C57BDC">
        <w:t xml:space="preserve">maintained </w:t>
      </w:r>
      <w:r w:rsidR="00A35015" w:rsidRPr="00C57BDC">
        <w:t xml:space="preserve">that </w:t>
      </w:r>
      <w:r w:rsidR="00873BFF" w:rsidRPr="00C57BDC">
        <w:t>the defin</w:t>
      </w:r>
      <w:r w:rsidR="00510BA6" w:rsidRPr="00C57BDC">
        <w:t>ed</w:t>
      </w:r>
      <w:r w:rsidR="00873BFF" w:rsidRPr="00C57BDC">
        <w:t xml:space="preserve"> </w:t>
      </w:r>
      <w:r w:rsidR="00510BA6" w:rsidRPr="00C57BDC">
        <w:t xml:space="preserve">terms </w:t>
      </w:r>
      <w:r w:rsidR="00A35015" w:rsidRPr="00C57BDC">
        <w:t>make clear</w:t>
      </w:r>
      <w:r w:rsidR="00873BFF" w:rsidRPr="00C57BDC">
        <w:t xml:space="preserve"> that an entity’s communication capability must be redundant and that each of the capabilities must not utilize the same medium, while eliminating</w:t>
      </w:r>
      <w:r w:rsidR="00266658" w:rsidRPr="00C57BDC">
        <w:t xml:space="preserve"> </w:t>
      </w:r>
      <w:r w:rsidR="00E6061E" w:rsidRPr="00C57BDC">
        <w:t xml:space="preserve">the need to use ambiguous phrases such as “redundant and diversely routed” </w:t>
      </w:r>
      <w:r w:rsidR="00873BFF" w:rsidRPr="00C57BDC">
        <w:t>(as used in the prior version of the standard governing communications capability)</w:t>
      </w:r>
      <w:r w:rsidR="00E6061E" w:rsidRPr="00C57BDC">
        <w:t>.</w:t>
      </w:r>
      <w:r w:rsidR="00E6061E" w:rsidRPr="00C57BDC">
        <w:rPr>
          <w:rStyle w:val="FootnoteReference"/>
        </w:rPr>
        <w:footnoteReference w:id="57"/>
      </w:r>
      <w:r w:rsidR="00F92C90" w:rsidRPr="00C57BDC">
        <w:t xml:space="preserve">  </w:t>
      </w:r>
    </w:p>
    <w:p w14:paraId="4D2E9185" w14:textId="039AE59C" w:rsidR="00144975" w:rsidRPr="00C57BDC" w:rsidRDefault="00912A86" w:rsidP="00BE3B2A">
      <w:pPr>
        <w:pStyle w:val="FERCparanumber"/>
        <w:tabs>
          <w:tab w:val="clear" w:pos="810"/>
          <w:tab w:val="num" w:pos="720"/>
        </w:tabs>
        <w:ind w:left="0"/>
        <w:rPr>
          <w:szCs w:val="26"/>
        </w:rPr>
      </w:pPr>
      <w:r w:rsidRPr="00C57BDC">
        <w:rPr>
          <w:szCs w:val="26"/>
        </w:rPr>
        <w:t xml:space="preserve">As noted above, NERC indicated in its response to the COM NOPR that Reliability Standard COM-001-2 need not include requirements regarding data exchange capability because such capability is or would be covered by other existing or proposed standards.  Specifically, </w:t>
      </w:r>
      <w:r w:rsidR="00144975" w:rsidRPr="00C57BDC">
        <w:rPr>
          <w:szCs w:val="26"/>
        </w:rPr>
        <w:t xml:space="preserve">NERC explained that data exchange is addressed by the currently enforceable Reliability Standards IRO-010-1a and IRO-014-1.  </w:t>
      </w:r>
      <w:r w:rsidRPr="00C57BDC">
        <w:rPr>
          <w:szCs w:val="26"/>
        </w:rPr>
        <w:t xml:space="preserve">In addition, </w:t>
      </w:r>
      <w:r w:rsidR="00144975" w:rsidRPr="00C57BDC">
        <w:rPr>
          <w:szCs w:val="26"/>
        </w:rPr>
        <w:t>NERC stated that data exchange transfer capabilities are directly addressed in proposed Reliability Standard TOP-001-3, as well as in proposed Reliability Standard IRO-002-4, Requirement R1.  NERC also stated that the data itself is covered in proposed Reliability Standard IRO-010-2 and proposed Reliability Standard TOP-003-3.</w:t>
      </w:r>
      <w:r w:rsidR="0041508A" w:rsidRPr="00C57BDC">
        <w:rPr>
          <w:rStyle w:val="FootnoteReference"/>
        </w:rPr>
        <w:footnoteReference w:id="58"/>
      </w:r>
      <w:r w:rsidR="00144975" w:rsidRPr="00C57BDC">
        <w:rPr>
          <w:szCs w:val="26"/>
        </w:rPr>
        <w:t xml:space="preserve">  </w:t>
      </w:r>
    </w:p>
    <w:p w14:paraId="0E9182DF" w14:textId="07CF9F53" w:rsidR="00B312E8" w:rsidRPr="00302181" w:rsidRDefault="00B312E8" w:rsidP="0095417F">
      <w:pPr>
        <w:pStyle w:val="FERCparanumber"/>
        <w:numPr>
          <w:ilvl w:val="0"/>
          <w:numId w:val="0"/>
        </w:numPr>
        <w:ind w:firstLine="720"/>
        <w:rPr>
          <w:szCs w:val="26"/>
          <w:u w:val="single"/>
        </w:rPr>
      </w:pPr>
      <w:r w:rsidRPr="00302181">
        <w:rPr>
          <w:b/>
          <w:u w:val="single"/>
        </w:rPr>
        <w:t xml:space="preserve">NERC </w:t>
      </w:r>
      <w:r w:rsidR="00294320" w:rsidRPr="00302181">
        <w:rPr>
          <w:b/>
          <w:u w:val="single"/>
        </w:rPr>
        <w:t>Petition</w:t>
      </w:r>
    </w:p>
    <w:p w14:paraId="7F565988" w14:textId="6D58F7B3" w:rsidR="00144975" w:rsidRPr="00C57BDC" w:rsidRDefault="00656858" w:rsidP="00BE3B2A">
      <w:pPr>
        <w:pStyle w:val="FERCparanumber"/>
        <w:tabs>
          <w:tab w:val="clear" w:pos="810"/>
          <w:tab w:val="num" w:pos="720"/>
        </w:tabs>
        <w:ind w:left="0"/>
        <w:rPr>
          <w:rStyle w:val="FootnoteReference"/>
          <w:b w:val="0"/>
          <w:szCs w:val="24"/>
          <w:vertAlign w:val="baseline"/>
        </w:rPr>
      </w:pPr>
      <w:r w:rsidRPr="00C57BDC">
        <w:t>I</w:t>
      </w:r>
      <w:r w:rsidR="00912A86" w:rsidRPr="00C57BDC">
        <w:t>n</w:t>
      </w:r>
      <w:r w:rsidR="00E6061E" w:rsidRPr="00C57BDC">
        <w:t xml:space="preserve"> </w:t>
      </w:r>
      <w:r w:rsidRPr="00C57BDC">
        <w:t>the</w:t>
      </w:r>
      <w:r w:rsidR="00E6061E" w:rsidRPr="00C57BDC">
        <w:t xml:space="preserve"> petition</w:t>
      </w:r>
      <w:r w:rsidR="00912A86" w:rsidRPr="00C57BDC">
        <w:t xml:space="preserve"> in this proceeding</w:t>
      </w:r>
      <w:r w:rsidR="00E6061E" w:rsidRPr="00C57BDC">
        <w:t xml:space="preserve">, </w:t>
      </w:r>
      <w:r w:rsidR="00144975" w:rsidRPr="00C57BDC">
        <w:t xml:space="preserve">NERC states that </w:t>
      </w:r>
      <w:r w:rsidR="008A19E4" w:rsidRPr="00C57BDC">
        <w:t xml:space="preserve">in </w:t>
      </w:r>
      <w:r w:rsidR="00144975" w:rsidRPr="00C57BDC">
        <w:t>proposed Reliability Standard TOP-001-3, “Requirements R19 and R20 provide that each Transmission Operator (Requirement R19) and Balancing Authority (Requirement R20) must have data exchange capabilities with the entities from which it needs data in order to maintain reliability in its area.”</w:t>
      </w:r>
      <w:r w:rsidR="00144975" w:rsidRPr="00C57BDC">
        <w:rPr>
          <w:rStyle w:val="FootnoteReference"/>
        </w:rPr>
        <w:t xml:space="preserve"> </w:t>
      </w:r>
      <w:r w:rsidR="00144975" w:rsidRPr="00C57BDC">
        <w:rPr>
          <w:rStyle w:val="FootnoteReference"/>
        </w:rPr>
        <w:footnoteReference w:id="59"/>
      </w:r>
      <w:r w:rsidR="00144975" w:rsidRPr="00C57BDC">
        <w:t xml:space="preserve">  NERC states that Requirements R19 and R20 are consistent with proposed Reliability Standard IRO-002-4, Requirement R1, which provides that each reliability coordinator must have data exchange capabilities with its balancing authorities, transmission operators, and other entities it deems necessary.  Requirements R19 and R20 state:</w:t>
      </w:r>
    </w:p>
    <w:p w14:paraId="2EB5C346" w14:textId="77777777" w:rsidR="00144975" w:rsidRPr="00C57BDC" w:rsidRDefault="00144975" w:rsidP="007A14C3">
      <w:pPr>
        <w:widowControl/>
        <w:spacing w:after="76"/>
        <w:ind w:left="720" w:right="720"/>
        <w:rPr>
          <w:szCs w:val="26"/>
        </w:rPr>
      </w:pPr>
      <w:r w:rsidRPr="00C57BDC">
        <w:rPr>
          <w:szCs w:val="26"/>
        </w:rPr>
        <w:t xml:space="preserve">R19. Each Transmission Operator shall have data exchange capabilities with the entities that it has identified that it needs data from in order to maintain reliability in its Transmission Operator Area. </w:t>
      </w:r>
    </w:p>
    <w:p w14:paraId="0E111A7E" w14:textId="77777777" w:rsidR="00144975" w:rsidRPr="00C57BDC" w:rsidRDefault="00144975" w:rsidP="007A14C3">
      <w:pPr>
        <w:widowControl/>
        <w:spacing w:after="76"/>
        <w:ind w:left="720" w:right="720"/>
        <w:rPr>
          <w:szCs w:val="26"/>
        </w:rPr>
      </w:pPr>
    </w:p>
    <w:p w14:paraId="413200E1" w14:textId="77777777" w:rsidR="00144975" w:rsidRPr="00C57BDC" w:rsidRDefault="00144975" w:rsidP="007A14C3">
      <w:pPr>
        <w:widowControl/>
        <w:spacing w:after="76"/>
        <w:ind w:left="720" w:right="720"/>
        <w:rPr>
          <w:szCs w:val="26"/>
        </w:rPr>
      </w:pPr>
      <w:r w:rsidRPr="00C57BDC">
        <w:rPr>
          <w:szCs w:val="26"/>
        </w:rPr>
        <w:t xml:space="preserve">R20. Each Balancing Authority shall have data exchange capabilities with the entities that it has identified that it needs data from in order to maintain reliability in its Balancing Authority Area. </w:t>
      </w:r>
    </w:p>
    <w:p w14:paraId="36589EEA" w14:textId="77777777" w:rsidR="00144975" w:rsidRPr="00C57BDC" w:rsidRDefault="00144975" w:rsidP="007A14C3">
      <w:pPr>
        <w:widowControl/>
        <w:spacing w:after="76"/>
        <w:ind w:left="720" w:right="720"/>
      </w:pPr>
    </w:p>
    <w:p w14:paraId="00D5556C" w14:textId="01A71BE8" w:rsidR="00144975" w:rsidRPr="00C57BDC" w:rsidRDefault="00E22BB7" w:rsidP="007A14C3">
      <w:pPr>
        <w:widowControl/>
        <w:spacing w:after="76"/>
        <w:ind w:right="720"/>
        <w:rPr>
          <w:szCs w:val="26"/>
        </w:rPr>
      </w:pPr>
      <w:r>
        <w:rPr>
          <w:szCs w:val="26"/>
        </w:rPr>
        <w:t xml:space="preserve">Reliability Standard </w:t>
      </w:r>
      <w:r w:rsidR="00144975" w:rsidRPr="00C57BDC">
        <w:rPr>
          <w:szCs w:val="26"/>
        </w:rPr>
        <w:t>IRO-002-4 Requirement R1 states:</w:t>
      </w:r>
    </w:p>
    <w:p w14:paraId="133ABE9E" w14:textId="77777777" w:rsidR="00144975" w:rsidRPr="00C57BDC" w:rsidRDefault="00144975" w:rsidP="0067456F">
      <w:pPr>
        <w:widowControl/>
        <w:spacing w:after="76"/>
        <w:ind w:right="720"/>
        <w:rPr>
          <w:szCs w:val="26"/>
        </w:rPr>
      </w:pPr>
    </w:p>
    <w:p w14:paraId="4FAF7795" w14:textId="77777777" w:rsidR="00144975" w:rsidRPr="00C57BDC" w:rsidRDefault="00144975" w:rsidP="007A14C3">
      <w:pPr>
        <w:widowControl/>
        <w:ind w:left="720" w:right="720"/>
        <w:rPr>
          <w:szCs w:val="26"/>
        </w:rPr>
      </w:pPr>
      <w:r w:rsidRPr="00C57BDC">
        <w:rPr>
          <w:szCs w:val="26"/>
        </w:rPr>
        <w:t xml:space="preserve">R1. Each Reliability Coordinator shall have data exchange capabilities with its Balancing Authorities and Transmission Operators, and with other entities it deems necessary, for it to perform its Operational Planning Analyses, Real-time monitoring, and Real-time Assessments. </w:t>
      </w:r>
    </w:p>
    <w:p w14:paraId="198B7FB6" w14:textId="77777777" w:rsidR="00144975" w:rsidRPr="00C57BDC" w:rsidRDefault="00144975" w:rsidP="0067456F">
      <w:pPr>
        <w:pStyle w:val="FERCparanumber"/>
        <w:numPr>
          <w:ilvl w:val="0"/>
          <w:numId w:val="0"/>
        </w:numPr>
        <w:spacing w:before="240"/>
      </w:pPr>
      <w:r w:rsidRPr="00C57BDC">
        <w:t>In addition, NERC states that IRO-002-4, Requirement R4 requires “each Reliability Coordinator must have monitoring systems…over a redundant infrastructure.”</w:t>
      </w:r>
      <w:r w:rsidRPr="00C57BDC">
        <w:rPr>
          <w:rStyle w:val="FootnoteReference"/>
        </w:rPr>
        <w:footnoteReference w:id="60"/>
      </w:r>
    </w:p>
    <w:p w14:paraId="17AF2C8E" w14:textId="77777777" w:rsidR="003407DE" w:rsidRPr="00302181" w:rsidRDefault="003407DE" w:rsidP="0067456F">
      <w:pPr>
        <w:pStyle w:val="FERCparanumber"/>
        <w:numPr>
          <w:ilvl w:val="0"/>
          <w:numId w:val="0"/>
        </w:numPr>
        <w:rPr>
          <w:b/>
          <w:u w:val="single"/>
        </w:rPr>
      </w:pPr>
      <w:r w:rsidRPr="00C57BDC">
        <w:tab/>
      </w:r>
      <w:r w:rsidRPr="00302181">
        <w:rPr>
          <w:b/>
          <w:u w:val="single"/>
        </w:rPr>
        <w:t>Commission Proposal</w:t>
      </w:r>
    </w:p>
    <w:p w14:paraId="364D0958" w14:textId="7C13EDE2" w:rsidR="007145A6" w:rsidRPr="00C57BDC" w:rsidRDefault="008A2A1A" w:rsidP="00BE3B2A">
      <w:pPr>
        <w:pStyle w:val="FERCparanumber"/>
        <w:tabs>
          <w:tab w:val="clear" w:pos="810"/>
          <w:tab w:val="num" w:pos="720"/>
        </w:tabs>
        <w:ind w:left="0"/>
      </w:pPr>
      <w:r w:rsidRPr="00C57BDC">
        <w:t>T</w:t>
      </w:r>
      <w:r w:rsidR="00A903A4" w:rsidRPr="00C57BDC">
        <w:t xml:space="preserve">he Commission agrees </w:t>
      </w:r>
      <w:r w:rsidR="0015075C" w:rsidRPr="00C57BDC">
        <w:rPr>
          <w:szCs w:val="26"/>
        </w:rPr>
        <w:t xml:space="preserve">that proposed </w:t>
      </w:r>
      <w:r w:rsidRPr="00C57BDC">
        <w:rPr>
          <w:szCs w:val="26"/>
        </w:rPr>
        <w:t xml:space="preserve">Reliability Standard </w:t>
      </w:r>
      <w:r w:rsidR="0015075C" w:rsidRPr="00C57BDC">
        <w:rPr>
          <w:szCs w:val="26"/>
        </w:rPr>
        <w:t xml:space="preserve">TOP-001-3, Requirements R19 and R20 require </w:t>
      </w:r>
      <w:r w:rsidR="00912A86" w:rsidRPr="00C57BDC">
        <w:rPr>
          <w:szCs w:val="26"/>
        </w:rPr>
        <w:t xml:space="preserve">some form of </w:t>
      </w:r>
      <w:r w:rsidR="0015075C" w:rsidRPr="00C57BDC">
        <w:rPr>
          <w:szCs w:val="26"/>
        </w:rPr>
        <w:t xml:space="preserve">“data exchange capabilities” for the </w:t>
      </w:r>
      <w:r w:rsidR="002D2358" w:rsidRPr="00C57BDC">
        <w:rPr>
          <w:szCs w:val="26"/>
        </w:rPr>
        <w:t xml:space="preserve">transmission operator and balancing authority, </w:t>
      </w:r>
      <w:r w:rsidR="0015075C" w:rsidRPr="00C57BDC">
        <w:rPr>
          <w:szCs w:val="26"/>
        </w:rPr>
        <w:t>respectively</w:t>
      </w:r>
      <w:r w:rsidR="0077121C" w:rsidRPr="00C57BDC">
        <w:rPr>
          <w:szCs w:val="26"/>
        </w:rPr>
        <w:t>, and that proposed Reliability Standard TOP-003-3 addresses the operational data itself needed by the transmission operator and balancing authority</w:t>
      </w:r>
      <w:r w:rsidR="0017653D" w:rsidRPr="00C57BDC">
        <w:rPr>
          <w:szCs w:val="26"/>
        </w:rPr>
        <w:t xml:space="preserve">.  In addition, the Commission agrees that </w:t>
      </w:r>
      <w:r w:rsidR="0015075C" w:rsidRPr="00C57BDC">
        <w:rPr>
          <w:szCs w:val="26"/>
        </w:rPr>
        <w:t xml:space="preserve">Reliability Standard IRO-002-4, Requirement R1 requires “data exchange capabilities” for the </w:t>
      </w:r>
      <w:r w:rsidR="002D2358" w:rsidRPr="00C57BDC">
        <w:rPr>
          <w:szCs w:val="26"/>
        </w:rPr>
        <w:t xml:space="preserve">reliability coordinator </w:t>
      </w:r>
      <w:r w:rsidR="0015075C" w:rsidRPr="00C57BDC">
        <w:rPr>
          <w:szCs w:val="26"/>
        </w:rPr>
        <w:t xml:space="preserve">and that </w:t>
      </w:r>
      <w:r w:rsidR="0077121C" w:rsidRPr="00C57BDC">
        <w:rPr>
          <w:szCs w:val="26"/>
        </w:rPr>
        <w:t xml:space="preserve">proposed Reliability Standard IRO-010-2 addresses the operational data needed by the reliability coordinator.  Further, the Commission agrees that proposed </w:t>
      </w:r>
      <w:r w:rsidR="0017653D" w:rsidRPr="00C57BDC">
        <w:rPr>
          <w:szCs w:val="26"/>
        </w:rPr>
        <w:t xml:space="preserve">Reliability Standard </w:t>
      </w:r>
      <w:r w:rsidR="0015075C" w:rsidRPr="00C57BDC">
        <w:rPr>
          <w:szCs w:val="26"/>
        </w:rPr>
        <w:t xml:space="preserve">IRO-002-4 Requirement R4 requires a redundant infrastructure for system monitoring.  </w:t>
      </w:r>
      <w:r w:rsidR="0015075C" w:rsidRPr="00C57BDC">
        <w:t>However</w:t>
      </w:r>
      <w:r w:rsidR="00A903A4" w:rsidRPr="00C57BDC">
        <w:t xml:space="preserve">, </w:t>
      </w:r>
      <w:r w:rsidR="003652ED" w:rsidRPr="00C57BDC">
        <w:t xml:space="preserve">it is not clear whether </w:t>
      </w:r>
      <w:r w:rsidR="00E6061E" w:rsidRPr="00C57BDC">
        <w:t xml:space="preserve">redundancy and diverse routing </w:t>
      </w:r>
      <w:r w:rsidR="007145A6" w:rsidRPr="00C57BDC">
        <w:t xml:space="preserve">of </w:t>
      </w:r>
      <w:r w:rsidR="00A903A4" w:rsidRPr="00C57BDC">
        <w:t>data exchange capabilities</w:t>
      </w:r>
      <w:r w:rsidR="0077121C" w:rsidRPr="00C57BDC">
        <w:t xml:space="preserve"> (or an equally effective alternative that eliminates the ambiguity of </w:t>
      </w:r>
      <w:r w:rsidR="00E22BB7">
        <w:t>“</w:t>
      </w:r>
      <w:r w:rsidR="0077121C" w:rsidRPr="00C57BDC">
        <w:t>redundancy</w:t>
      </w:r>
      <w:r w:rsidR="00E22BB7">
        <w:t>”</w:t>
      </w:r>
      <w:r w:rsidR="0077121C" w:rsidRPr="00C57BDC">
        <w:t xml:space="preserve"> and </w:t>
      </w:r>
      <w:r w:rsidR="00E22BB7">
        <w:t>“</w:t>
      </w:r>
      <w:r w:rsidR="0077121C" w:rsidRPr="00C57BDC">
        <w:t>diversely routed</w:t>
      </w:r>
      <w:r w:rsidR="00E22BB7">
        <w:t>”</w:t>
      </w:r>
      <w:r w:rsidR="0077121C" w:rsidRPr="00C57BDC">
        <w:t xml:space="preserve">) </w:t>
      </w:r>
      <w:r w:rsidR="003652ED" w:rsidRPr="00C57BDC">
        <w:t xml:space="preserve">are </w:t>
      </w:r>
      <w:r w:rsidR="0015075C" w:rsidRPr="00C57BDC">
        <w:t xml:space="preserve">adequately addressed in </w:t>
      </w:r>
      <w:r w:rsidR="00A903A4" w:rsidRPr="00C57BDC">
        <w:t xml:space="preserve">proposed Reliability Standards TOP-001-3 and IRO-002-4 for the </w:t>
      </w:r>
      <w:r w:rsidR="0015075C" w:rsidRPr="00C57BDC">
        <w:t>reliability coordinator, transmission operator</w:t>
      </w:r>
      <w:r w:rsidR="0015663F" w:rsidRPr="00C57BDC">
        <w:t>,</w:t>
      </w:r>
      <w:r w:rsidR="0015075C" w:rsidRPr="00C57BDC">
        <w:t xml:space="preserve"> and balancing authority.</w:t>
      </w:r>
      <w:r w:rsidR="00A903A4" w:rsidRPr="00C57BDC">
        <w:t xml:space="preserve">  </w:t>
      </w:r>
    </w:p>
    <w:p w14:paraId="446C52EE" w14:textId="1FD066DB" w:rsidR="008A2A1A" w:rsidRPr="00C57BDC" w:rsidRDefault="00912A86" w:rsidP="00BE3B2A">
      <w:pPr>
        <w:pStyle w:val="FERCparanumber"/>
        <w:tabs>
          <w:tab w:val="clear" w:pos="810"/>
          <w:tab w:val="num" w:pos="720"/>
        </w:tabs>
        <w:ind w:left="0"/>
      </w:pPr>
      <w:r w:rsidRPr="00C57BDC">
        <w:t xml:space="preserve">Unlike the approach taken with COM-001-2, which requires redundancy and use of a diverse medium through the </w:t>
      </w:r>
      <w:r w:rsidR="008A2A1A" w:rsidRPr="00C57BDC">
        <w:t>definitions of Interpersonal Communication and Alternative Interperso</w:t>
      </w:r>
      <w:r w:rsidR="007145A6" w:rsidRPr="00C57BDC">
        <w:t>nal Communication</w:t>
      </w:r>
      <w:r w:rsidRPr="00C57BDC">
        <w:t>,</w:t>
      </w:r>
      <w:r w:rsidR="007145A6" w:rsidRPr="00C57BDC">
        <w:t xml:space="preserve"> </w:t>
      </w:r>
      <w:r w:rsidR="008A2A1A" w:rsidRPr="00C57BDC">
        <w:t xml:space="preserve">proposed </w:t>
      </w:r>
      <w:r w:rsidR="007145A6" w:rsidRPr="00C57BDC">
        <w:t xml:space="preserve">Reliability Standards </w:t>
      </w:r>
      <w:r w:rsidR="008A2A1A" w:rsidRPr="00C57BDC">
        <w:t>TOP-001-3 and IRO-002-4 do</w:t>
      </w:r>
      <w:r w:rsidR="004D148B" w:rsidRPr="00C57BDC">
        <w:t xml:space="preserve"> not</w:t>
      </w:r>
      <w:r w:rsidR="008A2A1A" w:rsidRPr="00C57BDC">
        <w:t xml:space="preserve"> </w:t>
      </w:r>
      <w:r w:rsidRPr="00C57BDC">
        <w:t xml:space="preserve">appear to </w:t>
      </w:r>
      <w:r w:rsidR="008A2A1A" w:rsidRPr="00C57BDC">
        <w:t>address redundancy</w:t>
      </w:r>
      <w:r w:rsidR="00DE7079" w:rsidRPr="00C57BDC">
        <w:t xml:space="preserve"> </w:t>
      </w:r>
      <w:r w:rsidR="008A2A1A" w:rsidRPr="00C57BDC">
        <w:t>and diverse routing</w:t>
      </w:r>
      <w:r w:rsidR="00DE7079" w:rsidRPr="00C57BDC">
        <w:t xml:space="preserve"> </w:t>
      </w:r>
      <w:r w:rsidR="008A2A1A" w:rsidRPr="00C57BDC">
        <w:t xml:space="preserve">of data exchange capabilities.  </w:t>
      </w:r>
      <w:r w:rsidR="00AB1882" w:rsidRPr="00C57BDC">
        <w:t>While Reliability</w:t>
      </w:r>
      <w:r w:rsidR="008A2A1A" w:rsidRPr="00C57BDC">
        <w:t xml:space="preserve"> Standard IRO-002-4, Requirement R4</w:t>
      </w:r>
      <w:r w:rsidR="00F9542F" w:rsidRPr="00C57BDC">
        <w:t xml:space="preserve"> </w:t>
      </w:r>
      <w:r w:rsidR="00AB1882" w:rsidRPr="00C57BDC">
        <w:t xml:space="preserve">requires reliability coordinators to have a redundant infrastructure for system monitoring, </w:t>
      </w:r>
      <w:r w:rsidR="00F9542F" w:rsidRPr="00C57BDC">
        <w:t xml:space="preserve">it is not clear whether </w:t>
      </w:r>
      <w:r w:rsidR="00E22BB7">
        <w:t>this requirement</w:t>
      </w:r>
      <w:r w:rsidR="00AB1882" w:rsidRPr="00C57BDC">
        <w:t xml:space="preserve"> addresses </w:t>
      </w:r>
      <w:r w:rsidR="00A903A4" w:rsidRPr="00C57BDC">
        <w:t>redund</w:t>
      </w:r>
      <w:r w:rsidR="004D148B" w:rsidRPr="00C57BDC">
        <w:t xml:space="preserve">ancy and diverse routing </w:t>
      </w:r>
      <w:r w:rsidR="00AB1882" w:rsidRPr="00C57BDC">
        <w:t xml:space="preserve">of other forms of </w:t>
      </w:r>
      <w:r w:rsidR="00A903A4" w:rsidRPr="00C57BDC">
        <w:t>data exchange capabilities</w:t>
      </w:r>
      <w:r w:rsidR="004D148B" w:rsidRPr="00C57BDC">
        <w:t xml:space="preserve">.  For example, a redundant infrastructure used for system monitoring could be a subset of the total data exchange capabilities used by reliability coordinators and not include redundant infrastructure for capabilities such as control of equipment or real-time assessments. </w:t>
      </w:r>
      <w:r w:rsidR="00166733" w:rsidRPr="00C57BDC">
        <w:t xml:space="preserve"> </w:t>
      </w:r>
      <w:r w:rsidR="008A2A1A" w:rsidRPr="00C57BDC">
        <w:t>The</w:t>
      </w:r>
      <w:r w:rsidR="00D962A4" w:rsidRPr="00C57BDC">
        <w:t xml:space="preserve"> </w:t>
      </w:r>
      <w:r w:rsidR="008A2A1A" w:rsidRPr="00C57BDC">
        <w:t xml:space="preserve">Commission seeks explanation or clarification from NERC whether and how the </w:t>
      </w:r>
      <w:r w:rsidR="00385BC0" w:rsidRPr="00C57BDC">
        <w:t>proposed Reliability S</w:t>
      </w:r>
      <w:r w:rsidR="008A2A1A" w:rsidRPr="00C57BDC">
        <w:t xml:space="preserve">tandards </w:t>
      </w:r>
      <w:r w:rsidR="00385BC0" w:rsidRPr="00C57BDC">
        <w:t>in the immediate proceeding address</w:t>
      </w:r>
      <w:r w:rsidR="008A2A1A" w:rsidRPr="00C57BDC">
        <w:t xml:space="preserve"> redundancy and diverse routing</w:t>
      </w:r>
      <w:r w:rsidR="0077121C" w:rsidRPr="00C57BDC">
        <w:t xml:space="preserve"> or an equally effective alternative to redundancy and diverse routing</w:t>
      </w:r>
      <w:r w:rsidR="00385BC0" w:rsidRPr="00C57BDC">
        <w:t xml:space="preserve">.  </w:t>
      </w:r>
      <w:r w:rsidR="0077121C" w:rsidRPr="00C57BDC">
        <w:t>Further, if NERC or others believe that redundancy and diverse routing are not addressed, we seek comment on whether there are associated reliability risks of the interconnected transmission network for any failure of data exchange capabilities that are not redundant and diversely routed.</w:t>
      </w:r>
      <w:r w:rsidR="006C138B" w:rsidRPr="00C57BDC">
        <w:t xml:space="preserve">  </w:t>
      </w:r>
    </w:p>
    <w:p w14:paraId="0AB645C3" w14:textId="663BBFB8" w:rsidR="00A903A4" w:rsidRPr="006570CE" w:rsidRDefault="00A903A4" w:rsidP="00302181">
      <w:pPr>
        <w:pStyle w:val="Heading8"/>
        <w:tabs>
          <w:tab w:val="clear" w:pos="2736"/>
          <w:tab w:val="num" w:pos="3600"/>
        </w:tabs>
        <w:ind w:left="3600" w:hanging="720"/>
      </w:pPr>
      <w:r w:rsidRPr="006570CE">
        <w:t>Testing of the Alternate or Less Frequently Used Data Exchange Capability</w:t>
      </w:r>
    </w:p>
    <w:p w14:paraId="0D9F0064" w14:textId="453A11D5" w:rsidR="003407DE" w:rsidRPr="00302181" w:rsidRDefault="003407DE" w:rsidP="0067456F">
      <w:pPr>
        <w:pStyle w:val="FERCparanumber"/>
        <w:numPr>
          <w:ilvl w:val="0"/>
          <w:numId w:val="0"/>
        </w:numPr>
        <w:rPr>
          <w:b/>
          <w:u w:val="single"/>
        </w:rPr>
      </w:pPr>
      <w:r w:rsidRPr="00C57BDC">
        <w:tab/>
      </w:r>
      <w:r w:rsidRPr="00302181">
        <w:rPr>
          <w:b/>
          <w:u w:val="single"/>
        </w:rPr>
        <w:t>NERC P</w:t>
      </w:r>
      <w:r w:rsidR="00B34963" w:rsidRPr="00302181">
        <w:rPr>
          <w:b/>
          <w:u w:val="single"/>
        </w:rPr>
        <w:t>etition</w:t>
      </w:r>
    </w:p>
    <w:p w14:paraId="27DEB8CC" w14:textId="1906A3E5" w:rsidR="003359AF" w:rsidRPr="00C57BDC" w:rsidRDefault="00BC1CCB" w:rsidP="00BE3B2A">
      <w:pPr>
        <w:pStyle w:val="FERCparanumber"/>
        <w:tabs>
          <w:tab w:val="clear" w:pos="810"/>
          <w:tab w:val="num" w:pos="720"/>
        </w:tabs>
        <w:ind w:left="0"/>
        <w:rPr>
          <w:b/>
        </w:rPr>
      </w:pPr>
      <w:r w:rsidRPr="00C57BDC">
        <w:t xml:space="preserve">Reliability Standard </w:t>
      </w:r>
      <w:r w:rsidR="00D10329" w:rsidRPr="00C57BDC">
        <w:t>COM-001-2, Requirement R</w:t>
      </w:r>
      <w:r w:rsidR="001274FC" w:rsidRPr="00C57BDC">
        <w:t xml:space="preserve">9 </w:t>
      </w:r>
      <w:r w:rsidR="00F23794" w:rsidRPr="00C57BDC">
        <w:t xml:space="preserve">(approved in Order No. 808) </w:t>
      </w:r>
      <w:r w:rsidR="001274FC" w:rsidRPr="00C57BDC">
        <w:t xml:space="preserve">requires each reliability coordinator, transmission operator and balancing authority </w:t>
      </w:r>
      <w:r w:rsidR="00D004A1">
        <w:t xml:space="preserve">to </w:t>
      </w:r>
      <w:r w:rsidR="001274FC" w:rsidRPr="00C57BDC">
        <w:t>test its Alternative Interpersonal Communication capability at least once each calendar month</w:t>
      </w:r>
      <w:r w:rsidR="00750279" w:rsidRPr="00C57BDC">
        <w:t xml:space="preserve"> and to initiate action to repair or designate a replacement Alternative Interpersonal Communication capability</w:t>
      </w:r>
      <w:r w:rsidR="001274FC" w:rsidRPr="00C57BDC">
        <w:t>.</w:t>
      </w:r>
      <w:r w:rsidR="001274FC" w:rsidRPr="00C57BDC">
        <w:rPr>
          <w:rStyle w:val="FootnoteReference"/>
        </w:rPr>
        <w:footnoteReference w:id="61"/>
      </w:r>
      <w:r w:rsidR="00814311" w:rsidRPr="00C57BDC">
        <w:t xml:space="preserve">  </w:t>
      </w:r>
    </w:p>
    <w:p w14:paraId="266433FE" w14:textId="77777777" w:rsidR="00814311" w:rsidRPr="00C57BDC" w:rsidRDefault="00D962A4" w:rsidP="00BE3B2A">
      <w:pPr>
        <w:pStyle w:val="FERCparanumber"/>
        <w:tabs>
          <w:tab w:val="clear" w:pos="810"/>
          <w:tab w:val="num" w:pos="720"/>
        </w:tabs>
        <w:ind w:left="0"/>
        <w:rPr>
          <w:b/>
        </w:rPr>
      </w:pPr>
      <w:r w:rsidRPr="00C57BDC">
        <w:t>As noted above, p</w:t>
      </w:r>
      <w:r w:rsidR="006312F4" w:rsidRPr="00C57BDC">
        <w:t>roposed Reliability Standards TOP-001-3, Requirements R19 and R20 and IRO-002-4, Requirement R1 address primary data exchange capabilities of</w:t>
      </w:r>
      <w:r w:rsidR="00BC1CCB" w:rsidRPr="00C57BDC">
        <w:t xml:space="preserve"> </w:t>
      </w:r>
      <w:r w:rsidR="006312F4" w:rsidRPr="00C57BDC">
        <w:t xml:space="preserve">the </w:t>
      </w:r>
      <w:r w:rsidRPr="00C57BDC">
        <w:t>transmission operator, balancing authority and reliability coordinator,</w:t>
      </w:r>
      <w:r w:rsidR="006312F4" w:rsidRPr="00C57BDC">
        <w:t xml:space="preserve"> respectively. </w:t>
      </w:r>
      <w:r w:rsidR="00AB1882" w:rsidRPr="00C57BDC">
        <w:t xml:space="preserve"> However, the proposed TOP and IRO Reliability Standards do not appear to address testing requirements of alternative or less frequently used data exchange capabilities.</w:t>
      </w:r>
      <w:r w:rsidR="006312F4" w:rsidRPr="00C57BDC">
        <w:t xml:space="preserve"> </w:t>
      </w:r>
      <w:r w:rsidR="003407DE" w:rsidRPr="00C57BDC">
        <w:tab/>
      </w:r>
    </w:p>
    <w:p w14:paraId="6D2B4E7E" w14:textId="77777777" w:rsidR="003407DE" w:rsidRPr="00302181" w:rsidRDefault="00814311" w:rsidP="00814311">
      <w:pPr>
        <w:pStyle w:val="FERCparanumber"/>
        <w:numPr>
          <w:ilvl w:val="0"/>
          <w:numId w:val="0"/>
        </w:numPr>
        <w:rPr>
          <w:b/>
          <w:u w:val="single"/>
        </w:rPr>
      </w:pPr>
      <w:r w:rsidRPr="00C57BDC">
        <w:tab/>
      </w:r>
      <w:r w:rsidR="003407DE" w:rsidRPr="00302181">
        <w:rPr>
          <w:b/>
          <w:u w:val="single"/>
        </w:rPr>
        <w:t>Commission Proposal</w:t>
      </w:r>
    </w:p>
    <w:p w14:paraId="0B935B7E" w14:textId="4A866428" w:rsidR="003407DE" w:rsidRPr="00C57BDC" w:rsidRDefault="00076DA1" w:rsidP="00BE3B2A">
      <w:pPr>
        <w:pStyle w:val="FERCparanumber"/>
        <w:tabs>
          <w:tab w:val="clear" w:pos="810"/>
          <w:tab w:val="num" w:pos="720"/>
        </w:tabs>
        <w:ind w:left="0"/>
      </w:pPr>
      <w:r w:rsidRPr="00C57BDC">
        <w:t xml:space="preserve">The Commission is concerned that </w:t>
      </w:r>
      <w:r w:rsidR="00A903A4" w:rsidRPr="00C57BDC">
        <w:t xml:space="preserve">the proposed TOP and IRO Reliability Standards </w:t>
      </w:r>
      <w:r w:rsidRPr="00C57BDC">
        <w:t xml:space="preserve">do </w:t>
      </w:r>
      <w:r w:rsidR="00912A86" w:rsidRPr="00C57BDC">
        <w:t xml:space="preserve">not appear to address testing requirements for alternative or less frequently used mediums for data exchange to ensure they would properly function in the event that the primary or more frequently used data exchange capabilities failed.  </w:t>
      </w:r>
      <w:r w:rsidRPr="00C57BDC">
        <w:t xml:space="preserve">The Commission seeks comment on whether and how the TOP and IRO Reliability Standards </w:t>
      </w:r>
      <w:r w:rsidR="002E1E0F" w:rsidRPr="00C57BDC">
        <w:t xml:space="preserve">address the </w:t>
      </w:r>
      <w:r w:rsidRPr="00C57BDC">
        <w:t xml:space="preserve">testing of </w:t>
      </w:r>
      <w:r w:rsidR="00AB1882" w:rsidRPr="00C57BDC">
        <w:t xml:space="preserve">alternative or less frequently used </w:t>
      </w:r>
      <w:r w:rsidRPr="00C57BDC">
        <w:t xml:space="preserve">data exchange capabilities for the </w:t>
      </w:r>
      <w:r w:rsidR="00D962A4" w:rsidRPr="00C57BDC">
        <w:t>transmission operator, balancing authority and reliability coordinator</w:t>
      </w:r>
      <w:r w:rsidR="002E1E0F" w:rsidRPr="00C57BDC">
        <w:t xml:space="preserve">.  If NERC or others believe that testing requirements for alternative or less frequently used mediums for data exchange is not necessary, we seek comment on </w:t>
      </w:r>
      <w:r w:rsidRPr="00C57BDC">
        <w:t xml:space="preserve">why it is not necessary.  </w:t>
      </w:r>
    </w:p>
    <w:p w14:paraId="4D5C2168" w14:textId="1B26028C" w:rsidR="00965DEA" w:rsidRPr="00C57BDC" w:rsidRDefault="00DB7C08" w:rsidP="004540CB">
      <w:pPr>
        <w:pStyle w:val="Heading1"/>
        <w:numPr>
          <w:ilvl w:val="0"/>
          <w:numId w:val="13"/>
        </w:numPr>
        <w:ind w:left="0" w:firstLine="0"/>
      </w:pPr>
      <w:r w:rsidRPr="00C57BDC">
        <w:t xml:space="preserve"> </w:t>
      </w:r>
      <w:r w:rsidR="00965DEA" w:rsidRPr="00C57BDC">
        <w:t>Information Collection Statement</w:t>
      </w:r>
    </w:p>
    <w:p w14:paraId="6F30EE40" w14:textId="0FA23045" w:rsidR="00C57BDC" w:rsidRPr="00C57BDC" w:rsidRDefault="00C57BDC" w:rsidP="00C57BDC">
      <w:pPr>
        <w:pStyle w:val="StyleFERCparanumberLinespacingDouble"/>
        <w:numPr>
          <w:ilvl w:val="0"/>
          <w:numId w:val="1"/>
        </w:numPr>
        <w:tabs>
          <w:tab w:val="clear" w:pos="810"/>
        </w:tabs>
        <w:ind w:left="0"/>
      </w:pPr>
      <w:r w:rsidRPr="00C57BDC">
        <w:t>The collection of information contained in this Notice of Proposed Rulemaking is subject to review by the Office of Management and Budget (OMB) regulations under section 3507(d) of the Paperwork Reduction Act of 1995 (PRA).</w:t>
      </w:r>
      <w:r w:rsidRPr="00C57BDC">
        <w:rPr>
          <w:rStyle w:val="FootnoteReference"/>
        </w:rPr>
        <w:footnoteReference w:id="62"/>
      </w:r>
      <w:r w:rsidRPr="00C57BDC">
        <w:t xml:space="preserve">  OMB’s regulations require approval of certain informational collection requirements imposed by agency rules.</w:t>
      </w:r>
      <w:r w:rsidRPr="00C57BDC">
        <w:rPr>
          <w:rStyle w:val="FootnoteReference"/>
        </w:rPr>
        <w:footnoteReference w:id="63"/>
      </w:r>
      <w:r w:rsidRPr="00C57BDC">
        <w:t xml:space="preserve">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  </w:t>
      </w:r>
    </w:p>
    <w:p w14:paraId="4330F27B" w14:textId="77777777" w:rsidR="00C57BDC" w:rsidRPr="00C57BDC" w:rsidRDefault="00C57BDC" w:rsidP="00C57BDC">
      <w:pPr>
        <w:pStyle w:val="FERCparanumber"/>
        <w:tabs>
          <w:tab w:val="clear" w:pos="810"/>
          <w:tab w:val="num" w:pos="720"/>
        </w:tabs>
        <w:autoSpaceDE/>
        <w:autoSpaceDN/>
        <w:adjustRightInd/>
        <w:ind w:left="0"/>
      </w:pPr>
      <w:r w:rsidRPr="00C57BDC">
        <w:t>We solicit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Specifically, the Commission asks that any revised burden or cost estimates submitted by commenters be supported by sufficient detail to understand how the estimates are generated.</w:t>
      </w:r>
    </w:p>
    <w:p w14:paraId="47D326D5" w14:textId="404E6AB1" w:rsidR="00C57BDC" w:rsidRPr="00C57BDC" w:rsidRDefault="00C57BDC" w:rsidP="00C57BDC">
      <w:pPr>
        <w:pStyle w:val="FERCparanumber"/>
        <w:numPr>
          <w:ilvl w:val="0"/>
          <w:numId w:val="0"/>
        </w:numPr>
        <w:autoSpaceDE/>
        <w:autoSpaceDN/>
        <w:adjustRightInd/>
      </w:pPr>
      <w:r w:rsidRPr="00C57BDC">
        <w:rPr>
          <w:u w:val="single"/>
        </w:rPr>
        <w:t>Public Reporting Burden</w:t>
      </w:r>
      <w:r w:rsidRPr="00C57BDC">
        <w:t xml:space="preserve">:  The Commission proposes to </w:t>
      </w:r>
      <w:r w:rsidRPr="00C57BDC">
        <w:rPr>
          <w:szCs w:val="26"/>
        </w:rPr>
        <w:t xml:space="preserve">approve revisions to the Transmission Operations and </w:t>
      </w:r>
      <w:r w:rsidRPr="00C57BDC">
        <w:rPr>
          <w:bCs/>
          <w:color w:val="000000"/>
          <w:szCs w:val="26"/>
          <w:shd w:val="clear" w:color="auto" w:fill="FFFFFF"/>
        </w:rPr>
        <w:t>Interconnection Reliability Operations and Coordination Reliability Standards</w:t>
      </w:r>
      <w:r w:rsidRPr="00C57BDC">
        <w:t>.  These revisions will impose new</w:t>
      </w:r>
      <w:r w:rsidR="00D004A1">
        <w:t xml:space="preserve"> or</w:t>
      </w:r>
      <w:r w:rsidRPr="00C57BDC">
        <w:t xml:space="preserve"> revised</w:t>
      </w:r>
      <w:r w:rsidR="00D004A1">
        <w:t>,</w:t>
      </w:r>
      <w:r w:rsidRPr="00C57BDC">
        <w:t xml:space="preserve"> or retire requirements for the balancing authority, transmission operator, generator operator, distribution provider, generator owner, load-serving entity, purchas</w:t>
      </w:r>
      <w:r w:rsidR="00D004A1">
        <w:t>ing</w:t>
      </w:r>
      <w:r w:rsidRPr="00C57BDC">
        <w:t>-selling entit</w:t>
      </w:r>
      <w:r w:rsidR="00D004A1">
        <w:t>y</w:t>
      </w:r>
      <w:r w:rsidRPr="00C57BDC">
        <w:t>, transmission service provider, interchange authority, transmission owner, reliability coordinator, planning coordinator, and transmission planner</w:t>
      </w:r>
      <w:r w:rsidR="00D004A1">
        <w:t xml:space="preserve"> functions</w:t>
      </w:r>
      <w:r w:rsidRPr="00C57BDC">
        <w:t>.  The Commission based its paperwork burden estimates on the NERC compliance registry as of May 15, 2015.  According to the registry, there are 11 reliability coordinators, 99 balancing authorities, 450 distribution providers, 839 generator operators, 80 purchasing-selling entities,</w:t>
      </w:r>
      <w:r w:rsidR="006570CE">
        <w:t xml:space="preserve">       </w:t>
      </w:r>
      <w:r w:rsidRPr="00C57BDC">
        <w:t>446 load-serving entities, 886 generator owners, 320 transmission owners, 24 interchange authorities, 75 transmission service provid</w:t>
      </w:r>
      <w:r w:rsidR="006570CE">
        <w:t xml:space="preserve">ers, 68 planning coordinators, </w:t>
      </w:r>
      <w:r w:rsidRPr="00C57BDC">
        <w:t xml:space="preserve">175 transmission planners and 171 transmission operators.  The estimates are based on the change in burden from the current standards to the proposed.  Not all entity types </w:t>
      </w:r>
      <w:r w:rsidR="00D004A1">
        <w:t>would experience</w:t>
      </w:r>
      <w:r w:rsidRPr="00C57BDC">
        <w:t xml:space="preserve"> an increase in burden</w:t>
      </w:r>
      <w:r w:rsidR="00D004A1">
        <w:t>,</w:t>
      </w:r>
      <w:r w:rsidRPr="00C57BDC">
        <w:t xml:space="preserve"> which is reflected by </w:t>
      </w:r>
      <w:r w:rsidR="00D004A1">
        <w:t xml:space="preserve">absence of </w:t>
      </w:r>
      <w:r w:rsidRPr="00C57BDC">
        <w:t xml:space="preserve">those entities </w:t>
      </w:r>
      <w:r w:rsidR="00D004A1">
        <w:t xml:space="preserve">from </w:t>
      </w:r>
      <w:r w:rsidRPr="00C57BDC">
        <w:t xml:space="preserve">the </w:t>
      </w:r>
      <w:r w:rsidR="00D004A1">
        <w:t xml:space="preserve">chart </w:t>
      </w:r>
      <w:r w:rsidRPr="00C57BDC">
        <w:t xml:space="preserve">below.  </w:t>
      </w:r>
    </w:p>
    <w:p w14:paraId="0A85A488" w14:textId="2DC793D2" w:rsidR="001474DF" w:rsidRDefault="00C57BDC" w:rsidP="00C57BDC">
      <w:pPr>
        <w:pStyle w:val="FERCparanumber"/>
        <w:numPr>
          <w:ilvl w:val="0"/>
          <w:numId w:val="0"/>
        </w:numPr>
        <w:tabs>
          <w:tab w:val="left" w:pos="720"/>
        </w:tabs>
      </w:pPr>
      <w:r w:rsidRPr="00C57BDC">
        <w:t>Collectively, the proposed TOP and IRO Reliability Standards along with revised definitions provide for certain enhancements over the currently-effective TOP and IRO Reliability Standards.</w:t>
      </w:r>
      <w:r w:rsidRPr="00C57BDC">
        <w:rPr>
          <w:rStyle w:val="FootnoteReference"/>
        </w:rPr>
        <w:footnoteReference w:id="64"/>
      </w:r>
      <w:r w:rsidRPr="00C57BDC">
        <w:t xml:space="preserve">  For example, the revised definitions of operational planning analysis and real-time assessment, which are applicable to multiple proposed TOP and IRO Reliability Standards, were enhanced and provide significant additional detail over the currently-effective definitions such as including inputs that were identified as contributing to past outages on the bulk electric system.</w:t>
      </w:r>
      <w:r w:rsidRPr="00C57BDC">
        <w:rPr>
          <w:rStyle w:val="FootnoteReference"/>
        </w:rPr>
        <w:footnoteReference w:id="65"/>
      </w:r>
      <w:r w:rsidRPr="00C57BDC">
        <w:rPr>
          <w:rStyle w:val="FootnoteReference"/>
        </w:rPr>
        <w:t xml:space="preserve"> </w:t>
      </w:r>
      <w:r w:rsidRPr="00C57BDC">
        <w:t xml:space="preserve"> As another example, the new proposed Reliability Standard IRO-017-1 establishes operational planning requirements for each reliability coordinator to implement an outage coordination process for its area that address a reliability gap identified in the Southwest Outage </w:t>
      </w:r>
      <w:r w:rsidR="00785DE5">
        <w:t xml:space="preserve">Blackout </w:t>
      </w:r>
      <w:r w:rsidRPr="00C57BDC">
        <w:t>Report and in the Remand NOPR.</w:t>
      </w:r>
      <w:r w:rsidRPr="00C57BDC">
        <w:rPr>
          <w:rStyle w:val="FootnoteReference"/>
        </w:rPr>
        <w:footnoteReference w:id="66"/>
      </w:r>
      <w:r w:rsidRPr="00C57BDC">
        <w:t xml:space="preserve">  The Commission estimates the annual reporting burden and cost as follows:  </w:t>
      </w:r>
    </w:p>
    <w:p w14:paraId="5C7EB1C9" w14:textId="77777777" w:rsidR="001474DF" w:rsidRDefault="001474DF">
      <w:pPr>
        <w:widowControl/>
        <w:autoSpaceDE/>
        <w:autoSpaceDN/>
        <w:adjustRightInd/>
      </w:pPr>
      <w:r>
        <w:br w:type="page"/>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393"/>
        <w:gridCol w:w="1258"/>
        <w:gridCol w:w="1192"/>
        <w:gridCol w:w="1342"/>
        <w:gridCol w:w="1521"/>
        <w:gridCol w:w="1258"/>
      </w:tblGrid>
      <w:tr w:rsidR="00C57BDC" w:rsidRPr="00C57BDC" w14:paraId="56D13A88" w14:textId="77777777" w:rsidTr="00C57BDC">
        <w:trPr>
          <w:cantSplit/>
        </w:trPr>
        <w:tc>
          <w:tcPr>
            <w:tcW w:w="5000" w:type="pct"/>
            <w:gridSpan w:val="7"/>
            <w:tcBorders>
              <w:bottom w:val="single" w:sz="4" w:space="0" w:color="auto"/>
            </w:tcBorders>
            <w:shd w:val="clear" w:color="auto" w:fill="D9D9D9"/>
          </w:tcPr>
          <w:p w14:paraId="44059F24" w14:textId="77777777" w:rsidR="00C57BDC" w:rsidRPr="00C57BDC" w:rsidRDefault="00C57BDC" w:rsidP="00C57BDC">
            <w:pPr>
              <w:jc w:val="center"/>
              <w:rPr>
                <w:szCs w:val="26"/>
              </w:rPr>
            </w:pPr>
            <w:r w:rsidRPr="00C57BDC">
              <w:rPr>
                <w:rFonts w:eastAsia="Calibri"/>
              </w:rPr>
              <w:t>RM15-16-000 (</w:t>
            </w:r>
            <w:r w:rsidRPr="00C57BDC">
              <w:rPr>
                <w:szCs w:val="26"/>
              </w:rPr>
              <w:t>Transmission Operations Reliability Standards,</w:t>
            </w:r>
          </w:p>
          <w:p w14:paraId="26B70896" w14:textId="77777777" w:rsidR="00C57BDC" w:rsidRPr="00C57BDC" w:rsidRDefault="00C57BDC" w:rsidP="00C57BDC">
            <w:pPr>
              <w:pStyle w:val="FERCparanumber"/>
              <w:numPr>
                <w:ilvl w:val="0"/>
                <w:numId w:val="0"/>
              </w:numPr>
              <w:jc w:val="center"/>
              <w:rPr>
                <w:rFonts w:eastAsia="Calibri"/>
              </w:rPr>
            </w:pPr>
            <w:r w:rsidRPr="00C57BDC">
              <w:rPr>
                <w:szCs w:val="26"/>
              </w:rPr>
              <w:t>Interconnection Reliability Operations and Coordination Reliability Standards</w:t>
            </w:r>
            <w:r w:rsidRPr="00C57BDC">
              <w:rPr>
                <w:rFonts w:eastAsia="Calibri"/>
              </w:rPr>
              <w:t>)</w:t>
            </w:r>
          </w:p>
        </w:tc>
      </w:tr>
      <w:tr w:rsidR="00C57BDC" w:rsidRPr="00C57BDC" w14:paraId="414A7726" w14:textId="77777777" w:rsidTr="001474DF">
        <w:trPr>
          <w:cantSplit/>
        </w:trPr>
        <w:tc>
          <w:tcPr>
            <w:tcW w:w="911" w:type="pct"/>
            <w:shd w:val="clear" w:color="auto" w:fill="D9D9D9"/>
          </w:tcPr>
          <w:p w14:paraId="33BF5DA8" w14:textId="77777777" w:rsidR="00C57BDC" w:rsidRPr="00C57BDC" w:rsidRDefault="00C57BDC" w:rsidP="00C57BDC">
            <w:pPr>
              <w:jc w:val="center"/>
              <w:rPr>
                <w:rFonts w:eastAsia="Calibri"/>
                <w:b/>
                <w:sz w:val="20"/>
                <w:szCs w:val="20"/>
              </w:rPr>
            </w:pPr>
          </w:p>
        </w:tc>
        <w:tc>
          <w:tcPr>
            <w:tcW w:w="715" w:type="pct"/>
            <w:shd w:val="clear" w:color="auto" w:fill="D9D9D9"/>
            <w:vAlign w:val="bottom"/>
          </w:tcPr>
          <w:p w14:paraId="4F78BF3C" w14:textId="77777777" w:rsidR="00C57BDC" w:rsidRPr="00C57BDC" w:rsidRDefault="00C57BDC" w:rsidP="00C57BDC">
            <w:pPr>
              <w:jc w:val="center"/>
              <w:rPr>
                <w:rFonts w:eastAsia="Calibri"/>
                <w:b/>
                <w:sz w:val="20"/>
                <w:szCs w:val="20"/>
              </w:rPr>
            </w:pPr>
            <w:r w:rsidRPr="00C57BDC">
              <w:rPr>
                <w:rFonts w:eastAsia="Calibri"/>
                <w:b/>
                <w:sz w:val="20"/>
                <w:szCs w:val="20"/>
              </w:rPr>
              <w:t>Number of Respondents</w:t>
            </w:r>
            <w:r w:rsidRPr="00C57BDC">
              <w:rPr>
                <w:rStyle w:val="FootnoteReference"/>
                <w:rFonts w:eastAsia="Calibri"/>
              </w:rPr>
              <w:footnoteReference w:id="67"/>
            </w:r>
            <w:r w:rsidRPr="00C57BDC">
              <w:rPr>
                <w:rFonts w:eastAsia="Calibri"/>
                <w:b/>
                <w:sz w:val="20"/>
                <w:szCs w:val="20"/>
              </w:rPr>
              <w:br/>
              <w:t>(1)</w:t>
            </w:r>
          </w:p>
        </w:tc>
        <w:tc>
          <w:tcPr>
            <w:tcW w:w="646" w:type="pct"/>
            <w:shd w:val="clear" w:color="auto" w:fill="D9D9D9"/>
            <w:vAlign w:val="bottom"/>
          </w:tcPr>
          <w:p w14:paraId="664D4C64" w14:textId="77777777" w:rsidR="00C57BDC" w:rsidRPr="00C57BDC" w:rsidRDefault="00C57BDC" w:rsidP="00C57BDC">
            <w:pPr>
              <w:jc w:val="center"/>
              <w:rPr>
                <w:rFonts w:eastAsia="Calibri"/>
                <w:b/>
                <w:sz w:val="20"/>
                <w:szCs w:val="20"/>
              </w:rPr>
            </w:pPr>
            <w:r w:rsidRPr="00C57BDC">
              <w:rPr>
                <w:rFonts w:eastAsia="Calibri"/>
                <w:b/>
                <w:sz w:val="20"/>
                <w:szCs w:val="20"/>
              </w:rPr>
              <w:t>Annual Number of Responses per Respondent</w:t>
            </w:r>
          </w:p>
          <w:p w14:paraId="3E78923D" w14:textId="77777777" w:rsidR="00C57BDC" w:rsidRPr="00C57BDC" w:rsidRDefault="00C57BDC" w:rsidP="00C57BDC">
            <w:pPr>
              <w:jc w:val="center"/>
              <w:rPr>
                <w:rFonts w:eastAsia="Calibri"/>
                <w:b/>
                <w:sz w:val="20"/>
                <w:szCs w:val="20"/>
              </w:rPr>
            </w:pPr>
            <w:r w:rsidRPr="00C57BDC">
              <w:rPr>
                <w:rFonts w:eastAsia="Calibri"/>
                <w:b/>
                <w:sz w:val="20"/>
                <w:szCs w:val="20"/>
              </w:rPr>
              <w:t>(2)</w:t>
            </w:r>
          </w:p>
        </w:tc>
        <w:tc>
          <w:tcPr>
            <w:tcW w:w="612" w:type="pct"/>
            <w:shd w:val="clear" w:color="auto" w:fill="D9D9D9"/>
            <w:vAlign w:val="bottom"/>
          </w:tcPr>
          <w:p w14:paraId="328EF5F1" w14:textId="77777777" w:rsidR="00C57BDC" w:rsidRPr="00C57BDC" w:rsidRDefault="00C57BDC" w:rsidP="00C57BDC">
            <w:pPr>
              <w:jc w:val="center"/>
              <w:rPr>
                <w:rFonts w:eastAsia="Calibri"/>
                <w:b/>
                <w:sz w:val="20"/>
                <w:szCs w:val="20"/>
              </w:rPr>
            </w:pPr>
            <w:r w:rsidRPr="00C57BDC">
              <w:rPr>
                <w:rFonts w:eastAsia="Calibri"/>
                <w:b/>
                <w:sz w:val="20"/>
                <w:szCs w:val="20"/>
              </w:rPr>
              <w:t>Total Number of Responses (1)*(2)=(3)</w:t>
            </w:r>
          </w:p>
        </w:tc>
        <w:tc>
          <w:tcPr>
            <w:tcW w:w="689" w:type="pct"/>
            <w:shd w:val="clear" w:color="auto" w:fill="D9D9D9"/>
            <w:vAlign w:val="bottom"/>
          </w:tcPr>
          <w:p w14:paraId="317DF8D7" w14:textId="77777777" w:rsidR="00C57BDC" w:rsidRPr="00C57BDC" w:rsidRDefault="00C57BDC" w:rsidP="00C57BDC">
            <w:pPr>
              <w:jc w:val="center"/>
              <w:rPr>
                <w:rFonts w:eastAsia="Calibri"/>
                <w:b/>
                <w:sz w:val="20"/>
                <w:szCs w:val="20"/>
              </w:rPr>
            </w:pPr>
            <w:r w:rsidRPr="00C57BDC">
              <w:rPr>
                <w:rFonts w:eastAsia="Calibri"/>
                <w:b/>
                <w:sz w:val="20"/>
                <w:szCs w:val="20"/>
              </w:rPr>
              <w:t>Average Burden &amp; Cost Per Response</w:t>
            </w:r>
            <w:bookmarkStart w:id="3" w:name="_Ref419369111"/>
            <w:r w:rsidRPr="00C57BDC">
              <w:rPr>
                <w:rStyle w:val="FootnoteReference"/>
                <w:rFonts w:eastAsia="Calibri"/>
              </w:rPr>
              <w:footnoteReference w:id="68"/>
            </w:r>
            <w:bookmarkEnd w:id="3"/>
          </w:p>
          <w:p w14:paraId="48C02539" w14:textId="77777777" w:rsidR="00C57BDC" w:rsidRPr="00C57BDC" w:rsidRDefault="00C57BDC" w:rsidP="00C57BDC">
            <w:pPr>
              <w:jc w:val="center"/>
              <w:rPr>
                <w:rFonts w:eastAsia="Calibri"/>
                <w:b/>
                <w:sz w:val="20"/>
                <w:szCs w:val="20"/>
              </w:rPr>
            </w:pPr>
            <w:r w:rsidRPr="00C57BDC">
              <w:rPr>
                <w:rFonts w:eastAsia="Calibri"/>
                <w:b/>
                <w:sz w:val="20"/>
                <w:szCs w:val="20"/>
              </w:rPr>
              <w:t>(4)</w:t>
            </w:r>
          </w:p>
        </w:tc>
        <w:tc>
          <w:tcPr>
            <w:tcW w:w="781" w:type="pct"/>
            <w:shd w:val="clear" w:color="auto" w:fill="D9D9D9"/>
            <w:vAlign w:val="bottom"/>
          </w:tcPr>
          <w:p w14:paraId="0E60E2BD" w14:textId="77777777" w:rsidR="00C57BDC" w:rsidRPr="00C57BDC" w:rsidRDefault="00C57BDC" w:rsidP="00C57BDC">
            <w:pPr>
              <w:jc w:val="center"/>
              <w:rPr>
                <w:rFonts w:eastAsia="Calibri"/>
                <w:b/>
                <w:sz w:val="20"/>
                <w:szCs w:val="20"/>
              </w:rPr>
            </w:pPr>
            <w:r w:rsidRPr="00C57BDC">
              <w:rPr>
                <w:rFonts w:eastAsia="Calibri"/>
                <w:b/>
                <w:sz w:val="20"/>
                <w:szCs w:val="20"/>
              </w:rPr>
              <w:t>Total Annual Burden Hours &amp; Total Annual Cost</w:t>
            </w:r>
          </w:p>
          <w:p w14:paraId="35E716C5" w14:textId="77777777" w:rsidR="00C57BDC" w:rsidRPr="00C57BDC" w:rsidRDefault="00C57BDC" w:rsidP="00C57BDC">
            <w:pPr>
              <w:jc w:val="center"/>
              <w:rPr>
                <w:rFonts w:eastAsia="Calibri"/>
                <w:b/>
                <w:sz w:val="20"/>
                <w:szCs w:val="20"/>
              </w:rPr>
            </w:pPr>
            <w:r w:rsidRPr="00C57BDC">
              <w:rPr>
                <w:rFonts w:eastAsia="Calibri"/>
                <w:b/>
                <w:sz w:val="20"/>
                <w:szCs w:val="20"/>
              </w:rPr>
              <w:t>(3)*(4)=(5)</w:t>
            </w:r>
          </w:p>
        </w:tc>
        <w:tc>
          <w:tcPr>
            <w:tcW w:w="646" w:type="pct"/>
            <w:shd w:val="clear" w:color="auto" w:fill="D9D9D9"/>
            <w:vAlign w:val="bottom"/>
          </w:tcPr>
          <w:p w14:paraId="7D61608D" w14:textId="77777777" w:rsidR="00C57BDC" w:rsidRPr="00C57BDC" w:rsidRDefault="00C57BDC" w:rsidP="00C57BDC">
            <w:pPr>
              <w:jc w:val="center"/>
              <w:rPr>
                <w:rFonts w:eastAsia="Calibri"/>
                <w:b/>
                <w:sz w:val="20"/>
                <w:szCs w:val="20"/>
              </w:rPr>
            </w:pPr>
            <w:r w:rsidRPr="00C57BDC">
              <w:rPr>
                <w:rFonts w:eastAsia="Calibri"/>
                <w:b/>
                <w:sz w:val="20"/>
                <w:szCs w:val="20"/>
              </w:rPr>
              <w:t>Cost per Respondent</w:t>
            </w:r>
          </w:p>
          <w:p w14:paraId="1BC1EB06" w14:textId="77777777" w:rsidR="00C57BDC" w:rsidRPr="00C57BDC" w:rsidRDefault="00C57BDC" w:rsidP="00C57BDC">
            <w:pPr>
              <w:jc w:val="center"/>
              <w:rPr>
                <w:rFonts w:eastAsia="Calibri"/>
                <w:b/>
                <w:sz w:val="20"/>
                <w:szCs w:val="20"/>
              </w:rPr>
            </w:pPr>
            <w:r w:rsidRPr="00C57BDC">
              <w:rPr>
                <w:rFonts w:eastAsia="Calibri"/>
                <w:b/>
                <w:sz w:val="20"/>
                <w:szCs w:val="20"/>
              </w:rPr>
              <w:t xml:space="preserve"> ($)</w:t>
            </w:r>
          </w:p>
          <w:p w14:paraId="79620AEF" w14:textId="77777777" w:rsidR="00C57BDC" w:rsidRPr="00C57BDC" w:rsidRDefault="00C57BDC" w:rsidP="00C57BDC">
            <w:pPr>
              <w:jc w:val="center"/>
              <w:rPr>
                <w:rFonts w:eastAsia="Calibri"/>
                <w:b/>
                <w:sz w:val="20"/>
                <w:szCs w:val="20"/>
              </w:rPr>
            </w:pPr>
            <w:r w:rsidRPr="00C57BDC">
              <w:rPr>
                <w:rFonts w:eastAsia="Calibri"/>
                <w:b/>
                <w:sz w:val="20"/>
                <w:szCs w:val="20"/>
              </w:rPr>
              <w:t>(5)÷(1)</w:t>
            </w:r>
          </w:p>
        </w:tc>
      </w:tr>
      <w:tr w:rsidR="00C57BDC" w:rsidRPr="00C57BDC" w14:paraId="368EC85B" w14:textId="77777777" w:rsidTr="00C57BDC">
        <w:trPr>
          <w:cantSplit/>
        </w:trPr>
        <w:tc>
          <w:tcPr>
            <w:tcW w:w="5000" w:type="pct"/>
            <w:gridSpan w:val="7"/>
          </w:tcPr>
          <w:p w14:paraId="60C9BE1A" w14:textId="77777777" w:rsidR="00C57BDC" w:rsidRPr="00C57BDC" w:rsidRDefault="00C57BDC" w:rsidP="00C57BDC">
            <w:pPr>
              <w:jc w:val="center"/>
              <w:rPr>
                <w:rFonts w:eastAsia="Calibri"/>
                <w:sz w:val="20"/>
                <w:szCs w:val="20"/>
              </w:rPr>
            </w:pPr>
            <w:r w:rsidRPr="00C57BDC">
              <w:rPr>
                <w:rFonts w:eastAsia="Calibri"/>
                <w:sz w:val="20"/>
                <w:szCs w:val="20"/>
              </w:rPr>
              <w:t>FERC-725A</w:t>
            </w:r>
          </w:p>
        </w:tc>
      </w:tr>
      <w:tr w:rsidR="00C57BDC" w:rsidRPr="00C57BDC" w14:paraId="070EC0D1" w14:textId="77777777" w:rsidTr="001474DF">
        <w:trPr>
          <w:cantSplit/>
        </w:trPr>
        <w:tc>
          <w:tcPr>
            <w:tcW w:w="911" w:type="pct"/>
          </w:tcPr>
          <w:p w14:paraId="1EA92DE4" w14:textId="77777777" w:rsidR="00C57BDC" w:rsidRPr="00C57BDC" w:rsidRDefault="00C57BDC" w:rsidP="00C57BDC">
            <w:pPr>
              <w:rPr>
                <w:rFonts w:eastAsia="Calibri"/>
                <w:sz w:val="20"/>
                <w:szCs w:val="20"/>
              </w:rPr>
            </w:pPr>
            <w:r w:rsidRPr="00C57BDC">
              <w:rPr>
                <w:rFonts w:eastAsia="Calibri"/>
                <w:sz w:val="20"/>
                <w:szCs w:val="20"/>
              </w:rPr>
              <w:t>TOP-001-3</w:t>
            </w:r>
          </w:p>
        </w:tc>
        <w:tc>
          <w:tcPr>
            <w:tcW w:w="715" w:type="pct"/>
          </w:tcPr>
          <w:p w14:paraId="5B524DB5" w14:textId="77777777" w:rsidR="00C57BDC" w:rsidRPr="00C57BDC" w:rsidRDefault="00C57BDC" w:rsidP="00C57BDC">
            <w:pPr>
              <w:jc w:val="right"/>
              <w:rPr>
                <w:rFonts w:eastAsia="Calibri"/>
                <w:sz w:val="20"/>
                <w:szCs w:val="20"/>
              </w:rPr>
            </w:pPr>
            <w:r w:rsidRPr="00C57BDC">
              <w:rPr>
                <w:rFonts w:eastAsia="Calibri"/>
                <w:sz w:val="20"/>
                <w:szCs w:val="20"/>
              </w:rPr>
              <w:t>196 (TOP &amp; BA)</w:t>
            </w:r>
          </w:p>
        </w:tc>
        <w:tc>
          <w:tcPr>
            <w:tcW w:w="646" w:type="pct"/>
          </w:tcPr>
          <w:p w14:paraId="7F7BF656"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51A63C6C" w14:textId="77777777" w:rsidR="00C57BDC" w:rsidRPr="00C57BDC" w:rsidRDefault="00C57BDC" w:rsidP="00C57BDC">
            <w:pPr>
              <w:jc w:val="right"/>
              <w:rPr>
                <w:rFonts w:eastAsia="Calibri"/>
                <w:sz w:val="20"/>
                <w:szCs w:val="20"/>
              </w:rPr>
            </w:pPr>
            <w:r w:rsidRPr="00C57BDC">
              <w:rPr>
                <w:rFonts w:eastAsia="Calibri"/>
                <w:sz w:val="20"/>
                <w:szCs w:val="20"/>
              </w:rPr>
              <w:t>196</w:t>
            </w:r>
          </w:p>
        </w:tc>
        <w:tc>
          <w:tcPr>
            <w:tcW w:w="689" w:type="pct"/>
          </w:tcPr>
          <w:p w14:paraId="7168ECBF" w14:textId="77777777" w:rsidR="00C57BDC" w:rsidRPr="00C57BDC" w:rsidRDefault="00C57BDC" w:rsidP="00C57BDC">
            <w:pPr>
              <w:jc w:val="right"/>
              <w:rPr>
                <w:rFonts w:eastAsia="Calibri"/>
                <w:sz w:val="20"/>
                <w:szCs w:val="20"/>
              </w:rPr>
            </w:pPr>
            <w:r w:rsidRPr="00C57BDC">
              <w:rPr>
                <w:rFonts w:eastAsia="Calibri"/>
                <w:sz w:val="20"/>
                <w:szCs w:val="20"/>
              </w:rPr>
              <w:t>96 hrs.</w:t>
            </w:r>
          </w:p>
          <w:p w14:paraId="614F62B5" w14:textId="1C3991A8" w:rsidR="00C57BDC" w:rsidRPr="00C57BDC" w:rsidRDefault="00C57BDC" w:rsidP="00C57BDC">
            <w:pPr>
              <w:jc w:val="right"/>
              <w:rPr>
                <w:rFonts w:eastAsia="Calibri"/>
                <w:sz w:val="20"/>
                <w:szCs w:val="20"/>
              </w:rPr>
            </w:pPr>
            <w:r>
              <w:rPr>
                <w:rFonts w:eastAsia="Calibri"/>
                <w:sz w:val="20"/>
                <w:szCs w:val="20"/>
              </w:rPr>
              <w:t>$6,369</w:t>
            </w:r>
          </w:p>
        </w:tc>
        <w:tc>
          <w:tcPr>
            <w:tcW w:w="781" w:type="pct"/>
          </w:tcPr>
          <w:p w14:paraId="3D8A953E" w14:textId="5AFE9776" w:rsidR="00C57BDC" w:rsidRPr="00C57BDC" w:rsidRDefault="00C57BDC" w:rsidP="00C57BDC">
            <w:pPr>
              <w:jc w:val="right"/>
              <w:rPr>
                <w:rFonts w:eastAsia="Calibri"/>
                <w:sz w:val="20"/>
                <w:szCs w:val="20"/>
              </w:rPr>
            </w:pPr>
            <w:r w:rsidRPr="00C57BDC">
              <w:rPr>
                <w:rFonts w:eastAsia="Calibri"/>
                <w:sz w:val="20"/>
                <w:szCs w:val="20"/>
              </w:rPr>
              <w:t xml:space="preserve">18,816 hrs., $1,248,441 </w:t>
            </w:r>
          </w:p>
        </w:tc>
        <w:tc>
          <w:tcPr>
            <w:tcW w:w="646" w:type="pct"/>
          </w:tcPr>
          <w:p w14:paraId="088C3D0D" w14:textId="1F444047" w:rsidR="00C57BDC" w:rsidRPr="00C57BDC" w:rsidRDefault="00C57BDC" w:rsidP="00C57BDC">
            <w:pPr>
              <w:jc w:val="right"/>
              <w:rPr>
                <w:rFonts w:eastAsia="Calibri"/>
                <w:sz w:val="20"/>
                <w:szCs w:val="20"/>
              </w:rPr>
            </w:pPr>
            <w:r>
              <w:rPr>
                <w:rFonts w:eastAsia="Calibri"/>
                <w:sz w:val="20"/>
                <w:szCs w:val="20"/>
              </w:rPr>
              <w:t xml:space="preserve">96 </w:t>
            </w:r>
            <w:proofErr w:type="spellStart"/>
            <w:r>
              <w:rPr>
                <w:rFonts w:eastAsia="Calibri"/>
                <w:sz w:val="20"/>
                <w:szCs w:val="20"/>
              </w:rPr>
              <w:t>hrs</w:t>
            </w:r>
            <w:proofErr w:type="spellEnd"/>
            <w:r>
              <w:rPr>
                <w:rFonts w:eastAsia="Calibri"/>
                <w:sz w:val="20"/>
                <w:szCs w:val="20"/>
              </w:rPr>
              <w:t>, $6,369</w:t>
            </w:r>
          </w:p>
        </w:tc>
      </w:tr>
      <w:tr w:rsidR="00C57BDC" w:rsidRPr="00C57BDC" w14:paraId="652BCE72" w14:textId="77777777" w:rsidTr="001474DF">
        <w:trPr>
          <w:cantSplit/>
        </w:trPr>
        <w:tc>
          <w:tcPr>
            <w:tcW w:w="911" w:type="pct"/>
          </w:tcPr>
          <w:p w14:paraId="5C07C207" w14:textId="77777777" w:rsidR="00C57BDC" w:rsidRPr="00C57BDC" w:rsidRDefault="00C57BDC" w:rsidP="00C57BDC">
            <w:pPr>
              <w:rPr>
                <w:rFonts w:eastAsia="Calibri"/>
                <w:sz w:val="20"/>
                <w:szCs w:val="20"/>
              </w:rPr>
            </w:pPr>
            <w:r w:rsidRPr="00C57BDC">
              <w:rPr>
                <w:rFonts w:eastAsia="Calibri"/>
                <w:sz w:val="20"/>
                <w:szCs w:val="20"/>
              </w:rPr>
              <w:t>TOP-002-4</w:t>
            </w:r>
          </w:p>
        </w:tc>
        <w:tc>
          <w:tcPr>
            <w:tcW w:w="715" w:type="pct"/>
          </w:tcPr>
          <w:p w14:paraId="30AB77E9" w14:textId="77777777" w:rsidR="00C57BDC" w:rsidRPr="00C57BDC" w:rsidRDefault="00C57BDC" w:rsidP="00C57BDC">
            <w:pPr>
              <w:jc w:val="right"/>
              <w:rPr>
                <w:rFonts w:eastAsia="Calibri"/>
                <w:sz w:val="20"/>
                <w:szCs w:val="20"/>
              </w:rPr>
            </w:pPr>
            <w:r w:rsidRPr="00C57BDC">
              <w:rPr>
                <w:rFonts w:eastAsia="Calibri"/>
                <w:sz w:val="20"/>
                <w:szCs w:val="20"/>
              </w:rPr>
              <w:t>196 (TOP &amp; BA)</w:t>
            </w:r>
          </w:p>
        </w:tc>
        <w:tc>
          <w:tcPr>
            <w:tcW w:w="646" w:type="pct"/>
          </w:tcPr>
          <w:p w14:paraId="3D23F8AA"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2807757D" w14:textId="77777777" w:rsidR="00C57BDC" w:rsidRPr="00C57BDC" w:rsidRDefault="00C57BDC" w:rsidP="00C57BDC">
            <w:pPr>
              <w:jc w:val="right"/>
              <w:rPr>
                <w:rFonts w:eastAsia="Calibri"/>
                <w:sz w:val="20"/>
                <w:szCs w:val="20"/>
              </w:rPr>
            </w:pPr>
            <w:r w:rsidRPr="00C57BDC">
              <w:rPr>
                <w:rFonts w:eastAsia="Calibri"/>
                <w:sz w:val="20"/>
                <w:szCs w:val="20"/>
              </w:rPr>
              <w:t>196</w:t>
            </w:r>
          </w:p>
        </w:tc>
        <w:tc>
          <w:tcPr>
            <w:tcW w:w="689" w:type="pct"/>
          </w:tcPr>
          <w:p w14:paraId="41330D2F" w14:textId="77777777" w:rsidR="00C57BDC" w:rsidRPr="00C57BDC" w:rsidRDefault="00C57BDC" w:rsidP="00C57BDC">
            <w:pPr>
              <w:jc w:val="right"/>
              <w:rPr>
                <w:rFonts w:eastAsia="Calibri"/>
                <w:sz w:val="20"/>
                <w:szCs w:val="20"/>
              </w:rPr>
            </w:pPr>
            <w:r w:rsidRPr="00C57BDC">
              <w:rPr>
                <w:rFonts w:eastAsia="Calibri"/>
                <w:sz w:val="20"/>
                <w:szCs w:val="20"/>
              </w:rPr>
              <w:t>284 hrs.</w:t>
            </w:r>
          </w:p>
          <w:p w14:paraId="5E8D9692" w14:textId="74735CA4" w:rsidR="00C57BDC" w:rsidRPr="00C57BDC" w:rsidRDefault="00C57BDC" w:rsidP="00C57BDC">
            <w:pPr>
              <w:jc w:val="right"/>
              <w:rPr>
                <w:rFonts w:eastAsia="Calibri"/>
                <w:sz w:val="20"/>
                <w:szCs w:val="20"/>
              </w:rPr>
            </w:pPr>
            <w:r w:rsidRPr="00C57BDC">
              <w:rPr>
                <w:rFonts w:eastAsia="Calibri"/>
                <w:sz w:val="20"/>
                <w:szCs w:val="20"/>
              </w:rPr>
              <w:t>$18,843</w:t>
            </w:r>
          </w:p>
        </w:tc>
        <w:tc>
          <w:tcPr>
            <w:tcW w:w="781" w:type="pct"/>
          </w:tcPr>
          <w:p w14:paraId="78D6385A" w14:textId="698DBD5F" w:rsidR="00C57BDC" w:rsidRPr="00C57BDC" w:rsidRDefault="00C57BDC" w:rsidP="00C57BDC">
            <w:pPr>
              <w:jc w:val="center"/>
              <w:rPr>
                <w:rFonts w:eastAsia="Calibri"/>
                <w:sz w:val="20"/>
                <w:szCs w:val="20"/>
              </w:rPr>
            </w:pPr>
            <w:r w:rsidRPr="00C57BDC">
              <w:rPr>
                <w:rFonts w:eastAsia="Calibri"/>
                <w:sz w:val="20"/>
                <w:szCs w:val="20"/>
              </w:rPr>
              <w:t>55,664</w:t>
            </w:r>
            <w:r>
              <w:rPr>
                <w:rFonts w:eastAsia="Calibri"/>
                <w:sz w:val="20"/>
                <w:szCs w:val="20"/>
              </w:rPr>
              <w:t xml:space="preserve"> </w:t>
            </w:r>
            <w:r w:rsidRPr="00C57BDC">
              <w:rPr>
                <w:rFonts w:eastAsia="Calibri"/>
                <w:sz w:val="20"/>
                <w:szCs w:val="20"/>
              </w:rPr>
              <w:t>hrs., $3</w:t>
            </w:r>
            <w:r>
              <w:rPr>
                <w:rFonts w:eastAsia="Calibri"/>
                <w:sz w:val="20"/>
                <w:szCs w:val="20"/>
              </w:rPr>
              <w:t>,693,306</w:t>
            </w:r>
          </w:p>
          <w:p w14:paraId="4D3CC251" w14:textId="77777777" w:rsidR="00C57BDC" w:rsidRPr="00C57BDC" w:rsidRDefault="00C57BDC" w:rsidP="00C57BDC">
            <w:pPr>
              <w:jc w:val="center"/>
              <w:rPr>
                <w:rFonts w:eastAsia="Calibri"/>
                <w:sz w:val="20"/>
                <w:szCs w:val="20"/>
              </w:rPr>
            </w:pPr>
          </w:p>
        </w:tc>
        <w:tc>
          <w:tcPr>
            <w:tcW w:w="646" w:type="pct"/>
          </w:tcPr>
          <w:p w14:paraId="2EF76D60" w14:textId="750B7B45" w:rsidR="00C57BDC" w:rsidRPr="00C57BDC" w:rsidRDefault="00C57BDC" w:rsidP="00C57BDC">
            <w:pPr>
              <w:jc w:val="right"/>
              <w:rPr>
                <w:rFonts w:eastAsia="Calibri"/>
                <w:sz w:val="20"/>
                <w:szCs w:val="20"/>
              </w:rPr>
            </w:pPr>
            <w:r w:rsidRPr="00C57BDC">
              <w:rPr>
                <w:rFonts w:eastAsia="Calibri"/>
                <w:sz w:val="20"/>
                <w:szCs w:val="20"/>
              </w:rPr>
              <w:t>284 hrs., $18,843</w:t>
            </w:r>
          </w:p>
        </w:tc>
      </w:tr>
      <w:tr w:rsidR="00C57BDC" w:rsidRPr="00C57BDC" w14:paraId="3FB15537" w14:textId="77777777" w:rsidTr="001474DF">
        <w:trPr>
          <w:cantSplit/>
        </w:trPr>
        <w:tc>
          <w:tcPr>
            <w:tcW w:w="911" w:type="pct"/>
          </w:tcPr>
          <w:p w14:paraId="5C9BCBB2" w14:textId="77777777" w:rsidR="00C57BDC" w:rsidRPr="00C57BDC" w:rsidRDefault="00C57BDC" w:rsidP="00C57BDC">
            <w:pPr>
              <w:rPr>
                <w:rFonts w:eastAsia="Calibri"/>
                <w:sz w:val="20"/>
                <w:szCs w:val="20"/>
              </w:rPr>
            </w:pPr>
            <w:r w:rsidRPr="00C57BDC">
              <w:rPr>
                <w:rFonts w:eastAsia="Calibri"/>
                <w:sz w:val="20"/>
                <w:szCs w:val="20"/>
              </w:rPr>
              <w:t>TOP-003-3</w:t>
            </w:r>
          </w:p>
        </w:tc>
        <w:tc>
          <w:tcPr>
            <w:tcW w:w="715" w:type="pct"/>
          </w:tcPr>
          <w:p w14:paraId="5FE25529" w14:textId="77777777" w:rsidR="00C57BDC" w:rsidRPr="00C57BDC" w:rsidRDefault="00C57BDC" w:rsidP="00C57BDC">
            <w:pPr>
              <w:jc w:val="right"/>
              <w:rPr>
                <w:rFonts w:eastAsia="Calibri"/>
                <w:sz w:val="20"/>
                <w:szCs w:val="20"/>
              </w:rPr>
            </w:pPr>
            <w:r w:rsidRPr="00C57BDC">
              <w:rPr>
                <w:rFonts w:eastAsia="Calibri"/>
                <w:sz w:val="20"/>
                <w:szCs w:val="20"/>
              </w:rPr>
              <w:t>196 (TOP &amp; BA)</w:t>
            </w:r>
          </w:p>
        </w:tc>
        <w:tc>
          <w:tcPr>
            <w:tcW w:w="646" w:type="pct"/>
          </w:tcPr>
          <w:p w14:paraId="08E9FC82"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1388CF50" w14:textId="77777777" w:rsidR="00C57BDC" w:rsidRPr="00C57BDC" w:rsidRDefault="00C57BDC" w:rsidP="00C57BDC">
            <w:pPr>
              <w:jc w:val="right"/>
              <w:rPr>
                <w:rFonts w:eastAsia="Calibri"/>
                <w:sz w:val="20"/>
                <w:szCs w:val="20"/>
              </w:rPr>
            </w:pPr>
            <w:r w:rsidRPr="00C57BDC">
              <w:rPr>
                <w:rFonts w:eastAsia="Calibri"/>
                <w:sz w:val="20"/>
                <w:szCs w:val="20"/>
              </w:rPr>
              <w:t>196</w:t>
            </w:r>
          </w:p>
        </w:tc>
        <w:tc>
          <w:tcPr>
            <w:tcW w:w="689" w:type="pct"/>
          </w:tcPr>
          <w:p w14:paraId="0285D980" w14:textId="77777777" w:rsidR="00C57BDC" w:rsidRPr="00C57BDC" w:rsidRDefault="00C57BDC" w:rsidP="00C57BDC">
            <w:pPr>
              <w:jc w:val="right"/>
              <w:rPr>
                <w:rFonts w:eastAsia="Calibri"/>
                <w:sz w:val="20"/>
                <w:szCs w:val="20"/>
              </w:rPr>
            </w:pPr>
            <w:r w:rsidRPr="00C57BDC">
              <w:rPr>
                <w:rFonts w:eastAsia="Calibri"/>
                <w:sz w:val="20"/>
                <w:szCs w:val="20"/>
              </w:rPr>
              <w:t>230 hrs.</w:t>
            </w:r>
          </w:p>
          <w:p w14:paraId="63F5C822" w14:textId="23CD6698" w:rsidR="00C57BDC" w:rsidRPr="00C57BDC" w:rsidRDefault="00C57BDC" w:rsidP="00C57BDC">
            <w:pPr>
              <w:jc w:val="right"/>
              <w:rPr>
                <w:rFonts w:eastAsia="Calibri"/>
                <w:sz w:val="20"/>
                <w:szCs w:val="20"/>
              </w:rPr>
            </w:pPr>
            <w:r w:rsidRPr="00C57BDC">
              <w:rPr>
                <w:rFonts w:eastAsia="Calibri"/>
                <w:sz w:val="20"/>
                <w:szCs w:val="20"/>
              </w:rPr>
              <w:t>$15,260</w:t>
            </w:r>
          </w:p>
        </w:tc>
        <w:tc>
          <w:tcPr>
            <w:tcW w:w="781" w:type="pct"/>
          </w:tcPr>
          <w:p w14:paraId="670BA8E0" w14:textId="77E2AC53" w:rsidR="00C57BDC" w:rsidRPr="00C57BDC" w:rsidRDefault="00C57BDC" w:rsidP="00C57BDC">
            <w:pPr>
              <w:jc w:val="right"/>
              <w:rPr>
                <w:rFonts w:eastAsia="Calibri"/>
                <w:sz w:val="20"/>
                <w:szCs w:val="20"/>
              </w:rPr>
            </w:pPr>
            <w:r w:rsidRPr="00C57BDC">
              <w:rPr>
                <w:rFonts w:eastAsia="Calibri"/>
                <w:sz w:val="20"/>
                <w:szCs w:val="20"/>
              </w:rPr>
              <w:t>45,080 hrs., $2,991,058</w:t>
            </w:r>
          </w:p>
        </w:tc>
        <w:tc>
          <w:tcPr>
            <w:tcW w:w="646" w:type="pct"/>
          </w:tcPr>
          <w:p w14:paraId="455A9921" w14:textId="33B78AB5" w:rsidR="00C57BDC" w:rsidRPr="00C57BDC" w:rsidRDefault="00C57BDC" w:rsidP="00C57BDC">
            <w:pPr>
              <w:jc w:val="right"/>
              <w:rPr>
                <w:rFonts w:eastAsia="Calibri"/>
                <w:sz w:val="20"/>
                <w:szCs w:val="20"/>
              </w:rPr>
            </w:pPr>
            <w:r w:rsidRPr="00C57BDC">
              <w:rPr>
                <w:rFonts w:eastAsia="Calibri"/>
                <w:sz w:val="20"/>
                <w:szCs w:val="20"/>
              </w:rPr>
              <w:t>230 hrs., $15,260</w:t>
            </w:r>
          </w:p>
        </w:tc>
      </w:tr>
      <w:tr w:rsidR="00C57BDC" w:rsidRPr="00C57BDC" w14:paraId="3BC06717" w14:textId="77777777" w:rsidTr="001474DF">
        <w:trPr>
          <w:cantSplit/>
        </w:trPr>
        <w:tc>
          <w:tcPr>
            <w:tcW w:w="911" w:type="pct"/>
            <w:shd w:val="clear" w:color="auto" w:fill="FFFFFF" w:themeFill="background1"/>
          </w:tcPr>
          <w:p w14:paraId="111EEABC" w14:textId="77777777" w:rsidR="00C57BDC" w:rsidRPr="00C57BDC" w:rsidRDefault="00C57BDC" w:rsidP="00C57BDC">
            <w:pPr>
              <w:rPr>
                <w:rFonts w:eastAsia="Calibri"/>
                <w:sz w:val="20"/>
                <w:szCs w:val="20"/>
              </w:rPr>
            </w:pPr>
            <w:r w:rsidRPr="00C57BDC">
              <w:rPr>
                <w:rFonts w:eastAsia="Calibri"/>
                <w:sz w:val="20"/>
                <w:szCs w:val="20"/>
              </w:rPr>
              <w:t>Sub-Total for FERC-725A</w:t>
            </w:r>
          </w:p>
        </w:tc>
        <w:tc>
          <w:tcPr>
            <w:tcW w:w="715" w:type="pct"/>
            <w:shd w:val="clear" w:color="auto" w:fill="D9D9D9" w:themeFill="background1" w:themeFillShade="D9"/>
          </w:tcPr>
          <w:p w14:paraId="6A1FFA46" w14:textId="77777777" w:rsidR="00C57BDC" w:rsidRPr="00C57BDC" w:rsidRDefault="00C57BDC" w:rsidP="00C57BDC">
            <w:pPr>
              <w:jc w:val="right"/>
              <w:rPr>
                <w:rFonts w:eastAsia="Calibri"/>
                <w:sz w:val="20"/>
                <w:szCs w:val="20"/>
              </w:rPr>
            </w:pPr>
          </w:p>
        </w:tc>
        <w:tc>
          <w:tcPr>
            <w:tcW w:w="646" w:type="pct"/>
            <w:shd w:val="clear" w:color="auto" w:fill="D9D9D9" w:themeFill="background1" w:themeFillShade="D9"/>
          </w:tcPr>
          <w:p w14:paraId="67D1304F" w14:textId="77777777" w:rsidR="00C57BDC" w:rsidRPr="00C57BDC" w:rsidRDefault="00C57BDC" w:rsidP="00C57BDC">
            <w:pPr>
              <w:jc w:val="right"/>
              <w:rPr>
                <w:rFonts w:eastAsia="Calibri"/>
                <w:sz w:val="20"/>
                <w:szCs w:val="20"/>
              </w:rPr>
            </w:pPr>
          </w:p>
        </w:tc>
        <w:tc>
          <w:tcPr>
            <w:tcW w:w="612" w:type="pct"/>
            <w:shd w:val="clear" w:color="auto" w:fill="D9D9D9" w:themeFill="background1" w:themeFillShade="D9"/>
          </w:tcPr>
          <w:p w14:paraId="5F374194" w14:textId="77777777" w:rsidR="00C57BDC" w:rsidRPr="00C57BDC" w:rsidRDefault="00C57BDC" w:rsidP="00C57BDC">
            <w:pPr>
              <w:jc w:val="right"/>
              <w:rPr>
                <w:rFonts w:eastAsia="Calibri"/>
                <w:sz w:val="20"/>
                <w:szCs w:val="20"/>
              </w:rPr>
            </w:pPr>
          </w:p>
        </w:tc>
        <w:tc>
          <w:tcPr>
            <w:tcW w:w="689" w:type="pct"/>
            <w:shd w:val="clear" w:color="auto" w:fill="D9D9D9" w:themeFill="background1" w:themeFillShade="D9"/>
          </w:tcPr>
          <w:p w14:paraId="65DBC6C5" w14:textId="77777777" w:rsidR="00C57BDC" w:rsidRPr="00C57BDC" w:rsidRDefault="00C57BDC" w:rsidP="00C57BDC">
            <w:pPr>
              <w:jc w:val="right"/>
              <w:rPr>
                <w:rFonts w:eastAsia="Calibri"/>
                <w:sz w:val="20"/>
                <w:szCs w:val="20"/>
              </w:rPr>
            </w:pPr>
          </w:p>
        </w:tc>
        <w:tc>
          <w:tcPr>
            <w:tcW w:w="781" w:type="pct"/>
            <w:shd w:val="clear" w:color="auto" w:fill="FFFFFF" w:themeFill="background1"/>
          </w:tcPr>
          <w:p w14:paraId="3B656502" w14:textId="60A50B20" w:rsidR="00C57BDC" w:rsidRPr="00C57BDC" w:rsidRDefault="00C57BDC" w:rsidP="00C57BDC">
            <w:pPr>
              <w:jc w:val="right"/>
              <w:rPr>
                <w:rFonts w:eastAsia="Calibri"/>
                <w:sz w:val="20"/>
                <w:szCs w:val="20"/>
              </w:rPr>
            </w:pPr>
            <w:r w:rsidRPr="00C57BDC">
              <w:rPr>
                <w:rFonts w:eastAsia="Calibri"/>
                <w:sz w:val="20"/>
                <w:szCs w:val="20"/>
              </w:rPr>
              <w:t>123,252 hrs., $7,932,806</w:t>
            </w:r>
          </w:p>
        </w:tc>
        <w:tc>
          <w:tcPr>
            <w:tcW w:w="646" w:type="pct"/>
            <w:shd w:val="clear" w:color="auto" w:fill="D9D9D9" w:themeFill="background1" w:themeFillShade="D9"/>
          </w:tcPr>
          <w:p w14:paraId="3BE0D7B7" w14:textId="77777777" w:rsidR="00C57BDC" w:rsidRPr="00C57BDC" w:rsidRDefault="00C57BDC" w:rsidP="00C57BDC">
            <w:pPr>
              <w:jc w:val="right"/>
              <w:rPr>
                <w:rFonts w:eastAsia="Calibri"/>
                <w:sz w:val="20"/>
                <w:szCs w:val="20"/>
              </w:rPr>
            </w:pPr>
          </w:p>
        </w:tc>
      </w:tr>
      <w:tr w:rsidR="00C57BDC" w:rsidRPr="00C57BDC" w14:paraId="291659D7" w14:textId="77777777" w:rsidTr="00C57BDC">
        <w:trPr>
          <w:cantSplit/>
        </w:trPr>
        <w:tc>
          <w:tcPr>
            <w:tcW w:w="5000" w:type="pct"/>
            <w:gridSpan w:val="7"/>
            <w:shd w:val="clear" w:color="auto" w:fill="FFFFFF" w:themeFill="background1"/>
          </w:tcPr>
          <w:p w14:paraId="5F3FAE80" w14:textId="77777777" w:rsidR="00C57BDC" w:rsidRPr="00C57BDC" w:rsidRDefault="00C57BDC" w:rsidP="00C57BDC">
            <w:pPr>
              <w:jc w:val="center"/>
              <w:rPr>
                <w:rFonts w:eastAsia="Calibri"/>
                <w:sz w:val="20"/>
                <w:szCs w:val="20"/>
              </w:rPr>
            </w:pPr>
            <w:r w:rsidRPr="00C57BDC">
              <w:rPr>
                <w:rFonts w:eastAsia="Calibri"/>
                <w:sz w:val="20"/>
                <w:szCs w:val="20"/>
              </w:rPr>
              <w:t>FERC-725Z</w:t>
            </w:r>
          </w:p>
        </w:tc>
      </w:tr>
      <w:tr w:rsidR="00C57BDC" w:rsidRPr="00C57BDC" w14:paraId="2E364E3A" w14:textId="77777777" w:rsidTr="001474DF">
        <w:trPr>
          <w:cantSplit/>
        </w:trPr>
        <w:tc>
          <w:tcPr>
            <w:tcW w:w="911" w:type="pct"/>
          </w:tcPr>
          <w:p w14:paraId="598151D0" w14:textId="77777777" w:rsidR="00C57BDC" w:rsidRPr="00C57BDC" w:rsidRDefault="00C57BDC" w:rsidP="00C57BDC">
            <w:pPr>
              <w:rPr>
                <w:rFonts w:eastAsia="Calibri"/>
                <w:sz w:val="20"/>
                <w:szCs w:val="20"/>
              </w:rPr>
            </w:pPr>
            <w:r w:rsidRPr="00C57BDC">
              <w:rPr>
                <w:rFonts w:eastAsia="Calibri"/>
                <w:sz w:val="20"/>
                <w:szCs w:val="20"/>
              </w:rPr>
              <w:t>IRO-001-4</w:t>
            </w:r>
            <w:r w:rsidRPr="00C57BDC">
              <w:rPr>
                <w:rStyle w:val="FootnoteReference"/>
                <w:rFonts w:eastAsia="Calibri"/>
              </w:rPr>
              <w:footnoteReference w:id="69"/>
            </w:r>
          </w:p>
        </w:tc>
        <w:tc>
          <w:tcPr>
            <w:tcW w:w="715" w:type="pct"/>
          </w:tcPr>
          <w:p w14:paraId="512C880E" w14:textId="77777777" w:rsidR="00C57BDC" w:rsidRPr="00C57BDC" w:rsidRDefault="00C57BDC" w:rsidP="00C57BDC">
            <w:pPr>
              <w:jc w:val="right"/>
              <w:rPr>
                <w:rFonts w:eastAsia="Calibri"/>
                <w:sz w:val="20"/>
                <w:szCs w:val="20"/>
              </w:rPr>
            </w:pPr>
            <w:r w:rsidRPr="00C57BDC">
              <w:rPr>
                <w:rFonts w:eastAsia="Calibri"/>
                <w:sz w:val="20"/>
                <w:szCs w:val="20"/>
              </w:rPr>
              <w:t>177 (RC &amp; TOP)</w:t>
            </w:r>
          </w:p>
        </w:tc>
        <w:tc>
          <w:tcPr>
            <w:tcW w:w="646" w:type="pct"/>
          </w:tcPr>
          <w:p w14:paraId="346C65B7"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3D86F526" w14:textId="77777777" w:rsidR="00C57BDC" w:rsidRPr="00C57BDC" w:rsidRDefault="00C57BDC" w:rsidP="00C57BDC">
            <w:pPr>
              <w:jc w:val="right"/>
              <w:rPr>
                <w:rFonts w:eastAsia="Calibri"/>
                <w:sz w:val="20"/>
                <w:szCs w:val="20"/>
              </w:rPr>
            </w:pPr>
            <w:r w:rsidRPr="00C57BDC">
              <w:rPr>
                <w:rFonts w:eastAsia="Calibri"/>
                <w:sz w:val="20"/>
                <w:szCs w:val="20"/>
              </w:rPr>
              <w:t>177</w:t>
            </w:r>
          </w:p>
        </w:tc>
        <w:tc>
          <w:tcPr>
            <w:tcW w:w="689" w:type="pct"/>
          </w:tcPr>
          <w:p w14:paraId="7D777A35" w14:textId="77777777" w:rsidR="00C57BDC" w:rsidRPr="00C57BDC" w:rsidRDefault="00C57BDC" w:rsidP="00C57BDC">
            <w:pPr>
              <w:jc w:val="right"/>
              <w:rPr>
                <w:rFonts w:eastAsia="Calibri"/>
                <w:sz w:val="20"/>
                <w:szCs w:val="20"/>
              </w:rPr>
            </w:pPr>
            <w:r w:rsidRPr="00C57BDC">
              <w:rPr>
                <w:rFonts w:eastAsia="Calibri"/>
                <w:sz w:val="20"/>
                <w:szCs w:val="20"/>
              </w:rPr>
              <w:t>0 hrs.</w:t>
            </w:r>
          </w:p>
          <w:p w14:paraId="6B98476D" w14:textId="77777777" w:rsidR="00C57BDC" w:rsidRPr="00C57BDC" w:rsidRDefault="00C57BDC" w:rsidP="00C57BDC">
            <w:pPr>
              <w:jc w:val="right"/>
              <w:rPr>
                <w:rFonts w:eastAsia="Calibri"/>
                <w:sz w:val="20"/>
                <w:szCs w:val="20"/>
              </w:rPr>
            </w:pPr>
            <w:r w:rsidRPr="00C57BDC">
              <w:rPr>
                <w:rFonts w:eastAsia="Calibri"/>
                <w:sz w:val="20"/>
                <w:szCs w:val="20"/>
              </w:rPr>
              <w:t>$0</w:t>
            </w:r>
          </w:p>
        </w:tc>
        <w:tc>
          <w:tcPr>
            <w:tcW w:w="781" w:type="pct"/>
          </w:tcPr>
          <w:p w14:paraId="4BF90A52" w14:textId="77777777" w:rsidR="00C57BDC" w:rsidRPr="00C57BDC" w:rsidRDefault="00C57BDC" w:rsidP="00C57BDC">
            <w:pPr>
              <w:jc w:val="right"/>
              <w:rPr>
                <w:rFonts w:eastAsia="Calibri"/>
                <w:sz w:val="20"/>
                <w:szCs w:val="20"/>
              </w:rPr>
            </w:pPr>
            <w:r w:rsidRPr="00C57BDC">
              <w:rPr>
                <w:rFonts w:eastAsia="Calibri"/>
                <w:sz w:val="20"/>
                <w:szCs w:val="20"/>
              </w:rPr>
              <w:t>0 hrs.</w:t>
            </w:r>
          </w:p>
          <w:p w14:paraId="2C0DD105" w14:textId="77777777" w:rsidR="00C57BDC" w:rsidRPr="00C57BDC" w:rsidRDefault="00C57BDC" w:rsidP="00C57BDC">
            <w:pPr>
              <w:jc w:val="right"/>
              <w:rPr>
                <w:rFonts w:eastAsia="Calibri"/>
                <w:sz w:val="20"/>
                <w:szCs w:val="20"/>
              </w:rPr>
            </w:pPr>
            <w:r w:rsidRPr="00C57BDC">
              <w:rPr>
                <w:rFonts w:eastAsia="Calibri"/>
                <w:sz w:val="20"/>
                <w:szCs w:val="20"/>
              </w:rPr>
              <w:t>$0</w:t>
            </w:r>
          </w:p>
        </w:tc>
        <w:tc>
          <w:tcPr>
            <w:tcW w:w="646" w:type="pct"/>
          </w:tcPr>
          <w:p w14:paraId="29186F81" w14:textId="77777777" w:rsidR="00C57BDC" w:rsidRPr="00C57BDC" w:rsidRDefault="00C57BDC" w:rsidP="00C57BDC">
            <w:pPr>
              <w:jc w:val="right"/>
              <w:rPr>
                <w:rFonts w:eastAsia="Calibri"/>
                <w:sz w:val="20"/>
                <w:szCs w:val="20"/>
              </w:rPr>
            </w:pPr>
            <w:r w:rsidRPr="00C57BDC">
              <w:rPr>
                <w:rFonts w:eastAsia="Calibri"/>
                <w:sz w:val="20"/>
                <w:szCs w:val="20"/>
              </w:rPr>
              <w:t>0 hrs.</w:t>
            </w:r>
          </w:p>
          <w:p w14:paraId="297A74AB" w14:textId="77777777" w:rsidR="00C57BDC" w:rsidRPr="00C57BDC" w:rsidRDefault="00C57BDC" w:rsidP="00C57BDC">
            <w:pPr>
              <w:jc w:val="right"/>
              <w:rPr>
                <w:rFonts w:eastAsia="Calibri"/>
                <w:sz w:val="20"/>
                <w:szCs w:val="20"/>
              </w:rPr>
            </w:pPr>
            <w:r w:rsidRPr="00C57BDC">
              <w:rPr>
                <w:rFonts w:eastAsia="Calibri"/>
                <w:sz w:val="20"/>
                <w:szCs w:val="20"/>
              </w:rPr>
              <w:t>$0</w:t>
            </w:r>
          </w:p>
          <w:p w14:paraId="59DA7E90" w14:textId="77777777" w:rsidR="00C57BDC" w:rsidRPr="00C57BDC" w:rsidRDefault="00C57BDC" w:rsidP="00C57BDC">
            <w:pPr>
              <w:jc w:val="right"/>
              <w:rPr>
                <w:rFonts w:eastAsia="Calibri"/>
                <w:sz w:val="20"/>
                <w:szCs w:val="20"/>
              </w:rPr>
            </w:pPr>
          </w:p>
        </w:tc>
      </w:tr>
      <w:tr w:rsidR="00C57BDC" w:rsidRPr="00C57BDC" w14:paraId="34A4F985" w14:textId="77777777" w:rsidTr="001474DF">
        <w:trPr>
          <w:cantSplit/>
        </w:trPr>
        <w:tc>
          <w:tcPr>
            <w:tcW w:w="911" w:type="pct"/>
          </w:tcPr>
          <w:p w14:paraId="7463E0D5" w14:textId="77777777" w:rsidR="00C57BDC" w:rsidRPr="00C57BDC" w:rsidRDefault="00C57BDC" w:rsidP="00C57BDC">
            <w:pPr>
              <w:rPr>
                <w:rFonts w:eastAsia="Calibri"/>
                <w:sz w:val="20"/>
                <w:szCs w:val="20"/>
              </w:rPr>
            </w:pPr>
            <w:r w:rsidRPr="00C57BDC">
              <w:rPr>
                <w:rFonts w:eastAsia="Calibri"/>
                <w:sz w:val="20"/>
                <w:szCs w:val="20"/>
              </w:rPr>
              <w:t>IRO-002-4</w:t>
            </w:r>
          </w:p>
        </w:tc>
        <w:tc>
          <w:tcPr>
            <w:tcW w:w="715" w:type="pct"/>
          </w:tcPr>
          <w:p w14:paraId="36B53C72" w14:textId="77777777" w:rsidR="00C57BDC" w:rsidRPr="00C57BDC" w:rsidRDefault="00C57BDC" w:rsidP="00C57BDC">
            <w:pPr>
              <w:jc w:val="right"/>
              <w:rPr>
                <w:rFonts w:eastAsia="Calibri"/>
                <w:sz w:val="20"/>
                <w:szCs w:val="20"/>
              </w:rPr>
            </w:pPr>
            <w:r w:rsidRPr="00C57BDC">
              <w:rPr>
                <w:rFonts w:eastAsia="Calibri"/>
                <w:sz w:val="20"/>
                <w:szCs w:val="20"/>
              </w:rPr>
              <w:t xml:space="preserve"> 11 (RC)</w:t>
            </w:r>
          </w:p>
        </w:tc>
        <w:tc>
          <w:tcPr>
            <w:tcW w:w="646" w:type="pct"/>
          </w:tcPr>
          <w:p w14:paraId="61DCBEFF"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6C9837D1" w14:textId="77777777" w:rsidR="00C57BDC" w:rsidRPr="00C57BDC" w:rsidRDefault="00C57BDC" w:rsidP="00C57BDC">
            <w:pPr>
              <w:jc w:val="right"/>
              <w:rPr>
                <w:rFonts w:eastAsia="Calibri"/>
                <w:sz w:val="20"/>
                <w:szCs w:val="20"/>
              </w:rPr>
            </w:pPr>
            <w:r w:rsidRPr="00C57BDC">
              <w:rPr>
                <w:rFonts w:eastAsia="Calibri"/>
                <w:sz w:val="20"/>
                <w:szCs w:val="20"/>
              </w:rPr>
              <w:t>11</w:t>
            </w:r>
          </w:p>
        </w:tc>
        <w:tc>
          <w:tcPr>
            <w:tcW w:w="689" w:type="pct"/>
          </w:tcPr>
          <w:p w14:paraId="26A23E72" w14:textId="77777777" w:rsidR="00C57BDC" w:rsidRPr="00C57BDC" w:rsidRDefault="00C57BDC" w:rsidP="00C57BDC">
            <w:pPr>
              <w:jc w:val="right"/>
              <w:rPr>
                <w:rFonts w:eastAsia="Calibri"/>
                <w:sz w:val="20"/>
                <w:szCs w:val="20"/>
              </w:rPr>
            </w:pPr>
            <w:r w:rsidRPr="00C57BDC">
              <w:rPr>
                <w:rFonts w:eastAsia="Calibri"/>
                <w:sz w:val="20"/>
                <w:szCs w:val="20"/>
              </w:rPr>
              <w:t>24 hrs.</w:t>
            </w:r>
          </w:p>
          <w:p w14:paraId="39425615" w14:textId="54DBE1B1" w:rsidR="00C57BDC" w:rsidRPr="00C57BDC" w:rsidRDefault="00C57BDC" w:rsidP="00C57BDC">
            <w:pPr>
              <w:jc w:val="right"/>
              <w:rPr>
                <w:rFonts w:eastAsia="Calibri"/>
                <w:sz w:val="20"/>
                <w:szCs w:val="20"/>
              </w:rPr>
            </w:pPr>
            <w:r w:rsidRPr="00C57BDC">
              <w:rPr>
                <w:rFonts w:eastAsia="Calibri"/>
                <w:sz w:val="20"/>
                <w:szCs w:val="20"/>
              </w:rPr>
              <w:t>$1,592</w:t>
            </w:r>
          </w:p>
        </w:tc>
        <w:tc>
          <w:tcPr>
            <w:tcW w:w="781" w:type="pct"/>
          </w:tcPr>
          <w:p w14:paraId="40ED4616" w14:textId="6825DB2D" w:rsidR="00C57BDC" w:rsidRPr="00C57BDC" w:rsidRDefault="00C57BDC" w:rsidP="00C57BDC">
            <w:pPr>
              <w:jc w:val="right"/>
              <w:rPr>
                <w:rFonts w:eastAsia="Calibri"/>
                <w:sz w:val="20"/>
                <w:szCs w:val="20"/>
              </w:rPr>
            </w:pPr>
            <w:r w:rsidRPr="00C57BDC">
              <w:rPr>
                <w:rFonts w:eastAsia="Calibri"/>
                <w:sz w:val="20"/>
                <w:szCs w:val="20"/>
              </w:rPr>
              <w:t>264 hrs., $17,516</w:t>
            </w:r>
          </w:p>
        </w:tc>
        <w:tc>
          <w:tcPr>
            <w:tcW w:w="646" w:type="pct"/>
          </w:tcPr>
          <w:p w14:paraId="69A68764" w14:textId="33C0370D" w:rsidR="00C57BDC" w:rsidRPr="00C57BDC" w:rsidRDefault="00C57BDC" w:rsidP="00C57BDC">
            <w:pPr>
              <w:jc w:val="right"/>
              <w:rPr>
                <w:rFonts w:eastAsia="Calibri"/>
                <w:sz w:val="20"/>
                <w:szCs w:val="20"/>
              </w:rPr>
            </w:pPr>
            <w:r w:rsidRPr="00C57BDC">
              <w:rPr>
                <w:rFonts w:eastAsia="Calibri"/>
                <w:sz w:val="20"/>
                <w:szCs w:val="20"/>
              </w:rPr>
              <w:t>24 hrs., $1,592</w:t>
            </w:r>
          </w:p>
        </w:tc>
      </w:tr>
      <w:tr w:rsidR="00C57BDC" w:rsidRPr="00C57BDC" w14:paraId="6E75652E" w14:textId="77777777" w:rsidTr="001474DF">
        <w:trPr>
          <w:cantSplit/>
        </w:trPr>
        <w:tc>
          <w:tcPr>
            <w:tcW w:w="911" w:type="pct"/>
          </w:tcPr>
          <w:p w14:paraId="38053643" w14:textId="77777777" w:rsidR="00C57BDC" w:rsidRPr="00C57BDC" w:rsidRDefault="00C57BDC" w:rsidP="00C57BDC">
            <w:pPr>
              <w:rPr>
                <w:rFonts w:eastAsia="Calibri"/>
                <w:sz w:val="20"/>
                <w:szCs w:val="20"/>
              </w:rPr>
            </w:pPr>
            <w:r w:rsidRPr="00C57BDC">
              <w:rPr>
                <w:rFonts w:eastAsia="Calibri"/>
                <w:sz w:val="20"/>
                <w:szCs w:val="20"/>
              </w:rPr>
              <w:t>IRO-008-2</w:t>
            </w:r>
          </w:p>
        </w:tc>
        <w:tc>
          <w:tcPr>
            <w:tcW w:w="715" w:type="pct"/>
          </w:tcPr>
          <w:p w14:paraId="3AFF851A" w14:textId="77777777" w:rsidR="00C57BDC" w:rsidRPr="00C57BDC" w:rsidRDefault="00C57BDC" w:rsidP="00C57BDC">
            <w:pPr>
              <w:jc w:val="right"/>
              <w:rPr>
                <w:rFonts w:eastAsia="Calibri"/>
                <w:sz w:val="20"/>
                <w:szCs w:val="20"/>
              </w:rPr>
            </w:pPr>
            <w:r w:rsidRPr="00C57BDC">
              <w:rPr>
                <w:rFonts w:eastAsia="Calibri"/>
                <w:sz w:val="20"/>
                <w:szCs w:val="20"/>
              </w:rPr>
              <w:t>11 (RC)</w:t>
            </w:r>
          </w:p>
        </w:tc>
        <w:tc>
          <w:tcPr>
            <w:tcW w:w="646" w:type="pct"/>
          </w:tcPr>
          <w:p w14:paraId="77A20B56"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1E99DABB" w14:textId="77777777" w:rsidR="00C57BDC" w:rsidRPr="00C57BDC" w:rsidRDefault="00C57BDC" w:rsidP="00C57BDC">
            <w:pPr>
              <w:jc w:val="right"/>
              <w:rPr>
                <w:rFonts w:eastAsia="Calibri"/>
                <w:sz w:val="20"/>
                <w:szCs w:val="20"/>
              </w:rPr>
            </w:pPr>
            <w:r w:rsidRPr="00C57BDC">
              <w:rPr>
                <w:rFonts w:eastAsia="Calibri"/>
                <w:sz w:val="20"/>
                <w:szCs w:val="20"/>
              </w:rPr>
              <w:t>11</w:t>
            </w:r>
          </w:p>
        </w:tc>
        <w:tc>
          <w:tcPr>
            <w:tcW w:w="689" w:type="pct"/>
          </w:tcPr>
          <w:p w14:paraId="0F68EE69" w14:textId="77777777" w:rsidR="00C57BDC" w:rsidRPr="00C57BDC" w:rsidRDefault="00C57BDC" w:rsidP="00C57BDC">
            <w:pPr>
              <w:jc w:val="right"/>
              <w:rPr>
                <w:rFonts w:eastAsia="Calibri"/>
                <w:sz w:val="20"/>
                <w:szCs w:val="20"/>
              </w:rPr>
            </w:pPr>
            <w:r w:rsidRPr="00C57BDC">
              <w:rPr>
                <w:rFonts w:eastAsia="Calibri"/>
                <w:sz w:val="20"/>
                <w:szCs w:val="20"/>
              </w:rPr>
              <w:t>228 hrs.</w:t>
            </w:r>
          </w:p>
          <w:p w14:paraId="478EE7A5" w14:textId="5A756D70" w:rsidR="00C57BDC" w:rsidRPr="00C57BDC" w:rsidRDefault="00C57BDC" w:rsidP="00C57BDC">
            <w:pPr>
              <w:jc w:val="right"/>
              <w:rPr>
                <w:rFonts w:eastAsia="Calibri"/>
                <w:sz w:val="20"/>
                <w:szCs w:val="20"/>
              </w:rPr>
            </w:pPr>
            <w:r>
              <w:rPr>
                <w:rFonts w:eastAsia="Calibri"/>
                <w:sz w:val="20"/>
                <w:szCs w:val="20"/>
              </w:rPr>
              <w:t>$15,127</w:t>
            </w:r>
          </w:p>
        </w:tc>
        <w:tc>
          <w:tcPr>
            <w:tcW w:w="781" w:type="pct"/>
          </w:tcPr>
          <w:p w14:paraId="505972F1" w14:textId="12C57516" w:rsidR="00C57BDC" w:rsidRPr="00C57BDC" w:rsidRDefault="00C57BDC" w:rsidP="00C57BDC">
            <w:pPr>
              <w:jc w:val="right"/>
              <w:rPr>
                <w:rFonts w:eastAsia="Calibri"/>
                <w:sz w:val="20"/>
                <w:szCs w:val="20"/>
              </w:rPr>
            </w:pPr>
            <w:r w:rsidRPr="00C57BDC">
              <w:rPr>
                <w:rFonts w:eastAsia="Calibri"/>
                <w:sz w:val="20"/>
                <w:szCs w:val="20"/>
              </w:rPr>
              <w:t>2,508 hrs., $166,405</w:t>
            </w:r>
          </w:p>
        </w:tc>
        <w:tc>
          <w:tcPr>
            <w:tcW w:w="646" w:type="pct"/>
          </w:tcPr>
          <w:p w14:paraId="129B64C4" w14:textId="5BD6F350" w:rsidR="00C57BDC" w:rsidRPr="00C57BDC" w:rsidRDefault="00C57BDC" w:rsidP="00C57BDC">
            <w:pPr>
              <w:jc w:val="right"/>
              <w:rPr>
                <w:rFonts w:eastAsia="Calibri"/>
                <w:sz w:val="20"/>
                <w:szCs w:val="20"/>
              </w:rPr>
            </w:pPr>
            <w:r w:rsidRPr="00C57BDC">
              <w:rPr>
                <w:rFonts w:eastAsia="Calibri"/>
                <w:sz w:val="20"/>
                <w:szCs w:val="20"/>
              </w:rPr>
              <w:t>228 hrs., $15,127</w:t>
            </w:r>
          </w:p>
        </w:tc>
      </w:tr>
      <w:tr w:rsidR="00C57BDC" w:rsidRPr="00C57BDC" w14:paraId="6DA7CA8F" w14:textId="77777777" w:rsidTr="001474DF">
        <w:trPr>
          <w:cantSplit/>
        </w:trPr>
        <w:tc>
          <w:tcPr>
            <w:tcW w:w="911" w:type="pct"/>
          </w:tcPr>
          <w:p w14:paraId="28B77579" w14:textId="77777777" w:rsidR="00C57BDC" w:rsidRPr="00C57BDC" w:rsidRDefault="00C57BDC" w:rsidP="00C57BDC">
            <w:pPr>
              <w:rPr>
                <w:rFonts w:eastAsia="Calibri"/>
                <w:sz w:val="20"/>
                <w:szCs w:val="20"/>
              </w:rPr>
            </w:pPr>
            <w:r w:rsidRPr="00C57BDC">
              <w:rPr>
                <w:rFonts w:eastAsia="Calibri"/>
                <w:sz w:val="20"/>
                <w:szCs w:val="20"/>
              </w:rPr>
              <w:t>IRO-010-2</w:t>
            </w:r>
          </w:p>
        </w:tc>
        <w:tc>
          <w:tcPr>
            <w:tcW w:w="715" w:type="pct"/>
          </w:tcPr>
          <w:p w14:paraId="21225BAE" w14:textId="77777777" w:rsidR="00C57BDC" w:rsidRPr="00C57BDC" w:rsidRDefault="00C57BDC" w:rsidP="00C57BDC">
            <w:pPr>
              <w:jc w:val="right"/>
              <w:rPr>
                <w:rFonts w:eastAsia="Calibri"/>
                <w:sz w:val="20"/>
                <w:szCs w:val="20"/>
              </w:rPr>
            </w:pPr>
            <w:r w:rsidRPr="00C57BDC">
              <w:rPr>
                <w:rFonts w:eastAsia="Calibri"/>
                <w:sz w:val="20"/>
                <w:szCs w:val="20"/>
              </w:rPr>
              <w:t>11 (RC)</w:t>
            </w:r>
          </w:p>
        </w:tc>
        <w:tc>
          <w:tcPr>
            <w:tcW w:w="646" w:type="pct"/>
          </w:tcPr>
          <w:p w14:paraId="3E23E8F2"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02AC5160" w14:textId="77777777" w:rsidR="00C57BDC" w:rsidRPr="00C57BDC" w:rsidRDefault="00C57BDC" w:rsidP="00C57BDC">
            <w:pPr>
              <w:jc w:val="right"/>
              <w:rPr>
                <w:rFonts w:eastAsia="Calibri"/>
                <w:sz w:val="20"/>
                <w:szCs w:val="20"/>
              </w:rPr>
            </w:pPr>
            <w:r w:rsidRPr="00C57BDC">
              <w:rPr>
                <w:rFonts w:eastAsia="Calibri"/>
                <w:sz w:val="20"/>
                <w:szCs w:val="20"/>
              </w:rPr>
              <w:t>11</w:t>
            </w:r>
          </w:p>
        </w:tc>
        <w:tc>
          <w:tcPr>
            <w:tcW w:w="689" w:type="pct"/>
          </w:tcPr>
          <w:p w14:paraId="27BA91F7" w14:textId="77777777" w:rsidR="00C57BDC" w:rsidRPr="00C57BDC" w:rsidRDefault="00C57BDC" w:rsidP="00C57BDC">
            <w:pPr>
              <w:jc w:val="right"/>
              <w:rPr>
                <w:rFonts w:eastAsia="Calibri"/>
                <w:sz w:val="20"/>
                <w:szCs w:val="20"/>
              </w:rPr>
            </w:pPr>
            <w:r w:rsidRPr="00C57BDC">
              <w:rPr>
                <w:rFonts w:eastAsia="Calibri"/>
                <w:sz w:val="20"/>
                <w:szCs w:val="20"/>
              </w:rPr>
              <w:t>36 hrs.</w:t>
            </w:r>
          </w:p>
          <w:p w14:paraId="3B7E6C27" w14:textId="2D0CEA56" w:rsidR="00C57BDC" w:rsidRPr="00C57BDC" w:rsidRDefault="00C57BDC" w:rsidP="00C57BDC">
            <w:pPr>
              <w:jc w:val="right"/>
              <w:rPr>
                <w:rFonts w:eastAsia="Calibri"/>
                <w:sz w:val="20"/>
                <w:szCs w:val="20"/>
              </w:rPr>
            </w:pPr>
            <w:r w:rsidRPr="00C57BDC">
              <w:rPr>
                <w:rFonts w:eastAsia="Calibri"/>
                <w:sz w:val="20"/>
                <w:szCs w:val="20"/>
              </w:rPr>
              <w:t>$2,388</w:t>
            </w:r>
          </w:p>
        </w:tc>
        <w:tc>
          <w:tcPr>
            <w:tcW w:w="781" w:type="pct"/>
          </w:tcPr>
          <w:p w14:paraId="7C07E038" w14:textId="29326B91" w:rsidR="00C57BDC" w:rsidRPr="00C57BDC" w:rsidRDefault="00C57BDC" w:rsidP="00C57BDC">
            <w:pPr>
              <w:jc w:val="right"/>
              <w:rPr>
                <w:rFonts w:eastAsia="Calibri"/>
                <w:sz w:val="20"/>
                <w:szCs w:val="20"/>
              </w:rPr>
            </w:pPr>
            <w:r w:rsidRPr="00C57BDC">
              <w:rPr>
                <w:rFonts w:eastAsia="Calibri"/>
                <w:sz w:val="20"/>
                <w:szCs w:val="20"/>
              </w:rPr>
              <w:t>396 hrs., $26,274</w:t>
            </w:r>
          </w:p>
        </w:tc>
        <w:tc>
          <w:tcPr>
            <w:tcW w:w="646" w:type="pct"/>
          </w:tcPr>
          <w:p w14:paraId="5531AC32" w14:textId="00836590" w:rsidR="00C57BDC" w:rsidRPr="00C57BDC" w:rsidRDefault="00C57BDC" w:rsidP="00C57BDC">
            <w:pPr>
              <w:jc w:val="right"/>
              <w:rPr>
                <w:rFonts w:eastAsia="Calibri"/>
                <w:sz w:val="20"/>
                <w:szCs w:val="20"/>
              </w:rPr>
            </w:pPr>
            <w:r w:rsidRPr="00C57BDC">
              <w:rPr>
                <w:rFonts w:eastAsia="Calibri"/>
                <w:sz w:val="20"/>
                <w:szCs w:val="20"/>
              </w:rPr>
              <w:t>36 hrs., $2,388</w:t>
            </w:r>
          </w:p>
        </w:tc>
      </w:tr>
      <w:tr w:rsidR="00C57BDC" w:rsidRPr="00C57BDC" w14:paraId="4CFEC9B2" w14:textId="77777777" w:rsidTr="001474DF">
        <w:trPr>
          <w:cantSplit/>
        </w:trPr>
        <w:tc>
          <w:tcPr>
            <w:tcW w:w="911" w:type="pct"/>
          </w:tcPr>
          <w:p w14:paraId="5912CC54" w14:textId="77777777" w:rsidR="00C57BDC" w:rsidRPr="00C57BDC" w:rsidRDefault="00C57BDC" w:rsidP="00C57BDC">
            <w:pPr>
              <w:rPr>
                <w:rFonts w:eastAsia="Calibri"/>
                <w:sz w:val="20"/>
                <w:szCs w:val="20"/>
              </w:rPr>
            </w:pPr>
            <w:r w:rsidRPr="00C57BDC">
              <w:rPr>
                <w:rFonts w:eastAsia="Calibri"/>
                <w:sz w:val="20"/>
                <w:szCs w:val="20"/>
              </w:rPr>
              <w:t>IRO-014-3</w:t>
            </w:r>
          </w:p>
        </w:tc>
        <w:tc>
          <w:tcPr>
            <w:tcW w:w="715" w:type="pct"/>
          </w:tcPr>
          <w:p w14:paraId="4135A070" w14:textId="77777777" w:rsidR="00C57BDC" w:rsidRPr="00C57BDC" w:rsidRDefault="00C57BDC" w:rsidP="00C57BDC">
            <w:pPr>
              <w:jc w:val="right"/>
              <w:rPr>
                <w:rFonts w:eastAsia="Calibri"/>
                <w:sz w:val="20"/>
                <w:szCs w:val="20"/>
              </w:rPr>
            </w:pPr>
            <w:r w:rsidRPr="00C57BDC">
              <w:rPr>
                <w:rFonts w:eastAsia="Calibri"/>
                <w:sz w:val="20"/>
                <w:szCs w:val="20"/>
              </w:rPr>
              <w:t>11 (RC)</w:t>
            </w:r>
          </w:p>
        </w:tc>
        <w:tc>
          <w:tcPr>
            <w:tcW w:w="646" w:type="pct"/>
          </w:tcPr>
          <w:p w14:paraId="4158AE12"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021ACA06" w14:textId="77777777" w:rsidR="00C57BDC" w:rsidRPr="00C57BDC" w:rsidRDefault="00C57BDC" w:rsidP="00C57BDC">
            <w:pPr>
              <w:jc w:val="right"/>
              <w:rPr>
                <w:rFonts w:eastAsia="Calibri"/>
                <w:sz w:val="20"/>
                <w:szCs w:val="20"/>
              </w:rPr>
            </w:pPr>
            <w:r w:rsidRPr="00C57BDC">
              <w:rPr>
                <w:rFonts w:eastAsia="Calibri"/>
                <w:sz w:val="20"/>
                <w:szCs w:val="20"/>
              </w:rPr>
              <w:t>11</w:t>
            </w:r>
          </w:p>
        </w:tc>
        <w:tc>
          <w:tcPr>
            <w:tcW w:w="689" w:type="pct"/>
          </w:tcPr>
          <w:p w14:paraId="58C507B8" w14:textId="77777777" w:rsidR="00C57BDC" w:rsidRPr="00C57BDC" w:rsidRDefault="00C57BDC" w:rsidP="00C57BDC">
            <w:pPr>
              <w:jc w:val="right"/>
              <w:rPr>
                <w:rFonts w:eastAsia="Calibri"/>
                <w:sz w:val="20"/>
                <w:szCs w:val="20"/>
              </w:rPr>
            </w:pPr>
            <w:r w:rsidRPr="00C57BDC">
              <w:rPr>
                <w:rFonts w:eastAsia="Calibri"/>
                <w:sz w:val="20"/>
                <w:szCs w:val="20"/>
              </w:rPr>
              <w:t>12 hrs.</w:t>
            </w:r>
          </w:p>
          <w:p w14:paraId="19C5F8E3" w14:textId="743D3621" w:rsidR="00C57BDC" w:rsidRPr="00C57BDC" w:rsidRDefault="00C57BDC" w:rsidP="00C57BDC">
            <w:pPr>
              <w:jc w:val="right"/>
              <w:rPr>
                <w:rFonts w:eastAsia="Calibri"/>
                <w:sz w:val="20"/>
                <w:szCs w:val="20"/>
              </w:rPr>
            </w:pPr>
            <w:r w:rsidRPr="00C57BDC">
              <w:rPr>
                <w:rFonts w:eastAsia="Calibri"/>
                <w:sz w:val="20"/>
                <w:szCs w:val="20"/>
              </w:rPr>
              <w:t>$796</w:t>
            </w:r>
          </w:p>
        </w:tc>
        <w:tc>
          <w:tcPr>
            <w:tcW w:w="781" w:type="pct"/>
          </w:tcPr>
          <w:p w14:paraId="1DBF8FC2" w14:textId="77777777" w:rsidR="00C57BDC" w:rsidRDefault="00C57BDC" w:rsidP="00C57BDC">
            <w:pPr>
              <w:jc w:val="right"/>
              <w:rPr>
                <w:rFonts w:eastAsia="Calibri"/>
                <w:sz w:val="20"/>
                <w:szCs w:val="20"/>
              </w:rPr>
            </w:pPr>
            <w:r w:rsidRPr="00C57BDC">
              <w:rPr>
                <w:rFonts w:eastAsia="Calibri"/>
                <w:sz w:val="20"/>
                <w:szCs w:val="20"/>
              </w:rPr>
              <w:t>132 hrs</w:t>
            </w:r>
            <w:proofErr w:type="gramStart"/>
            <w:r w:rsidRPr="00C57BDC">
              <w:rPr>
                <w:rFonts w:eastAsia="Calibri"/>
                <w:sz w:val="20"/>
                <w:szCs w:val="20"/>
              </w:rPr>
              <w:t>.,</w:t>
            </w:r>
            <w:proofErr w:type="gramEnd"/>
            <w:r w:rsidRPr="00C57BDC">
              <w:rPr>
                <w:rFonts w:eastAsia="Calibri"/>
                <w:sz w:val="20"/>
                <w:szCs w:val="20"/>
              </w:rPr>
              <w:t xml:space="preserve"> </w:t>
            </w:r>
          </w:p>
          <w:p w14:paraId="5AE9DB2E" w14:textId="58FAD187" w:rsidR="00C57BDC" w:rsidRPr="00C57BDC" w:rsidRDefault="00C57BDC" w:rsidP="00C57BDC">
            <w:pPr>
              <w:jc w:val="right"/>
              <w:rPr>
                <w:rFonts w:eastAsia="Calibri"/>
                <w:sz w:val="20"/>
                <w:szCs w:val="20"/>
              </w:rPr>
            </w:pPr>
            <w:r w:rsidRPr="00C57BDC">
              <w:rPr>
                <w:rFonts w:eastAsia="Calibri"/>
                <w:sz w:val="20"/>
                <w:szCs w:val="20"/>
              </w:rPr>
              <w:t>$8,758</w:t>
            </w:r>
          </w:p>
        </w:tc>
        <w:tc>
          <w:tcPr>
            <w:tcW w:w="646" w:type="pct"/>
          </w:tcPr>
          <w:p w14:paraId="588A4ED3" w14:textId="0E743AE0" w:rsidR="00C57BDC" w:rsidRPr="00C57BDC" w:rsidRDefault="00C57BDC" w:rsidP="00C57BDC">
            <w:pPr>
              <w:jc w:val="right"/>
              <w:rPr>
                <w:rFonts w:eastAsia="Calibri"/>
                <w:sz w:val="20"/>
                <w:szCs w:val="20"/>
              </w:rPr>
            </w:pPr>
            <w:r w:rsidRPr="00C57BDC">
              <w:rPr>
                <w:rFonts w:eastAsia="Calibri"/>
                <w:sz w:val="20"/>
                <w:szCs w:val="20"/>
              </w:rPr>
              <w:t>12 hrs., $796</w:t>
            </w:r>
          </w:p>
        </w:tc>
      </w:tr>
      <w:tr w:rsidR="00C57BDC" w:rsidRPr="00C57BDC" w14:paraId="698D5211" w14:textId="77777777" w:rsidTr="001474DF">
        <w:trPr>
          <w:cantSplit/>
        </w:trPr>
        <w:tc>
          <w:tcPr>
            <w:tcW w:w="911" w:type="pct"/>
          </w:tcPr>
          <w:p w14:paraId="658C91B8" w14:textId="77777777" w:rsidR="00C57BDC" w:rsidRPr="00C57BDC" w:rsidRDefault="00C57BDC" w:rsidP="00C57BDC">
            <w:pPr>
              <w:rPr>
                <w:rFonts w:eastAsia="Calibri"/>
                <w:sz w:val="20"/>
                <w:szCs w:val="20"/>
              </w:rPr>
            </w:pPr>
            <w:r w:rsidRPr="00C57BDC">
              <w:rPr>
                <w:rFonts w:eastAsia="Calibri"/>
                <w:sz w:val="20"/>
                <w:szCs w:val="20"/>
              </w:rPr>
              <w:t>IRO-017-1</w:t>
            </w:r>
          </w:p>
        </w:tc>
        <w:tc>
          <w:tcPr>
            <w:tcW w:w="715" w:type="pct"/>
          </w:tcPr>
          <w:p w14:paraId="5CBF3ACD" w14:textId="77777777" w:rsidR="00C57BDC" w:rsidRPr="00C57BDC" w:rsidRDefault="00C57BDC" w:rsidP="00C57BDC">
            <w:pPr>
              <w:jc w:val="right"/>
              <w:rPr>
                <w:rFonts w:eastAsia="Calibri"/>
                <w:sz w:val="20"/>
                <w:szCs w:val="20"/>
              </w:rPr>
            </w:pPr>
            <w:r w:rsidRPr="00C57BDC">
              <w:rPr>
                <w:rFonts w:eastAsia="Calibri"/>
                <w:sz w:val="20"/>
                <w:szCs w:val="20"/>
              </w:rPr>
              <w:t>180 (RC, PC, &amp; TP)</w:t>
            </w:r>
          </w:p>
        </w:tc>
        <w:tc>
          <w:tcPr>
            <w:tcW w:w="646" w:type="pct"/>
          </w:tcPr>
          <w:p w14:paraId="2F3FA716"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37F9BDF3" w14:textId="77777777" w:rsidR="00C57BDC" w:rsidRPr="00C57BDC" w:rsidRDefault="00C57BDC" w:rsidP="00C57BDC">
            <w:pPr>
              <w:jc w:val="right"/>
              <w:rPr>
                <w:rFonts w:eastAsia="Calibri"/>
                <w:sz w:val="20"/>
                <w:szCs w:val="20"/>
              </w:rPr>
            </w:pPr>
            <w:r w:rsidRPr="00C57BDC">
              <w:rPr>
                <w:rFonts w:eastAsia="Calibri"/>
                <w:sz w:val="20"/>
                <w:szCs w:val="20"/>
              </w:rPr>
              <w:t>180</w:t>
            </w:r>
          </w:p>
        </w:tc>
        <w:tc>
          <w:tcPr>
            <w:tcW w:w="689" w:type="pct"/>
          </w:tcPr>
          <w:p w14:paraId="02F8EDA5" w14:textId="77777777" w:rsidR="00C57BDC" w:rsidRPr="00C57BDC" w:rsidRDefault="00C57BDC" w:rsidP="00C57BDC">
            <w:pPr>
              <w:jc w:val="right"/>
              <w:rPr>
                <w:rFonts w:eastAsia="Calibri"/>
                <w:sz w:val="20"/>
                <w:szCs w:val="20"/>
              </w:rPr>
            </w:pPr>
            <w:r w:rsidRPr="00C57BDC">
              <w:rPr>
                <w:rFonts w:eastAsia="Calibri"/>
                <w:sz w:val="20"/>
                <w:szCs w:val="20"/>
              </w:rPr>
              <w:t>218 hrs.</w:t>
            </w:r>
          </w:p>
          <w:p w14:paraId="22C188AB" w14:textId="3FAA3433" w:rsidR="00C57BDC" w:rsidRPr="00C57BDC" w:rsidRDefault="00C57BDC" w:rsidP="00C57BDC">
            <w:pPr>
              <w:jc w:val="right"/>
              <w:rPr>
                <w:rFonts w:eastAsia="Calibri"/>
                <w:sz w:val="20"/>
                <w:szCs w:val="20"/>
              </w:rPr>
            </w:pPr>
            <w:r>
              <w:rPr>
                <w:rFonts w:eastAsia="Calibri"/>
                <w:sz w:val="20"/>
                <w:szCs w:val="20"/>
              </w:rPr>
              <w:t>$14,464</w:t>
            </w:r>
          </w:p>
        </w:tc>
        <w:tc>
          <w:tcPr>
            <w:tcW w:w="781" w:type="pct"/>
          </w:tcPr>
          <w:p w14:paraId="75A4C4AA" w14:textId="4FB2CCEE" w:rsidR="00C57BDC" w:rsidRPr="00C57BDC" w:rsidRDefault="00C57BDC" w:rsidP="00C57BDC">
            <w:pPr>
              <w:jc w:val="right"/>
              <w:rPr>
                <w:rFonts w:eastAsia="Calibri"/>
                <w:sz w:val="20"/>
                <w:szCs w:val="20"/>
              </w:rPr>
            </w:pPr>
            <w:r w:rsidRPr="00C57BDC">
              <w:rPr>
                <w:rFonts w:eastAsia="Calibri"/>
                <w:sz w:val="20"/>
                <w:szCs w:val="20"/>
              </w:rPr>
              <w:t>39,240 hrs., $2,603,574</w:t>
            </w:r>
          </w:p>
        </w:tc>
        <w:tc>
          <w:tcPr>
            <w:tcW w:w="646" w:type="pct"/>
          </w:tcPr>
          <w:p w14:paraId="4D19959C" w14:textId="388FA66C" w:rsidR="00C57BDC" w:rsidRPr="00C57BDC" w:rsidRDefault="00C57BDC" w:rsidP="00C57BDC">
            <w:pPr>
              <w:jc w:val="right"/>
              <w:rPr>
                <w:rFonts w:eastAsia="Calibri"/>
                <w:sz w:val="20"/>
                <w:szCs w:val="20"/>
              </w:rPr>
            </w:pPr>
            <w:r w:rsidRPr="00C57BDC">
              <w:rPr>
                <w:rFonts w:eastAsia="Calibri"/>
                <w:sz w:val="20"/>
                <w:szCs w:val="20"/>
              </w:rPr>
              <w:t>218 hrs., $14,464</w:t>
            </w:r>
          </w:p>
        </w:tc>
      </w:tr>
      <w:tr w:rsidR="00C57BDC" w:rsidRPr="00C57BDC" w14:paraId="0D600232" w14:textId="77777777" w:rsidTr="001474DF">
        <w:trPr>
          <w:cantSplit/>
        </w:trPr>
        <w:tc>
          <w:tcPr>
            <w:tcW w:w="911" w:type="pct"/>
          </w:tcPr>
          <w:p w14:paraId="6D92528E" w14:textId="77777777" w:rsidR="00C57BDC" w:rsidRPr="00C57BDC" w:rsidRDefault="00C57BDC" w:rsidP="00C57BDC">
            <w:pPr>
              <w:rPr>
                <w:rFonts w:eastAsia="Calibri"/>
                <w:sz w:val="20"/>
                <w:szCs w:val="20"/>
              </w:rPr>
            </w:pPr>
            <w:r w:rsidRPr="00C57BDC">
              <w:rPr>
                <w:rFonts w:eastAsia="Calibri"/>
                <w:sz w:val="20"/>
                <w:szCs w:val="20"/>
              </w:rPr>
              <w:t>Sub-Total for FERC-725Z</w:t>
            </w:r>
          </w:p>
        </w:tc>
        <w:tc>
          <w:tcPr>
            <w:tcW w:w="715" w:type="pct"/>
            <w:shd w:val="clear" w:color="auto" w:fill="D9D9D9" w:themeFill="background1" w:themeFillShade="D9"/>
          </w:tcPr>
          <w:p w14:paraId="2175FF82" w14:textId="77777777" w:rsidR="00C57BDC" w:rsidRPr="00C57BDC" w:rsidRDefault="00C57BDC" w:rsidP="00C57BDC">
            <w:pPr>
              <w:jc w:val="right"/>
              <w:rPr>
                <w:rFonts w:eastAsia="Calibri"/>
                <w:sz w:val="20"/>
                <w:szCs w:val="20"/>
              </w:rPr>
            </w:pPr>
          </w:p>
        </w:tc>
        <w:tc>
          <w:tcPr>
            <w:tcW w:w="646" w:type="pct"/>
            <w:shd w:val="clear" w:color="auto" w:fill="D9D9D9" w:themeFill="background1" w:themeFillShade="D9"/>
          </w:tcPr>
          <w:p w14:paraId="46D7E3AF" w14:textId="77777777" w:rsidR="00C57BDC" w:rsidRPr="00C57BDC" w:rsidRDefault="00C57BDC" w:rsidP="00C57BDC">
            <w:pPr>
              <w:jc w:val="right"/>
              <w:rPr>
                <w:rFonts w:eastAsia="Calibri"/>
                <w:sz w:val="20"/>
                <w:szCs w:val="20"/>
              </w:rPr>
            </w:pPr>
          </w:p>
        </w:tc>
        <w:tc>
          <w:tcPr>
            <w:tcW w:w="612" w:type="pct"/>
            <w:shd w:val="clear" w:color="auto" w:fill="D9D9D9" w:themeFill="background1" w:themeFillShade="D9"/>
          </w:tcPr>
          <w:p w14:paraId="63469906" w14:textId="77777777" w:rsidR="00C57BDC" w:rsidRPr="00C57BDC" w:rsidRDefault="00C57BDC" w:rsidP="00C57BDC">
            <w:pPr>
              <w:jc w:val="right"/>
              <w:rPr>
                <w:rFonts w:eastAsia="Calibri"/>
                <w:sz w:val="20"/>
                <w:szCs w:val="20"/>
              </w:rPr>
            </w:pPr>
          </w:p>
        </w:tc>
        <w:tc>
          <w:tcPr>
            <w:tcW w:w="689" w:type="pct"/>
            <w:shd w:val="clear" w:color="auto" w:fill="D9D9D9" w:themeFill="background1" w:themeFillShade="D9"/>
          </w:tcPr>
          <w:p w14:paraId="26695CF7" w14:textId="77777777" w:rsidR="00C57BDC" w:rsidRPr="00C57BDC" w:rsidRDefault="00C57BDC" w:rsidP="00C57BDC">
            <w:pPr>
              <w:jc w:val="right"/>
              <w:rPr>
                <w:rFonts w:eastAsia="Calibri"/>
                <w:sz w:val="20"/>
                <w:szCs w:val="20"/>
              </w:rPr>
            </w:pPr>
          </w:p>
        </w:tc>
        <w:tc>
          <w:tcPr>
            <w:tcW w:w="781" w:type="pct"/>
          </w:tcPr>
          <w:p w14:paraId="332024C8" w14:textId="77777777" w:rsidR="00C57BDC" w:rsidRPr="00C57BDC" w:rsidRDefault="00C57BDC" w:rsidP="00C57BDC">
            <w:pPr>
              <w:jc w:val="right"/>
              <w:rPr>
                <w:rFonts w:eastAsia="Calibri"/>
                <w:sz w:val="20"/>
                <w:szCs w:val="20"/>
              </w:rPr>
            </w:pPr>
            <w:r w:rsidRPr="00C57BDC">
              <w:rPr>
                <w:rFonts w:eastAsia="Calibri"/>
                <w:sz w:val="20"/>
                <w:szCs w:val="20"/>
              </w:rPr>
              <w:t>42,540 hrs., $2,822,529.00</w:t>
            </w:r>
          </w:p>
        </w:tc>
        <w:tc>
          <w:tcPr>
            <w:tcW w:w="646" w:type="pct"/>
            <w:shd w:val="clear" w:color="auto" w:fill="D9D9D9" w:themeFill="background1" w:themeFillShade="D9"/>
          </w:tcPr>
          <w:p w14:paraId="732FD735" w14:textId="77777777" w:rsidR="00C57BDC" w:rsidRPr="00C57BDC" w:rsidRDefault="00C57BDC" w:rsidP="00C57BDC">
            <w:pPr>
              <w:jc w:val="right"/>
              <w:rPr>
                <w:rFonts w:eastAsia="Calibri"/>
                <w:sz w:val="20"/>
                <w:szCs w:val="20"/>
              </w:rPr>
            </w:pPr>
          </w:p>
        </w:tc>
      </w:tr>
      <w:tr w:rsidR="00C57BDC" w:rsidRPr="00C57BDC" w14:paraId="23493ACC" w14:textId="77777777" w:rsidTr="001474DF">
        <w:trPr>
          <w:cantSplit/>
        </w:trPr>
        <w:tc>
          <w:tcPr>
            <w:tcW w:w="911" w:type="pct"/>
          </w:tcPr>
          <w:p w14:paraId="3740E7E5" w14:textId="77777777" w:rsidR="00C57BDC" w:rsidRPr="00C57BDC" w:rsidRDefault="00C57BDC" w:rsidP="00C57BDC">
            <w:pPr>
              <w:rPr>
                <w:rFonts w:eastAsia="Calibri"/>
                <w:sz w:val="20"/>
                <w:szCs w:val="20"/>
              </w:rPr>
            </w:pPr>
            <w:r w:rsidRPr="00C57BDC">
              <w:rPr>
                <w:rFonts w:eastAsia="Calibri"/>
                <w:sz w:val="20"/>
                <w:szCs w:val="20"/>
              </w:rPr>
              <w:t>Retirement of current standards currently in FERC-725A</w:t>
            </w:r>
          </w:p>
        </w:tc>
        <w:tc>
          <w:tcPr>
            <w:tcW w:w="715" w:type="pct"/>
          </w:tcPr>
          <w:p w14:paraId="500D0AB7" w14:textId="77777777" w:rsidR="00C57BDC" w:rsidRPr="00C57BDC" w:rsidRDefault="00C57BDC" w:rsidP="00C57BDC">
            <w:pPr>
              <w:jc w:val="right"/>
              <w:rPr>
                <w:rFonts w:eastAsia="Calibri"/>
                <w:sz w:val="20"/>
                <w:szCs w:val="20"/>
              </w:rPr>
            </w:pPr>
            <w:r w:rsidRPr="00C57BDC">
              <w:rPr>
                <w:rFonts w:eastAsia="Calibri"/>
                <w:sz w:val="20"/>
                <w:szCs w:val="20"/>
              </w:rPr>
              <w:t>457(RC, TOP, BA, TSP, LSE, PSE, &amp; IA)</w:t>
            </w:r>
          </w:p>
        </w:tc>
        <w:tc>
          <w:tcPr>
            <w:tcW w:w="646" w:type="pct"/>
          </w:tcPr>
          <w:p w14:paraId="1F60F61C" w14:textId="77777777" w:rsidR="00C57BDC" w:rsidRPr="00C57BDC" w:rsidRDefault="00C57BDC" w:rsidP="00C57BDC">
            <w:pPr>
              <w:jc w:val="right"/>
              <w:rPr>
                <w:rFonts w:eastAsia="Calibri"/>
                <w:sz w:val="20"/>
                <w:szCs w:val="20"/>
              </w:rPr>
            </w:pPr>
            <w:r w:rsidRPr="00C57BDC">
              <w:rPr>
                <w:rFonts w:eastAsia="Calibri"/>
                <w:sz w:val="20"/>
                <w:szCs w:val="20"/>
              </w:rPr>
              <w:t>1</w:t>
            </w:r>
          </w:p>
        </w:tc>
        <w:tc>
          <w:tcPr>
            <w:tcW w:w="612" w:type="pct"/>
          </w:tcPr>
          <w:p w14:paraId="65CE4BAA" w14:textId="77777777" w:rsidR="00C57BDC" w:rsidRPr="00C57BDC" w:rsidRDefault="00C57BDC" w:rsidP="00C57BDC">
            <w:pPr>
              <w:jc w:val="right"/>
              <w:rPr>
                <w:rFonts w:eastAsia="Calibri"/>
                <w:sz w:val="20"/>
                <w:szCs w:val="20"/>
              </w:rPr>
            </w:pPr>
            <w:r w:rsidRPr="00C57BDC">
              <w:rPr>
                <w:rFonts w:eastAsia="Calibri"/>
                <w:sz w:val="20"/>
                <w:szCs w:val="20"/>
              </w:rPr>
              <w:t>457</w:t>
            </w:r>
          </w:p>
        </w:tc>
        <w:tc>
          <w:tcPr>
            <w:tcW w:w="689" w:type="pct"/>
          </w:tcPr>
          <w:p w14:paraId="36399B24" w14:textId="77777777" w:rsidR="00C57BDC" w:rsidRPr="00C57BDC" w:rsidRDefault="00C57BDC" w:rsidP="00C57BDC">
            <w:pPr>
              <w:jc w:val="right"/>
              <w:rPr>
                <w:rFonts w:eastAsia="Calibri"/>
                <w:sz w:val="20"/>
                <w:szCs w:val="20"/>
              </w:rPr>
            </w:pPr>
            <w:r w:rsidRPr="00C57BDC">
              <w:rPr>
                <w:rFonts w:eastAsia="Calibri"/>
                <w:sz w:val="20"/>
                <w:szCs w:val="20"/>
              </w:rPr>
              <w:t>-223 hrs.</w:t>
            </w:r>
          </w:p>
          <w:p w14:paraId="5B017A82" w14:textId="2EB1FB1B" w:rsidR="00C57BDC" w:rsidRPr="00C57BDC" w:rsidRDefault="00C57BDC" w:rsidP="00C57BDC">
            <w:pPr>
              <w:jc w:val="right"/>
              <w:rPr>
                <w:rFonts w:eastAsia="Calibri"/>
                <w:sz w:val="20"/>
                <w:szCs w:val="20"/>
              </w:rPr>
            </w:pPr>
            <w:r w:rsidRPr="00C57BDC">
              <w:rPr>
                <w:rFonts w:eastAsia="Calibri"/>
                <w:sz w:val="20"/>
                <w:szCs w:val="20"/>
              </w:rPr>
              <w:t>-$14,796</w:t>
            </w:r>
          </w:p>
        </w:tc>
        <w:tc>
          <w:tcPr>
            <w:tcW w:w="781" w:type="pct"/>
          </w:tcPr>
          <w:p w14:paraId="62C5C389" w14:textId="77777777" w:rsidR="00C57BDC" w:rsidRPr="00C57BDC" w:rsidRDefault="00C57BDC" w:rsidP="00C57BDC">
            <w:pPr>
              <w:jc w:val="right"/>
              <w:rPr>
                <w:rFonts w:eastAsia="Calibri"/>
                <w:sz w:val="20"/>
                <w:szCs w:val="20"/>
              </w:rPr>
            </w:pPr>
            <w:r w:rsidRPr="00C57BDC">
              <w:rPr>
                <w:rFonts w:eastAsia="Calibri"/>
                <w:sz w:val="20"/>
                <w:szCs w:val="20"/>
              </w:rPr>
              <w:t>-101,911 hrs</w:t>
            </w:r>
            <w:proofErr w:type="gramStart"/>
            <w:r w:rsidRPr="00C57BDC">
              <w:rPr>
                <w:rFonts w:eastAsia="Calibri"/>
                <w:sz w:val="20"/>
                <w:szCs w:val="20"/>
              </w:rPr>
              <w:t>.,</w:t>
            </w:r>
            <w:proofErr w:type="gramEnd"/>
            <w:r w:rsidRPr="00C57BDC">
              <w:rPr>
                <w:rFonts w:eastAsia="Calibri"/>
                <w:sz w:val="20"/>
                <w:szCs w:val="20"/>
              </w:rPr>
              <w:t xml:space="preserve"> </w:t>
            </w:r>
          </w:p>
          <w:p w14:paraId="57EB57B4" w14:textId="5DED62CA" w:rsidR="00C57BDC" w:rsidRPr="00C57BDC" w:rsidRDefault="00C57BDC" w:rsidP="00C57BDC">
            <w:pPr>
              <w:jc w:val="right"/>
              <w:rPr>
                <w:rFonts w:eastAsia="Calibri"/>
                <w:sz w:val="20"/>
                <w:szCs w:val="20"/>
              </w:rPr>
            </w:pPr>
            <w:r w:rsidRPr="00C57BDC">
              <w:rPr>
                <w:rFonts w:eastAsia="Calibri"/>
                <w:sz w:val="20"/>
                <w:szCs w:val="20"/>
              </w:rPr>
              <w:t>-$6,761,794</w:t>
            </w:r>
          </w:p>
        </w:tc>
        <w:tc>
          <w:tcPr>
            <w:tcW w:w="646" w:type="pct"/>
          </w:tcPr>
          <w:p w14:paraId="7A9074AC" w14:textId="77777777" w:rsidR="00C57BDC" w:rsidRPr="00C57BDC" w:rsidRDefault="00C57BDC" w:rsidP="00C57BDC">
            <w:pPr>
              <w:jc w:val="right"/>
              <w:rPr>
                <w:rFonts w:eastAsia="Calibri"/>
                <w:sz w:val="20"/>
                <w:szCs w:val="20"/>
              </w:rPr>
            </w:pPr>
            <w:r w:rsidRPr="00C57BDC">
              <w:rPr>
                <w:rFonts w:eastAsia="Calibri"/>
                <w:sz w:val="20"/>
                <w:szCs w:val="20"/>
              </w:rPr>
              <w:t>-223 hrs.</w:t>
            </w:r>
          </w:p>
          <w:p w14:paraId="12D8D3FD" w14:textId="59361A13" w:rsidR="00C57BDC" w:rsidRPr="00C57BDC" w:rsidRDefault="00C57BDC" w:rsidP="00C57BDC">
            <w:pPr>
              <w:rPr>
                <w:rFonts w:eastAsia="Calibri"/>
                <w:sz w:val="20"/>
                <w:szCs w:val="20"/>
              </w:rPr>
            </w:pPr>
            <w:r w:rsidRPr="00C57BDC">
              <w:rPr>
                <w:rFonts w:eastAsia="Calibri"/>
                <w:sz w:val="20"/>
                <w:szCs w:val="20"/>
              </w:rPr>
              <w:t>-$14,796</w:t>
            </w:r>
          </w:p>
        </w:tc>
      </w:tr>
      <w:tr w:rsidR="00C57BDC" w:rsidRPr="00C57BDC" w14:paraId="5FB6E05E" w14:textId="77777777" w:rsidTr="001474DF">
        <w:trPr>
          <w:cantSplit/>
          <w:trHeight w:val="485"/>
        </w:trPr>
        <w:tc>
          <w:tcPr>
            <w:tcW w:w="911" w:type="pct"/>
            <w:tcBorders>
              <w:bottom w:val="single" w:sz="4" w:space="0" w:color="auto"/>
            </w:tcBorders>
          </w:tcPr>
          <w:p w14:paraId="4B616C31" w14:textId="77777777" w:rsidR="00C57BDC" w:rsidRPr="00C57BDC" w:rsidRDefault="00C57BDC" w:rsidP="00C57BDC">
            <w:pPr>
              <w:rPr>
                <w:rFonts w:eastAsia="Calibri"/>
                <w:b/>
                <w:sz w:val="20"/>
                <w:szCs w:val="20"/>
              </w:rPr>
            </w:pPr>
            <w:r w:rsidRPr="00C57BDC">
              <w:rPr>
                <w:rFonts w:eastAsia="Calibri"/>
                <w:b/>
                <w:sz w:val="20"/>
                <w:szCs w:val="20"/>
              </w:rPr>
              <w:t>NET TOTAL of NOPR in RM15-16</w:t>
            </w:r>
          </w:p>
        </w:tc>
        <w:tc>
          <w:tcPr>
            <w:tcW w:w="1361" w:type="pct"/>
            <w:gridSpan w:val="2"/>
            <w:tcBorders>
              <w:bottom w:val="single" w:sz="4" w:space="0" w:color="auto"/>
            </w:tcBorders>
            <w:shd w:val="clear" w:color="auto" w:fill="BFBFBF"/>
          </w:tcPr>
          <w:p w14:paraId="73806399" w14:textId="77777777" w:rsidR="00C57BDC" w:rsidRPr="00C57BDC" w:rsidRDefault="00C57BDC" w:rsidP="00C57BDC">
            <w:pPr>
              <w:jc w:val="right"/>
              <w:rPr>
                <w:rFonts w:eastAsia="Calibri"/>
                <w:sz w:val="20"/>
                <w:szCs w:val="20"/>
              </w:rPr>
            </w:pPr>
          </w:p>
        </w:tc>
        <w:tc>
          <w:tcPr>
            <w:tcW w:w="612" w:type="pct"/>
            <w:tcBorders>
              <w:bottom w:val="single" w:sz="4" w:space="0" w:color="auto"/>
            </w:tcBorders>
            <w:shd w:val="clear" w:color="auto" w:fill="auto"/>
          </w:tcPr>
          <w:p w14:paraId="1F79CF95" w14:textId="77777777" w:rsidR="00C57BDC" w:rsidRPr="00C57BDC" w:rsidRDefault="00C57BDC" w:rsidP="00C57BDC">
            <w:pPr>
              <w:jc w:val="right"/>
              <w:rPr>
                <w:rFonts w:eastAsia="Calibri"/>
                <w:b/>
                <w:sz w:val="20"/>
                <w:szCs w:val="20"/>
              </w:rPr>
            </w:pPr>
          </w:p>
        </w:tc>
        <w:tc>
          <w:tcPr>
            <w:tcW w:w="689" w:type="pct"/>
            <w:tcBorders>
              <w:bottom w:val="single" w:sz="4" w:space="0" w:color="auto"/>
            </w:tcBorders>
            <w:shd w:val="clear" w:color="auto" w:fill="BFBFBF"/>
          </w:tcPr>
          <w:p w14:paraId="1F1D494B" w14:textId="77777777" w:rsidR="00C57BDC" w:rsidRPr="00C57BDC" w:rsidRDefault="00C57BDC" w:rsidP="00C57BDC">
            <w:pPr>
              <w:jc w:val="right"/>
              <w:rPr>
                <w:rFonts w:eastAsia="Calibri"/>
                <w:sz w:val="20"/>
                <w:szCs w:val="20"/>
              </w:rPr>
            </w:pPr>
          </w:p>
        </w:tc>
        <w:tc>
          <w:tcPr>
            <w:tcW w:w="781" w:type="pct"/>
            <w:tcBorders>
              <w:bottom w:val="single" w:sz="4" w:space="0" w:color="auto"/>
            </w:tcBorders>
          </w:tcPr>
          <w:p w14:paraId="419184A2" w14:textId="3170E2A6" w:rsidR="00C57BDC" w:rsidRPr="00C57BDC" w:rsidRDefault="00C57BDC" w:rsidP="00C57BDC">
            <w:pPr>
              <w:jc w:val="right"/>
              <w:rPr>
                <w:rFonts w:eastAsia="Calibri"/>
                <w:b/>
                <w:sz w:val="20"/>
                <w:szCs w:val="20"/>
              </w:rPr>
            </w:pPr>
            <w:r w:rsidRPr="00C57BDC">
              <w:rPr>
                <w:rFonts w:eastAsia="Calibri"/>
                <w:b/>
                <w:sz w:val="20"/>
                <w:szCs w:val="20"/>
              </w:rPr>
              <w:t xml:space="preserve">63,881 </w:t>
            </w:r>
            <w:proofErr w:type="spellStart"/>
            <w:r w:rsidRPr="00C57BDC">
              <w:rPr>
                <w:rFonts w:eastAsia="Calibri"/>
                <w:b/>
                <w:sz w:val="20"/>
                <w:szCs w:val="20"/>
              </w:rPr>
              <w:t>hrs</w:t>
            </w:r>
            <w:proofErr w:type="spellEnd"/>
            <w:r w:rsidRPr="00C57BDC">
              <w:rPr>
                <w:rFonts w:eastAsia="Calibri"/>
                <w:b/>
                <w:sz w:val="20"/>
                <w:szCs w:val="20"/>
              </w:rPr>
              <w:t>, $3,993,540</w:t>
            </w:r>
          </w:p>
        </w:tc>
        <w:tc>
          <w:tcPr>
            <w:tcW w:w="646" w:type="pct"/>
            <w:tcBorders>
              <w:bottom w:val="single" w:sz="4" w:space="0" w:color="auto"/>
            </w:tcBorders>
            <w:shd w:val="clear" w:color="auto" w:fill="BFBFBF"/>
          </w:tcPr>
          <w:p w14:paraId="069A1226" w14:textId="77777777" w:rsidR="00C57BDC" w:rsidRPr="00C57BDC" w:rsidRDefault="00C57BDC" w:rsidP="00C57BDC">
            <w:pPr>
              <w:jc w:val="right"/>
              <w:rPr>
                <w:rFonts w:eastAsia="Calibri"/>
                <w:b/>
                <w:sz w:val="20"/>
                <w:szCs w:val="20"/>
              </w:rPr>
            </w:pPr>
          </w:p>
        </w:tc>
      </w:tr>
    </w:tbl>
    <w:p w14:paraId="27B5CFA8" w14:textId="77777777" w:rsidR="00C57BDC" w:rsidRPr="00C57BDC" w:rsidRDefault="00C57BDC" w:rsidP="00C57BDC">
      <w:pPr>
        <w:pStyle w:val="FERCparanumber"/>
        <w:numPr>
          <w:ilvl w:val="0"/>
          <w:numId w:val="0"/>
        </w:numPr>
        <w:tabs>
          <w:tab w:val="left" w:pos="720"/>
        </w:tabs>
      </w:pPr>
      <w:r w:rsidRPr="00C57BDC">
        <w:rPr>
          <w:u w:val="single"/>
        </w:rPr>
        <w:t>Title</w:t>
      </w:r>
      <w:r w:rsidRPr="00C57BDC">
        <w:t xml:space="preserve">:  FERC-725Z, Mandatory Reliability Standards:  IRO Reliability Standards, and FERC-725A, Mandatory Reliability Standards for the Bulk-Power System </w:t>
      </w:r>
    </w:p>
    <w:p w14:paraId="04EC360E" w14:textId="77777777" w:rsidR="00C57BDC" w:rsidRPr="00C57BDC" w:rsidRDefault="00C57BDC" w:rsidP="00C57BDC">
      <w:pPr>
        <w:pStyle w:val="LegalFormat"/>
        <w:numPr>
          <w:ilvl w:val="0"/>
          <w:numId w:val="0"/>
        </w:numPr>
        <w:tabs>
          <w:tab w:val="left" w:pos="720"/>
        </w:tabs>
        <w:spacing w:line="480" w:lineRule="auto"/>
      </w:pPr>
      <w:r w:rsidRPr="00C57BDC">
        <w:rPr>
          <w:u w:val="single"/>
        </w:rPr>
        <w:t>Action</w:t>
      </w:r>
      <w:r w:rsidRPr="00C57BDC">
        <w:t>:  Proposed Changes to Collections.</w:t>
      </w:r>
    </w:p>
    <w:p w14:paraId="74E25847" w14:textId="77777777" w:rsidR="00C57BDC" w:rsidRPr="00C57BDC" w:rsidRDefault="00C57BDC" w:rsidP="00C57BDC">
      <w:pPr>
        <w:pStyle w:val="LegalFormat"/>
        <w:numPr>
          <w:ilvl w:val="0"/>
          <w:numId w:val="0"/>
        </w:numPr>
        <w:tabs>
          <w:tab w:val="left" w:pos="720"/>
        </w:tabs>
        <w:spacing w:line="480" w:lineRule="auto"/>
      </w:pPr>
      <w:r w:rsidRPr="00C57BDC">
        <w:rPr>
          <w:u w:val="single"/>
        </w:rPr>
        <w:t>OMB Control Nos</w:t>
      </w:r>
      <w:r w:rsidRPr="00C57BDC">
        <w:t>:  1902-0276 (FERC-725Z); 1902-0244(FERC-725A)</w:t>
      </w:r>
    </w:p>
    <w:p w14:paraId="2A61878B" w14:textId="77777777" w:rsidR="00C57BDC" w:rsidRPr="00C57BDC" w:rsidRDefault="00C57BDC" w:rsidP="00C57BDC">
      <w:pPr>
        <w:pStyle w:val="LegalFormat"/>
        <w:numPr>
          <w:ilvl w:val="0"/>
          <w:numId w:val="0"/>
        </w:numPr>
        <w:tabs>
          <w:tab w:val="left" w:pos="720"/>
        </w:tabs>
        <w:spacing w:line="480" w:lineRule="auto"/>
      </w:pPr>
      <w:r w:rsidRPr="00C57BDC">
        <w:rPr>
          <w:u w:val="single"/>
        </w:rPr>
        <w:t>Respondents</w:t>
      </w:r>
      <w:r w:rsidRPr="00C57BDC">
        <w:t>:  Business or other for-profit and not-for-profit institutions.</w:t>
      </w:r>
    </w:p>
    <w:p w14:paraId="7A999A9C" w14:textId="77777777" w:rsidR="00C57BDC" w:rsidRPr="00C57BDC" w:rsidRDefault="00C57BDC" w:rsidP="00C57BDC">
      <w:pPr>
        <w:pStyle w:val="LegalFormat"/>
        <w:numPr>
          <w:ilvl w:val="0"/>
          <w:numId w:val="0"/>
        </w:numPr>
        <w:tabs>
          <w:tab w:val="left" w:pos="720"/>
        </w:tabs>
        <w:spacing w:line="480" w:lineRule="auto"/>
      </w:pPr>
      <w:r w:rsidRPr="00C57BDC">
        <w:rPr>
          <w:u w:val="single"/>
        </w:rPr>
        <w:t>Frequency of Responses</w:t>
      </w:r>
      <w:r w:rsidRPr="00C57BDC">
        <w:t xml:space="preserve">:  On-going. </w:t>
      </w:r>
    </w:p>
    <w:p w14:paraId="71CD5EEF" w14:textId="2225E70A" w:rsidR="00C57BDC" w:rsidRPr="00C57BDC" w:rsidRDefault="00C57BDC" w:rsidP="008E1E09">
      <w:pPr>
        <w:pStyle w:val="StyleFERCparanumberLinespacingDouble"/>
        <w:numPr>
          <w:ilvl w:val="0"/>
          <w:numId w:val="1"/>
        </w:numPr>
        <w:tabs>
          <w:tab w:val="clear" w:pos="810"/>
        </w:tabs>
        <w:autoSpaceDE w:val="0"/>
        <w:autoSpaceDN w:val="0"/>
        <w:adjustRightInd w:val="0"/>
        <w:ind w:left="0"/>
      </w:pPr>
      <w:r w:rsidRPr="00C57BDC">
        <w:rPr>
          <w:u w:val="single"/>
        </w:rPr>
        <w:t>Necessity of the Information and Internal review</w:t>
      </w:r>
      <w:r w:rsidRPr="00C57BDC">
        <w:t>:  The Commission has reviewed the requirements pertaining to the proposed Reliability Standards TOP-001-3, TOP-002-4, TOP-003-3, IRO-001-4, IRO-002-4, IRO-008-2, IRO-010-2, IRO-014-3, and IRO-017-1 and made a determination that the proposed requirements of th</w:t>
      </w:r>
      <w:r w:rsidR="00785DE5">
        <w:t>ese</w:t>
      </w:r>
      <w:r w:rsidRPr="00C57BDC">
        <w:t xml:space="preserve"> standard</w:t>
      </w:r>
      <w:r w:rsidR="00785DE5">
        <w:t>s</w:t>
      </w:r>
      <w:r w:rsidRPr="00C57BDC">
        <w:t xml:space="preserve"> are necessary to implement section 215 of the FPA. </w:t>
      </w:r>
      <w:r w:rsidRPr="00C57BDC">
        <w:rPr>
          <w:szCs w:val="26"/>
        </w:rPr>
        <w:t xml:space="preserve">These requirements conform to the Commission’s plan for efficient information collection, communication and management within the energy industry. </w:t>
      </w:r>
      <w:r w:rsidRPr="00C57BDC">
        <w:t xml:space="preserve"> The Commission has assured itself, by means of its internal review, that there is specific, objective support for the burden estimates associated with the information requirements.</w:t>
      </w:r>
    </w:p>
    <w:p w14:paraId="6EBFF839" w14:textId="77777777" w:rsidR="00C57BDC" w:rsidRPr="00C57BDC" w:rsidRDefault="00C57BDC" w:rsidP="008E1E09">
      <w:pPr>
        <w:pStyle w:val="StyleFERCparanumberLinespacingDouble"/>
        <w:numPr>
          <w:ilvl w:val="0"/>
          <w:numId w:val="1"/>
        </w:numPr>
        <w:tabs>
          <w:tab w:val="clear" w:pos="810"/>
        </w:tabs>
        <w:autoSpaceDE w:val="0"/>
        <w:autoSpaceDN w:val="0"/>
        <w:adjustRightInd w:val="0"/>
        <w:ind w:left="0"/>
      </w:pPr>
      <w:r w:rsidRPr="00C57BDC">
        <w:t xml:space="preserve">Interested persons may obtain information on the reporting requirements by contacting the Federal Energy Regulatory Commission, Office of the Executive Director, 888 First Street, NE, Washington, DC  20426 [Attention:  Ellen Brown, e-mail:  DataClearance@ferc.gov, phone:  (202) 502-8663, fax:  (202) 273-0873]. </w:t>
      </w:r>
    </w:p>
    <w:p w14:paraId="55A29738" w14:textId="77777777" w:rsidR="00C57BDC" w:rsidRPr="00C57BDC" w:rsidRDefault="00C57BDC" w:rsidP="008E1E09">
      <w:pPr>
        <w:pStyle w:val="StyleFERCparanumberLinespacingDouble"/>
        <w:numPr>
          <w:ilvl w:val="0"/>
          <w:numId w:val="1"/>
        </w:numPr>
        <w:tabs>
          <w:tab w:val="clear" w:pos="810"/>
        </w:tabs>
        <w:autoSpaceDE w:val="0"/>
        <w:autoSpaceDN w:val="0"/>
        <w:adjustRightInd w:val="0"/>
        <w:ind w:left="0"/>
      </w:pPr>
      <w:r w:rsidRPr="00C57BDC">
        <w:t>Comments concerning the information collections proposed in this NOPR and the associated burden estimates, should be sent to the Commission in this docket and may also be sent to the Office of Management and Budget, Office of Information and Regulatory Affairs [Attention:  Desk Officer for the Federal Energy Regulatory Commission].  For security reasons, comments should be sent by e-mail to OMB at the following e-mail address: oira_submission@omb.eop.gov.  Please reference OMB Control Nos. 1902-0276 (FERC-725Z) and 1902-0244 (FERC-725A)) in your submission.</w:t>
      </w:r>
    </w:p>
    <w:p w14:paraId="59902A91" w14:textId="77777777" w:rsidR="00C57BDC" w:rsidRPr="00C57BDC" w:rsidRDefault="00C57BDC" w:rsidP="00C57BDC">
      <w:pPr>
        <w:pStyle w:val="Heading1"/>
        <w:numPr>
          <w:ilvl w:val="0"/>
          <w:numId w:val="13"/>
        </w:numPr>
        <w:ind w:left="0" w:firstLine="0"/>
        <w:rPr>
          <w:szCs w:val="26"/>
        </w:rPr>
      </w:pPr>
      <w:r w:rsidRPr="00C57BDC">
        <w:rPr>
          <w:szCs w:val="26"/>
        </w:rPr>
        <w:t>Environmental Analysis</w:t>
      </w:r>
    </w:p>
    <w:p w14:paraId="0ABDD3BF" w14:textId="77777777" w:rsidR="00C57BDC" w:rsidRPr="00C57BDC" w:rsidRDefault="00C57BDC" w:rsidP="008E1E09">
      <w:pPr>
        <w:pStyle w:val="FERCparanumber"/>
        <w:tabs>
          <w:tab w:val="clear" w:pos="810"/>
          <w:tab w:val="num" w:pos="720"/>
        </w:tabs>
        <w:ind w:left="0"/>
        <w:rPr>
          <w:szCs w:val="26"/>
        </w:rPr>
      </w:pPr>
      <w:r w:rsidRPr="00C57BDC">
        <w:rPr>
          <w:szCs w:val="26"/>
        </w:rPr>
        <w:t>The Commission is required to prepare an Environmental Assessment or an Environmental Impact Statement for any action that may have a significant adverse effect on the human environment.</w:t>
      </w:r>
      <w:r w:rsidRPr="00C57BDC">
        <w:rPr>
          <w:rStyle w:val="FootnoteReference"/>
        </w:rPr>
        <w:footnoteReference w:id="70"/>
      </w:r>
      <w:r w:rsidRPr="00C57BDC">
        <w:rPr>
          <w:szCs w:val="26"/>
        </w:rPr>
        <w:t xml:space="preserve">  </w:t>
      </w:r>
      <w:r w:rsidRPr="00C57BDC">
        <w:t xml:space="preserve">The Commission has categorically excluded certain actions from this requirement as not having a significant effect on the human environment. Included in the exclusion are rules that are clarifying, corrective, or procedural or that </w:t>
      </w:r>
      <w:proofErr w:type="gramStart"/>
      <w:r w:rsidRPr="00C57BDC">
        <w:t>do</w:t>
      </w:r>
      <w:proofErr w:type="gramEnd"/>
      <w:r w:rsidRPr="00C57BDC">
        <w:t xml:space="preserve"> not substantially change the effect of the regulations being amended.</w:t>
      </w:r>
      <w:r w:rsidRPr="00C57BDC">
        <w:rPr>
          <w:rStyle w:val="FootnoteReference"/>
        </w:rPr>
        <w:footnoteReference w:id="71"/>
      </w:r>
      <w:r w:rsidRPr="00C57BDC">
        <w:t xml:space="preserve">  </w:t>
      </w:r>
      <w:r w:rsidRPr="00C57BDC">
        <w:rPr>
          <w:position w:val="8"/>
          <w:sz w:val="17"/>
          <w:szCs w:val="17"/>
          <w:vertAlign w:val="superscript"/>
        </w:rPr>
        <w:t xml:space="preserve"> </w:t>
      </w:r>
      <w:r w:rsidRPr="00C57BDC">
        <w:t xml:space="preserve">The actions approved herein fall within this categorical exclusion in the Commission’s regulations. </w:t>
      </w:r>
    </w:p>
    <w:p w14:paraId="2F70FC69" w14:textId="77777777" w:rsidR="00C57BDC" w:rsidRPr="00C57BDC" w:rsidRDefault="00C57BDC" w:rsidP="00C57BDC">
      <w:pPr>
        <w:pStyle w:val="Heading1"/>
        <w:numPr>
          <w:ilvl w:val="0"/>
          <w:numId w:val="13"/>
        </w:numPr>
        <w:ind w:left="0" w:firstLine="0"/>
        <w:rPr>
          <w:szCs w:val="26"/>
        </w:rPr>
      </w:pPr>
      <w:r w:rsidRPr="00C57BDC">
        <w:rPr>
          <w:szCs w:val="26"/>
        </w:rPr>
        <w:t xml:space="preserve">Regulatory Flexibility Act Analysis </w:t>
      </w:r>
    </w:p>
    <w:p w14:paraId="7DFCE2AE" w14:textId="500C577C" w:rsidR="00C57BDC" w:rsidRPr="00C57BDC" w:rsidRDefault="00C57BDC" w:rsidP="008E1E09">
      <w:pPr>
        <w:pStyle w:val="FERCparanumber"/>
        <w:tabs>
          <w:tab w:val="clear" w:pos="810"/>
          <w:tab w:val="num" w:pos="720"/>
        </w:tabs>
        <w:ind w:left="0"/>
        <w:rPr>
          <w:sz w:val="16"/>
        </w:rPr>
      </w:pPr>
      <w:r w:rsidRPr="00C57BDC">
        <w:t>The Regulatory Flexibility Act of 1980 (RFA) generally requires a description and analysis of Proposed Rules that will have significant economic impact on a substantial number of small entities.</w:t>
      </w:r>
      <w:r w:rsidRPr="00C57BDC">
        <w:rPr>
          <w:rStyle w:val="FootnoteTextChar"/>
          <w:b/>
          <w:szCs w:val="20"/>
          <w:vertAlign w:val="superscript"/>
        </w:rPr>
        <w:t xml:space="preserve"> </w:t>
      </w:r>
      <w:r w:rsidRPr="00C57BDC">
        <w:rPr>
          <w:rStyle w:val="FootnoteTextChar"/>
          <w:b/>
          <w:szCs w:val="20"/>
          <w:vertAlign w:val="superscript"/>
        </w:rPr>
        <w:footnoteReference w:id="72"/>
      </w:r>
      <w:r w:rsidRPr="00C57BDC">
        <w:t xml:space="preserve">  The Small Business Administration’s (SBA) Office of Size Standards develops the numerical definition of a small business.</w:t>
      </w:r>
      <w:r w:rsidRPr="00C57BDC">
        <w:rPr>
          <w:b/>
          <w:szCs w:val="26"/>
          <w:vertAlign w:val="superscript"/>
        </w:rPr>
        <w:footnoteReference w:id="73"/>
      </w:r>
      <w:r w:rsidRPr="00C57BDC">
        <w:t xml:space="preserve">  The SBA revised its size standard for electric utilities (effective January 22, 2014) to a standard based on the number of employees, including affiliates (from a standard based on megawatt hours).</w:t>
      </w:r>
      <w:r w:rsidRPr="00C57BDC">
        <w:rPr>
          <w:b/>
          <w:szCs w:val="26"/>
          <w:vertAlign w:val="superscript"/>
        </w:rPr>
        <w:footnoteReference w:id="74"/>
      </w:r>
      <w:r w:rsidRPr="00C57BDC">
        <w:t xml:space="preserve">   Proposed Reliability Standards TOP-001-3, TOP-002-4, TOP-003-3, IRO-001-4, IRO-002-4, IRO-008-2, IRO-010-2, IRO-014-3, and IRO-017-1 are expected to impose an additional burden on 196 entities (reliability coordinators, transmission operators, balancing authorities, transmission service providers, </w:t>
      </w:r>
      <w:r w:rsidR="00785DE5">
        <w:t xml:space="preserve">and </w:t>
      </w:r>
      <w:r w:rsidRPr="00C57BDC">
        <w:t xml:space="preserve">planning authorities).  Comparison of the applicable entities with the Commission’s small business data indicates that approximately </w:t>
      </w:r>
      <w:r w:rsidRPr="00C57BDC">
        <w:rPr>
          <w:szCs w:val="20"/>
        </w:rPr>
        <w:t>8</w:t>
      </w:r>
      <w:r w:rsidRPr="00C57BDC">
        <w:t>2 of these entities are small entities that will be affected by the proposed Reliability Standards.</w:t>
      </w:r>
      <w:r w:rsidRPr="00C57BDC">
        <w:rPr>
          <w:rStyle w:val="FootnoteReference"/>
        </w:rPr>
        <w:footnoteReference w:id="75"/>
      </w:r>
      <w:r w:rsidRPr="00C57BDC">
        <w:t xml:space="preserve">  As discussed above, proposed Reliability Standards TOP-001-3, TOP-002-4, TOP-003-3, IRO-001-4, IRO-002-4, IRO-008-2, IRO-010-2, IRO-014-3, and IRO-017-1 will serve to enhance reliability by imposing mandatory requirements for operations planning, system monitoring, real-time actions, coordination between applicable entities, and operational reliability data.  </w:t>
      </w:r>
      <w:r w:rsidRPr="00C57BDC">
        <w:rPr>
          <w:szCs w:val="26"/>
        </w:rPr>
        <w:t xml:space="preserve">The Commission estimates that each of the small entities to whom the proposed Reliability Standards </w:t>
      </w:r>
      <w:r w:rsidRPr="00C57BDC">
        <w:t xml:space="preserve">TOP-001-3, TOP-002-4, TOP-003-3, IRO-001-4, IRO-002-4, IRO-008-2, IRO-010-2, IRO-014-3, and IRO-017-1 </w:t>
      </w:r>
      <w:r w:rsidRPr="00C57BDC">
        <w:rPr>
          <w:szCs w:val="26"/>
        </w:rPr>
        <w:t>applies will incur costs of approximately $147,364 (annual ongoing) per entity.</w:t>
      </w:r>
      <w:r w:rsidRPr="00C57BDC">
        <w:t xml:space="preserve">  </w:t>
      </w:r>
      <w:r w:rsidRPr="00C57BDC">
        <w:rPr>
          <w:szCs w:val="26"/>
        </w:rPr>
        <w:t xml:space="preserve">The Commission does not consider the estimated costs to have a significant economic impact on a substantial number of small entities.  </w:t>
      </w:r>
      <w:r w:rsidRPr="00C57BDC">
        <w:t>The Commission seeks comment on this proposal.</w:t>
      </w:r>
    </w:p>
    <w:p w14:paraId="0B801390" w14:textId="77777777" w:rsidR="00CD1C07" w:rsidRPr="00C57BDC" w:rsidRDefault="00CD1C07" w:rsidP="00844623">
      <w:pPr>
        <w:pStyle w:val="Heading1"/>
        <w:numPr>
          <w:ilvl w:val="0"/>
          <w:numId w:val="13"/>
        </w:numPr>
        <w:ind w:left="0" w:firstLine="0"/>
        <w:rPr>
          <w:szCs w:val="26"/>
        </w:rPr>
      </w:pPr>
      <w:r w:rsidRPr="00C57BDC">
        <w:rPr>
          <w:szCs w:val="26"/>
        </w:rPr>
        <w:t>Comment Procedures</w:t>
      </w:r>
    </w:p>
    <w:p w14:paraId="4B7B28F2" w14:textId="17D60988" w:rsidR="00CD1C07" w:rsidRPr="00C57BDC" w:rsidRDefault="00CD1C07" w:rsidP="008E1E09">
      <w:pPr>
        <w:pStyle w:val="FERCparanumber"/>
        <w:tabs>
          <w:tab w:val="clear" w:pos="810"/>
          <w:tab w:val="num" w:pos="720"/>
        </w:tabs>
        <w:ind w:left="0"/>
        <w:rPr>
          <w:szCs w:val="26"/>
        </w:rPr>
      </w:pPr>
      <w:r w:rsidRPr="00C57BDC">
        <w:rPr>
          <w:szCs w:val="26"/>
        </w:rPr>
        <w:t>The Commission invites interested persons to submit comments on the matters and issues proposed in this notice to be adopted, including any related matters or alternative proposals that commenters may wish to discuss.  Comments are due [</w:t>
      </w:r>
      <w:r w:rsidRPr="00C57BDC">
        <w:rPr>
          <w:b/>
          <w:szCs w:val="26"/>
        </w:rPr>
        <w:t xml:space="preserve">INSERT </w:t>
      </w:r>
      <w:proofErr w:type="gramStart"/>
      <w:r w:rsidRPr="00C57BDC">
        <w:rPr>
          <w:b/>
          <w:szCs w:val="26"/>
        </w:rPr>
        <w:t xml:space="preserve">DATE </w:t>
      </w:r>
      <w:r w:rsidR="00261295">
        <w:rPr>
          <w:b/>
          <w:szCs w:val="26"/>
        </w:rPr>
        <w:t xml:space="preserve"> </w:t>
      </w:r>
      <w:r w:rsidRPr="00C57BDC">
        <w:rPr>
          <w:b/>
          <w:szCs w:val="26"/>
        </w:rPr>
        <w:t>60</w:t>
      </w:r>
      <w:proofErr w:type="gramEnd"/>
      <w:r w:rsidRPr="00C57BDC">
        <w:rPr>
          <w:b/>
          <w:szCs w:val="26"/>
        </w:rPr>
        <w:t xml:space="preserve"> Days after publication in the FEDERAL REGISTER]</w:t>
      </w:r>
      <w:r w:rsidRPr="00C57BDC">
        <w:rPr>
          <w:szCs w:val="26"/>
        </w:rPr>
        <w:t>].  Comments must refer to Docket No. RM15-16-000, and must include the commenter's name, the organization they represent, if applicable, and their address in their comments.</w:t>
      </w:r>
    </w:p>
    <w:p w14:paraId="4EDE9724" w14:textId="77777777" w:rsidR="00CD1C07" w:rsidRPr="00C57BDC" w:rsidRDefault="00CD1C07" w:rsidP="008E1E09">
      <w:pPr>
        <w:pStyle w:val="FERCparanumber"/>
        <w:tabs>
          <w:tab w:val="clear" w:pos="810"/>
          <w:tab w:val="num" w:pos="720"/>
        </w:tabs>
        <w:ind w:left="0"/>
        <w:rPr>
          <w:szCs w:val="26"/>
        </w:rPr>
      </w:pPr>
      <w:r w:rsidRPr="00C57BDC">
        <w:rPr>
          <w:szCs w:val="26"/>
        </w:rPr>
        <w:t xml:space="preserve">The Commission encourages comments to be filed electronically via the </w:t>
      </w:r>
      <w:proofErr w:type="spellStart"/>
      <w:r w:rsidRPr="00C57BDC">
        <w:rPr>
          <w:szCs w:val="26"/>
        </w:rPr>
        <w:t>eFiling</w:t>
      </w:r>
      <w:proofErr w:type="spellEnd"/>
      <w:r w:rsidRPr="00C57BDC">
        <w:rPr>
          <w:szCs w:val="26"/>
        </w:rPr>
        <w:t xml:space="preserve"> link on the Commission's web site at </w:t>
      </w:r>
      <w:hyperlink r:id="rId21" w:history="1">
        <w:r w:rsidRPr="00C57BDC">
          <w:rPr>
            <w:rStyle w:val="Hyperlink"/>
            <w:szCs w:val="26"/>
          </w:rPr>
          <w:t>http://www.ferc.gov</w:t>
        </w:r>
      </w:hyperlink>
      <w:r w:rsidRPr="00C57BDC">
        <w:rPr>
          <w:szCs w:val="26"/>
        </w:rPr>
        <w:t>.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14:paraId="4C592801" w14:textId="215C8F43" w:rsidR="00CD1C07" w:rsidRPr="00C57BDC" w:rsidRDefault="00CD1C07" w:rsidP="008E1E09">
      <w:pPr>
        <w:pStyle w:val="FERCparanumber"/>
        <w:tabs>
          <w:tab w:val="clear" w:pos="810"/>
          <w:tab w:val="num" w:pos="720"/>
        </w:tabs>
        <w:ind w:left="0"/>
        <w:rPr>
          <w:szCs w:val="26"/>
        </w:rPr>
      </w:pPr>
      <w:r w:rsidRPr="00C57BDC">
        <w:rPr>
          <w:szCs w:val="26"/>
        </w:rPr>
        <w:t>Commenters that are not able to file comments electronically must send an original of their comments to: Federal Energy Regulatory Commission, Secretary of the Commission, 888 First Street NE, Washington, DC</w:t>
      </w:r>
      <w:r w:rsidR="00FB7AAD">
        <w:rPr>
          <w:szCs w:val="26"/>
        </w:rPr>
        <w:t xml:space="preserve"> </w:t>
      </w:r>
      <w:r w:rsidRPr="00C57BDC">
        <w:rPr>
          <w:szCs w:val="26"/>
        </w:rPr>
        <w:t xml:space="preserve"> 20426.</w:t>
      </w:r>
    </w:p>
    <w:p w14:paraId="136085BC" w14:textId="77777777" w:rsidR="00CD1C07" w:rsidRPr="00C57BDC" w:rsidRDefault="00CD1C07" w:rsidP="008E1E09">
      <w:pPr>
        <w:pStyle w:val="FERCparanumber"/>
        <w:tabs>
          <w:tab w:val="clear" w:pos="810"/>
          <w:tab w:val="num" w:pos="720"/>
        </w:tabs>
        <w:ind w:left="0"/>
        <w:rPr>
          <w:szCs w:val="26"/>
        </w:rPr>
      </w:pPr>
      <w:r w:rsidRPr="00C57BDC">
        <w:rPr>
          <w:szCs w:val="26"/>
        </w:rP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78F728D4" w14:textId="77777777" w:rsidR="00CD1C07" w:rsidRPr="00C57BDC" w:rsidRDefault="00CD1C07" w:rsidP="00844623">
      <w:pPr>
        <w:pStyle w:val="Heading1"/>
        <w:numPr>
          <w:ilvl w:val="0"/>
          <w:numId w:val="13"/>
        </w:numPr>
        <w:ind w:left="0" w:firstLine="0"/>
        <w:rPr>
          <w:szCs w:val="26"/>
        </w:rPr>
      </w:pPr>
      <w:r w:rsidRPr="00C57BDC">
        <w:rPr>
          <w:szCs w:val="26"/>
        </w:rPr>
        <w:t>Document Availability</w:t>
      </w:r>
    </w:p>
    <w:p w14:paraId="3CE63B50" w14:textId="5FB36C4F" w:rsidR="00CD1C07" w:rsidRPr="00C57BDC" w:rsidRDefault="00CD1C07" w:rsidP="008E1E09">
      <w:pPr>
        <w:pStyle w:val="FERCparanumber"/>
        <w:tabs>
          <w:tab w:val="clear" w:pos="810"/>
          <w:tab w:val="num" w:pos="720"/>
        </w:tabs>
        <w:ind w:left="0"/>
        <w:rPr>
          <w:szCs w:val="26"/>
        </w:rPr>
      </w:pPr>
      <w:r w:rsidRPr="00C57BDC">
        <w:rPr>
          <w:szCs w:val="26"/>
        </w:rPr>
        <w:t>In addition to publishing the full text of this document in the Federal Register, the Commission provides all interested persons an opportunity to view and/or print the contents of this document via the Internet through the Commission's Home Page (</w:t>
      </w:r>
      <w:hyperlink r:id="rId22" w:history="1">
        <w:r w:rsidRPr="00C57BDC">
          <w:rPr>
            <w:rStyle w:val="Hyperlink"/>
            <w:szCs w:val="26"/>
          </w:rPr>
          <w:t>http://www.ferc.gov</w:t>
        </w:r>
      </w:hyperlink>
      <w:r w:rsidRPr="00C57BDC">
        <w:rPr>
          <w:szCs w:val="26"/>
        </w:rPr>
        <w:t>) and in the Commission's Public Reference Room during normal business hours (8:30 a.m. to 5:00 p.m. Eastern time) at 888 First Street, NE, Room 2A, Washington DC</w:t>
      </w:r>
      <w:r w:rsidR="00FB7AAD">
        <w:rPr>
          <w:szCs w:val="26"/>
        </w:rPr>
        <w:t xml:space="preserve"> </w:t>
      </w:r>
      <w:r w:rsidRPr="00C57BDC">
        <w:rPr>
          <w:szCs w:val="26"/>
        </w:rPr>
        <w:t xml:space="preserve"> 20426.</w:t>
      </w:r>
    </w:p>
    <w:p w14:paraId="677E2DEC" w14:textId="231D2EAB" w:rsidR="00CD1C07" w:rsidRPr="00C57BDC" w:rsidRDefault="00CD1C07" w:rsidP="008E1E09">
      <w:pPr>
        <w:pStyle w:val="FERCparanumber"/>
        <w:tabs>
          <w:tab w:val="clear" w:pos="810"/>
          <w:tab w:val="num" w:pos="720"/>
        </w:tabs>
        <w:ind w:left="0"/>
        <w:rPr>
          <w:szCs w:val="26"/>
        </w:rPr>
      </w:pPr>
      <w:r w:rsidRPr="00C57BDC">
        <w:rPr>
          <w:szCs w:val="26"/>
        </w:rPr>
        <w:t xml:space="preserve">From the Commission's Home Page on the Internet, this information is available on eLibrary.  The full text of this document is available on eLibrary in PDF and Microsoft Word format for viewing, printing, and/or downloading. To access this document in eLibrary, type the docket number </w:t>
      </w:r>
      <w:r w:rsidR="00785DE5" w:rsidRPr="00C57BDC">
        <w:rPr>
          <w:szCs w:val="26"/>
        </w:rPr>
        <w:t>of this document</w:t>
      </w:r>
      <w:r w:rsidR="00785DE5">
        <w:rPr>
          <w:szCs w:val="26"/>
        </w:rPr>
        <w:t>,</w:t>
      </w:r>
      <w:r w:rsidR="00785DE5" w:rsidRPr="00C57BDC">
        <w:rPr>
          <w:szCs w:val="26"/>
        </w:rPr>
        <w:t xml:space="preserve"> </w:t>
      </w:r>
      <w:r w:rsidRPr="00C57BDC">
        <w:rPr>
          <w:szCs w:val="26"/>
        </w:rPr>
        <w:t>excluding the last three digits</w:t>
      </w:r>
      <w:r w:rsidR="00785DE5">
        <w:rPr>
          <w:szCs w:val="26"/>
        </w:rPr>
        <w:t>,</w:t>
      </w:r>
      <w:r w:rsidRPr="00C57BDC">
        <w:rPr>
          <w:szCs w:val="26"/>
        </w:rPr>
        <w:t xml:space="preserve"> in the docket number field.</w:t>
      </w:r>
    </w:p>
    <w:p w14:paraId="6EB4A9F9" w14:textId="7F275258" w:rsidR="00CD1C07" w:rsidRPr="00C57BDC" w:rsidRDefault="00CD1C07" w:rsidP="008E1E09">
      <w:pPr>
        <w:pStyle w:val="FERCparanumber"/>
        <w:tabs>
          <w:tab w:val="clear" w:pos="810"/>
          <w:tab w:val="num" w:pos="720"/>
        </w:tabs>
        <w:ind w:left="0"/>
        <w:rPr>
          <w:szCs w:val="26"/>
        </w:rPr>
      </w:pPr>
      <w:r w:rsidRPr="00C57BDC">
        <w:rPr>
          <w:szCs w:val="26"/>
        </w:rPr>
        <w:t>User assistance is available for eLibrary and the Commission’s website during normal business hours from the Commission’s Online Support at 202-502-6652 (toll free at 1-866-208-3676) or e</w:t>
      </w:r>
      <w:r w:rsidR="00785DE5">
        <w:rPr>
          <w:szCs w:val="26"/>
        </w:rPr>
        <w:t>-</w:t>
      </w:r>
      <w:r w:rsidRPr="00C57BDC">
        <w:rPr>
          <w:szCs w:val="26"/>
        </w:rPr>
        <w:t xml:space="preserve">mail at </w:t>
      </w:r>
      <w:hyperlink r:id="rId23" w:history="1">
        <w:r w:rsidRPr="00C57BDC">
          <w:rPr>
            <w:rStyle w:val="Hyperlink"/>
            <w:szCs w:val="26"/>
          </w:rPr>
          <w:t>ferconlinesupport@ferc.gov</w:t>
        </w:r>
      </w:hyperlink>
      <w:r w:rsidRPr="00C57BDC">
        <w:rPr>
          <w:szCs w:val="26"/>
        </w:rPr>
        <w:t xml:space="preserve">, or the Public Reference Room at (202) 502-8371, TTY (202)502-8659.  E-mail the Public Reference Room at </w:t>
      </w:r>
      <w:hyperlink r:id="rId24" w:history="1">
        <w:r w:rsidRPr="00C57BDC">
          <w:rPr>
            <w:rStyle w:val="Hyperlink"/>
            <w:szCs w:val="26"/>
          </w:rPr>
          <w:t>public.referenceroom@ferc.gov</w:t>
        </w:r>
      </w:hyperlink>
      <w:r w:rsidRPr="00C57BDC">
        <w:rPr>
          <w:szCs w:val="26"/>
        </w:rPr>
        <w:t>.</w:t>
      </w:r>
    </w:p>
    <w:p w14:paraId="23E99D3C" w14:textId="77777777" w:rsidR="00CD1C07" w:rsidRPr="00C57BDC" w:rsidRDefault="00CD1C07" w:rsidP="0067456F">
      <w:pPr>
        <w:rPr>
          <w:szCs w:val="26"/>
        </w:rPr>
      </w:pPr>
    </w:p>
    <w:p w14:paraId="5441D04D" w14:textId="77777777" w:rsidR="00CD1C07" w:rsidRPr="00C57BDC" w:rsidRDefault="00CD1C07" w:rsidP="0067456F">
      <w:pPr>
        <w:rPr>
          <w:szCs w:val="26"/>
        </w:rPr>
      </w:pPr>
      <w:r w:rsidRPr="00C57BDC">
        <w:rPr>
          <w:szCs w:val="26"/>
          <w:u w:val="single"/>
        </w:rPr>
        <w:t xml:space="preserve">List of subjects in 18 CFR Part </w:t>
      </w:r>
      <w:r w:rsidR="003E6BFA" w:rsidRPr="00C57BDC">
        <w:rPr>
          <w:szCs w:val="26"/>
          <w:u w:val="single"/>
        </w:rPr>
        <w:t>40</w:t>
      </w:r>
      <w:r w:rsidRPr="00C57BDC">
        <w:rPr>
          <w:szCs w:val="26"/>
          <w:u w:val="single"/>
        </w:rPr>
        <w:t xml:space="preserve"> </w:t>
      </w:r>
    </w:p>
    <w:p w14:paraId="7BE0FB14" w14:textId="77777777" w:rsidR="00CD1C07" w:rsidRPr="00C57BDC" w:rsidRDefault="00CD1C07" w:rsidP="0067456F">
      <w:pPr>
        <w:rPr>
          <w:szCs w:val="26"/>
        </w:rPr>
      </w:pPr>
    </w:p>
    <w:p w14:paraId="010D17B2" w14:textId="77777777" w:rsidR="00CD1C07" w:rsidRPr="00C57BDC" w:rsidRDefault="00CD1C07" w:rsidP="0067456F">
      <w:pPr>
        <w:rPr>
          <w:szCs w:val="26"/>
        </w:rPr>
      </w:pPr>
    </w:p>
    <w:p w14:paraId="6E52AAA7" w14:textId="4CCF508E" w:rsidR="00CD1C07" w:rsidRDefault="00CD1C07" w:rsidP="0067456F">
      <w:pPr>
        <w:rPr>
          <w:szCs w:val="26"/>
        </w:rPr>
      </w:pPr>
      <w:proofErr w:type="gramStart"/>
      <w:r w:rsidRPr="00C57BDC">
        <w:rPr>
          <w:szCs w:val="26"/>
        </w:rPr>
        <w:t>By direction of the Commission.</w:t>
      </w:r>
      <w:proofErr w:type="gramEnd"/>
    </w:p>
    <w:p w14:paraId="1107001F" w14:textId="77777777" w:rsidR="000C18E1" w:rsidRDefault="000C18E1" w:rsidP="0067456F">
      <w:pPr>
        <w:rPr>
          <w:szCs w:val="26"/>
        </w:rPr>
      </w:pPr>
    </w:p>
    <w:p w14:paraId="549C536B" w14:textId="02956409" w:rsidR="000C18E1" w:rsidRDefault="000C18E1" w:rsidP="000C18E1">
      <w:pPr>
        <w:widowControl/>
        <w:rPr>
          <w:szCs w:val="26"/>
        </w:rPr>
      </w:pPr>
      <w:proofErr w:type="gramStart"/>
      <w:r w:rsidRPr="000C18E1">
        <w:rPr>
          <w:szCs w:val="26"/>
        </w:rPr>
        <w:t>( S</w:t>
      </w:r>
      <w:proofErr w:type="gramEnd"/>
      <w:r w:rsidRPr="000C18E1">
        <w:rPr>
          <w:szCs w:val="26"/>
        </w:rPr>
        <w:t xml:space="preserve"> E A L )</w:t>
      </w:r>
    </w:p>
    <w:p w14:paraId="382B60E5" w14:textId="77777777" w:rsidR="000C18E1" w:rsidRPr="000C18E1" w:rsidRDefault="000C18E1" w:rsidP="000C18E1">
      <w:pPr>
        <w:widowControl/>
        <w:rPr>
          <w:szCs w:val="26"/>
        </w:rPr>
      </w:pPr>
    </w:p>
    <w:p w14:paraId="7469C233" w14:textId="77777777" w:rsidR="00CD1C07" w:rsidRPr="00C57BDC" w:rsidRDefault="00CD1C07" w:rsidP="0067456F">
      <w:pPr>
        <w:rPr>
          <w:szCs w:val="26"/>
        </w:rPr>
      </w:pPr>
    </w:p>
    <w:p w14:paraId="3AD0C2DB" w14:textId="3C5E70A0" w:rsidR="00CD1C07" w:rsidRDefault="00CD1C07" w:rsidP="000C18E1">
      <w:pPr>
        <w:widowControl/>
        <w:rPr>
          <w:szCs w:val="26"/>
        </w:rPr>
      </w:pPr>
      <w:r w:rsidRPr="00C57BDC">
        <w:rPr>
          <w:szCs w:val="26"/>
        </w:rPr>
        <w:tab/>
      </w:r>
      <w:r w:rsidRPr="00C57BDC">
        <w:rPr>
          <w:szCs w:val="26"/>
        </w:rPr>
        <w:tab/>
      </w:r>
      <w:r w:rsidRPr="00C57BDC">
        <w:rPr>
          <w:szCs w:val="26"/>
        </w:rPr>
        <w:tab/>
      </w:r>
      <w:r w:rsidRPr="00C57BDC">
        <w:rPr>
          <w:szCs w:val="26"/>
        </w:rPr>
        <w:tab/>
      </w:r>
      <w:r w:rsidRPr="00C57BDC">
        <w:rPr>
          <w:szCs w:val="26"/>
        </w:rPr>
        <w:tab/>
      </w:r>
      <w:r w:rsidRPr="00C57BDC">
        <w:rPr>
          <w:szCs w:val="26"/>
        </w:rPr>
        <w:tab/>
      </w:r>
    </w:p>
    <w:p w14:paraId="0E137009" w14:textId="1ABDCECE" w:rsidR="000C18E1" w:rsidRDefault="000C18E1" w:rsidP="000C18E1">
      <w:pPr>
        <w:widowControl/>
        <w:rPr>
          <w:szCs w:val="26"/>
        </w:rPr>
      </w:pPr>
    </w:p>
    <w:p w14:paraId="7EB37DE3" w14:textId="46F1717D" w:rsidR="000C18E1" w:rsidRDefault="000C18E1" w:rsidP="000C18E1">
      <w:pPr>
        <w:widowControl/>
        <w:rPr>
          <w:szCs w:val="26"/>
        </w:rPr>
      </w:pPr>
    </w:p>
    <w:p w14:paraId="379BA433" w14:textId="68F6FF8F" w:rsidR="000C18E1" w:rsidRDefault="000C18E1" w:rsidP="000C18E1">
      <w:pPr>
        <w:widowControl/>
        <w:rPr>
          <w:szCs w:val="26"/>
        </w:rPr>
      </w:pPr>
    </w:p>
    <w:p w14:paraId="66B6F247" w14:textId="705DCCA7" w:rsidR="000C18E1" w:rsidRPr="000C18E1" w:rsidRDefault="000C18E1" w:rsidP="000C18E1">
      <w:pPr>
        <w:widowControl/>
        <w:ind w:firstLine="2174"/>
        <w:jc w:val="center"/>
      </w:pPr>
      <w:r w:rsidRPr="000C18E1">
        <w:t>Kimberly D. Bose,</w:t>
      </w:r>
    </w:p>
    <w:p w14:paraId="3901648B" w14:textId="5981256B" w:rsidR="000C18E1" w:rsidRPr="000C18E1" w:rsidRDefault="000C18E1" w:rsidP="000C18E1">
      <w:pPr>
        <w:widowControl/>
        <w:ind w:firstLine="2174"/>
        <w:jc w:val="center"/>
      </w:pPr>
      <w:proofErr w:type="gramStart"/>
      <w:r w:rsidRPr="000C18E1">
        <w:t>Secretary.</w:t>
      </w:r>
      <w:proofErr w:type="gramEnd"/>
    </w:p>
    <w:p w14:paraId="59356483" w14:textId="77777777" w:rsidR="000C18E1" w:rsidRPr="004A2F2A" w:rsidRDefault="000C18E1" w:rsidP="000C18E1">
      <w:pPr>
        <w:widowControl/>
        <w:rPr>
          <w:szCs w:val="26"/>
        </w:rPr>
      </w:pPr>
    </w:p>
    <w:p w14:paraId="75D010F0" w14:textId="77777777" w:rsidR="00CD1C07" w:rsidRPr="004A2F2A" w:rsidRDefault="00CD1C07" w:rsidP="0067456F">
      <w:pPr>
        <w:rPr>
          <w:szCs w:val="26"/>
        </w:rPr>
      </w:pPr>
      <w:r w:rsidRPr="004A2F2A">
        <w:rPr>
          <w:szCs w:val="26"/>
        </w:rPr>
        <w:tab/>
      </w:r>
    </w:p>
    <w:p w14:paraId="4A26CF08" w14:textId="77777777" w:rsidR="00CD1C07" w:rsidRPr="004A2F2A" w:rsidRDefault="00CD1C07" w:rsidP="0067456F">
      <w:pPr>
        <w:rPr>
          <w:szCs w:val="26"/>
        </w:rPr>
      </w:pPr>
    </w:p>
    <w:p w14:paraId="4DE14BE2" w14:textId="77777777" w:rsidR="00CD1C07" w:rsidRPr="004A2F2A" w:rsidRDefault="00CD1C07" w:rsidP="0067456F">
      <w:pPr>
        <w:pStyle w:val="FERCparanumber"/>
        <w:numPr>
          <w:ilvl w:val="0"/>
          <w:numId w:val="0"/>
        </w:numPr>
        <w:rPr>
          <w:szCs w:val="26"/>
        </w:rPr>
      </w:pPr>
    </w:p>
    <w:p w14:paraId="5728FF1B" w14:textId="77777777" w:rsidR="00CD1C07" w:rsidRPr="004A2F2A" w:rsidRDefault="00CD1C07" w:rsidP="0067456F">
      <w:pPr>
        <w:rPr>
          <w:szCs w:val="26"/>
        </w:rPr>
      </w:pPr>
    </w:p>
    <w:p w14:paraId="5ACF9F20" w14:textId="77777777" w:rsidR="00CD1C07" w:rsidRPr="004A2F2A" w:rsidRDefault="00CD1C07" w:rsidP="0067456F">
      <w:pPr>
        <w:rPr>
          <w:szCs w:val="26"/>
        </w:rPr>
      </w:pPr>
    </w:p>
    <w:p w14:paraId="6A18732D" w14:textId="77777777" w:rsidR="00CD1C07" w:rsidRPr="004A2F2A" w:rsidRDefault="00CD1C07" w:rsidP="0067456F">
      <w:pPr>
        <w:rPr>
          <w:szCs w:val="26"/>
        </w:rPr>
      </w:pPr>
    </w:p>
    <w:p w14:paraId="47077C69" w14:textId="77777777" w:rsidR="00CD1C07" w:rsidRPr="004A2F2A" w:rsidRDefault="00CD1C07" w:rsidP="0067456F">
      <w:pPr>
        <w:rPr>
          <w:szCs w:val="26"/>
        </w:rPr>
      </w:pPr>
    </w:p>
    <w:p w14:paraId="053C93AD" w14:textId="77777777" w:rsidR="00AC21F1" w:rsidRPr="004A2F2A" w:rsidRDefault="00AC21F1" w:rsidP="0067456F">
      <w:pPr>
        <w:rPr>
          <w:szCs w:val="26"/>
        </w:rPr>
      </w:pPr>
    </w:p>
    <w:p w14:paraId="7FFA0AEB" w14:textId="77777777" w:rsidR="00AC21F1" w:rsidRPr="004A2F2A" w:rsidRDefault="00AC21F1" w:rsidP="0067456F">
      <w:pPr>
        <w:rPr>
          <w:szCs w:val="26"/>
        </w:rPr>
      </w:pPr>
    </w:p>
    <w:p w14:paraId="3681C69E" w14:textId="77777777" w:rsidR="00AC21F1" w:rsidRPr="004A2F2A" w:rsidRDefault="00AC21F1" w:rsidP="0067456F">
      <w:pPr>
        <w:rPr>
          <w:szCs w:val="26"/>
        </w:rPr>
      </w:pPr>
    </w:p>
    <w:p w14:paraId="2BAD6EF2" w14:textId="77777777" w:rsidR="008A6F07" w:rsidRPr="004A2F2A" w:rsidRDefault="008A6F07" w:rsidP="0067456F">
      <w:pPr>
        <w:rPr>
          <w:szCs w:val="26"/>
        </w:rPr>
      </w:pPr>
    </w:p>
    <w:sectPr w:rsidR="008A6F07" w:rsidRPr="004A2F2A" w:rsidSect="00CD1C07">
      <w:headerReference w:type="even" r:id="rId25"/>
      <w:headerReference w:type="default" r:id="rId26"/>
      <w:headerReference w:type="first" r:id="rId27"/>
      <w:type w:val="continuous"/>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B2974" w14:textId="77777777" w:rsidR="00EA544E" w:rsidRDefault="00EA544E">
      <w:r>
        <w:separator/>
      </w:r>
    </w:p>
  </w:endnote>
  <w:endnote w:type="continuationSeparator" w:id="0">
    <w:p w14:paraId="6742D5E5" w14:textId="77777777" w:rsidR="00EA544E" w:rsidRDefault="00EA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6BCA7" w14:textId="77777777" w:rsidR="00EA544E" w:rsidRDefault="00EA544E">
      <w:r>
        <w:separator/>
      </w:r>
    </w:p>
  </w:footnote>
  <w:footnote w:type="continuationSeparator" w:id="0">
    <w:p w14:paraId="2FF75A8B" w14:textId="77777777" w:rsidR="00EA544E" w:rsidRDefault="00EA544E">
      <w:r>
        <w:continuationSeparator/>
      </w:r>
    </w:p>
  </w:footnote>
  <w:footnote w:type="continuationNotice" w:id="1">
    <w:p w14:paraId="63335084" w14:textId="77777777" w:rsidR="00EA544E" w:rsidRDefault="00EA544E"/>
    <w:p w14:paraId="42A4BEAE" w14:textId="77777777" w:rsidR="00EA544E" w:rsidRPr="00EB37BC" w:rsidRDefault="00EA544E" w:rsidP="00EB37BC">
      <w:pPr>
        <w:jc w:val="right"/>
      </w:pPr>
      <w:r w:rsidRPr="00EB37BC">
        <w:t>(</w:t>
      </w:r>
      <w:proofErr w:type="gramStart"/>
      <w:r w:rsidRPr="00EB37BC">
        <w:t>continued</w:t>
      </w:r>
      <w:proofErr w:type="gramEnd"/>
      <w:r w:rsidRPr="00EB37BC">
        <w:t xml:space="preserve"> ...)</w:t>
      </w:r>
    </w:p>
  </w:footnote>
  <w:footnote w:id="2">
    <w:p w14:paraId="312C11DA" w14:textId="77777777" w:rsidR="00B14A2C" w:rsidRPr="00342FA3" w:rsidRDefault="00B14A2C" w:rsidP="00E50397">
      <w:pPr>
        <w:pStyle w:val="FootnoteText"/>
      </w:pPr>
      <w:r w:rsidRPr="00342FA3">
        <w:rPr>
          <w:rStyle w:val="FootnoteReference"/>
        </w:rPr>
        <w:footnoteRef/>
      </w:r>
      <w:r w:rsidRPr="00342FA3">
        <w:t xml:space="preserve"> </w:t>
      </w:r>
      <w:proofErr w:type="gramStart"/>
      <w:r w:rsidRPr="00342FA3">
        <w:t>16 U.S.C. 824o (2012).</w:t>
      </w:r>
      <w:proofErr w:type="gramEnd"/>
      <w:r w:rsidRPr="00342FA3">
        <w:t xml:space="preserve"> </w:t>
      </w:r>
    </w:p>
  </w:footnote>
  <w:footnote w:id="3">
    <w:p w14:paraId="02B5B808" w14:textId="77777777" w:rsidR="00B14A2C" w:rsidRPr="00342FA3" w:rsidRDefault="00B14A2C" w:rsidP="00B02339">
      <w:pPr>
        <w:pStyle w:val="FootnoteText"/>
      </w:pPr>
      <w:r w:rsidRPr="00342FA3">
        <w:rPr>
          <w:rStyle w:val="FootnoteReference"/>
        </w:rPr>
        <w:footnoteRef/>
      </w:r>
      <w:r w:rsidRPr="00342FA3">
        <w:t xml:space="preserve">  </w:t>
      </w:r>
      <w:proofErr w:type="gramStart"/>
      <w:r w:rsidRPr="00342FA3">
        <w:rPr>
          <w:i/>
          <w:szCs w:val="26"/>
        </w:rPr>
        <w:t>Electric Reliability Organization Proposal to Retire Requirements in Reliability Standards</w:t>
      </w:r>
      <w:r w:rsidRPr="00342FA3">
        <w:rPr>
          <w:szCs w:val="26"/>
        </w:rPr>
        <w:t>, Order No. 788, 145 FERC ¶ 61,147 (2013).</w:t>
      </w:r>
      <w:proofErr w:type="gramEnd"/>
      <w:r w:rsidRPr="00342FA3">
        <w:rPr>
          <w:szCs w:val="26"/>
        </w:rPr>
        <w:t xml:space="preserve"> </w:t>
      </w:r>
    </w:p>
  </w:footnote>
  <w:footnote w:id="4">
    <w:p w14:paraId="43732C44" w14:textId="77777777" w:rsidR="00B14A2C" w:rsidRPr="00342FA3" w:rsidRDefault="00B14A2C" w:rsidP="008371D1">
      <w:pPr>
        <w:pStyle w:val="FootnoteText"/>
      </w:pPr>
      <w:r w:rsidRPr="00342FA3">
        <w:rPr>
          <w:rStyle w:val="FootnoteReference"/>
        </w:rPr>
        <w:footnoteRef/>
      </w:r>
      <w:r w:rsidRPr="00342FA3">
        <w:t xml:space="preserve"> </w:t>
      </w:r>
      <w:r w:rsidRPr="00342FA3">
        <w:rPr>
          <w:i/>
          <w:szCs w:val="26"/>
        </w:rPr>
        <w:t>Monitoring System Conditions - Transmission Operations Reliability Standard, Transmission Operations Reliability Standards, Interconnection Reliability Operations and Coordination Reliability Standards</w:t>
      </w:r>
      <w:r w:rsidRPr="00342FA3">
        <w:rPr>
          <w:szCs w:val="26"/>
        </w:rPr>
        <w:t>, Notice of Proposed Rulemaking, 145 FERC       ¶ 61,158 (2013).  Concurrent with filing the proposed TOP/IRO standards in the immediate proceeding, NERC submitted a motion to withdraw the earlier petition that was the subject of the Remand NOPR.  No protests to the motion were filed and the petition was withdrawn pursuant to 18 CFR § 385.216(b).</w:t>
      </w:r>
    </w:p>
  </w:footnote>
  <w:footnote w:id="5">
    <w:p w14:paraId="12A61233" w14:textId="3DC806F6" w:rsidR="00B14A2C" w:rsidRPr="00342FA3" w:rsidRDefault="00B14A2C" w:rsidP="00CD1C07">
      <w:pPr>
        <w:pStyle w:val="FootnoteText"/>
      </w:pPr>
      <w:r w:rsidRPr="00342FA3">
        <w:rPr>
          <w:b/>
          <w:vertAlign w:val="superscript"/>
        </w:rPr>
        <w:footnoteRef/>
      </w:r>
      <w:r w:rsidRPr="00342FA3">
        <w:t xml:space="preserve">  </w:t>
      </w:r>
      <w:r w:rsidRPr="00342FA3">
        <w:rPr>
          <w:i/>
        </w:rPr>
        <w:t>Mandatory Reliability Standards for the Bulk-Power System</w:t>
      </w:r>
      <w:r w:rsidRPr="00342FA3">
        <w:t xml:space="preserve">, Order No. 693, </w:t>
      </w:r>
      <w:r>
        <w:t xml:space="preserve">  </w:t>
      </w:r>
      <w:r w:rsidRPr="00342FA3">
        <w:t xml:space="preserve">72 FR 16416 (Apr. 4, 2007), FERC Stats. </w:t>
      </w:r>
      <w:proofErr w:type="gramStart"/>
      <w:r w:rsidRPr="00342FA3">
        <w:t xml:space="preserve">&amp; </w:t>
      </w:r>
      <w:proofErr w:type="spellStart"/>
      <w:r w:rsidRPr="00342FA3">
        <w:t>Regs</w:t>
      </w:r>
      <w:proofErr w:type="spellEnd"/>
      <w:r w:rsidRPr="00342FA3">
        <w:t>.</w:t>
      </w:r>
      <w:proofErr w:type="gramEnd"/>
      <w:r w:rsidRPr="00342FA3">
        <w:t xml:space="preserve"> ¶ 31,242, </w:t>
      </w:r>
      <w:r w:rsidRPr="00342FA3">
        <w:rPr>
          <w:i/>
        </w:rPr>
        <w:t xml:space="preserve">order on </w:t>
      </w:r>
      <w:proofErr w:type="spellStart"/>
      <w:r w:rsidRPr="00342FA3">
        <w:rPr>
          <w:i/>
        </w:rPr>
        <w:t>reh’g</w:t>
      </w:r>
      <w:proofErr w:type="spellEnd"/>
      <w:r w:rsidRPr="00342FA3">
        <w:t>, Order</w:t>
      </w:r>
      <w:r>
        <w:t xml:space="preserve">     </w:t>
      </w:r>
      <w:r w:rsidRPr="00342FA3">
        <w:t xml:space="preserve"> No. 693-A, 120 FERC ¶ 61,053 (2007).</w:t>
      </w:r>
    </w:p>
  </w:footnote>
  <w:footnote w:id="6">
    <w:p w14:paraId="0814E501" w14:textId="77777777" w:rsidR="00B14A2C" w:rsidRPr="00342FA3" w:rsidRDefault="00B14A2C" w:rsidP="00CD1C07">
      <w:pPr>
        <w:pStyle w:val="FootnoteText"/>
      </w:pPr>
      <w:r w:rsidRPr="00342FA3">
        <w:rPr>
          <w:rStyle w:val="FootnoteReference"/>
        </w:rPr>
        <w:footnoteRef/>
      </w:r>
      <w:r w:rsidRPr="00342FA3">
        <w:t xml:space="preserve">  </w:t>
      </w:r>
      <w:r w:rsidRPr="00342FA3">
        <w:rPr>
          <w:i/>
          <w:color w:val="000000"/>
          <w:szCs w:val="26"/>
        </w:rPr>
        <w:t>Mandatory Reliability Standards for Interconnection Reliability Operating Limits</w:t>
      </w:r>
      <w:r w:rsidRPr="00342FA3">
        <w:rPr>
          <w:color w:val="000000"/>
          <w:szCs w:val="26"/>
        </w:rPr>
        <w:t xml:space="preserve">, Order No. 748, 134 FERC ¶ 61,213 (2011). </w:t>
      </w:r>
    </w:p>
  </w:footnote>
  <w:footnote w:id="7">
    <w:p w14:paraId="24A20CDD" w14:textId="77777777" w:rsidR="00B14A2C" w:rsidRPr="00342FA3" w:rsidRDefault="00B14A2C">
      <w:pPr>
        <w:pStyle w:val="FootnoteText"/>
      </w:pPr>
      <w:r w:rsidRPr="00342FA3">
        <w:rPr>
          <w:rStyle w:val="FootnoteReference"/>
        </w:rPr>
        <w:footnoteRef/>
      </w:r>
      <w:r w:rsidRPr="00342FA3">
        <w:t xml:space="preserve"> </w:t>
      </w:r>
      <w:proofErr w:type="gramStart"/>
      <w:r w:rsidRPr="00342FA3">
        <w:rPr>
          <w:szCs w:val="26"/>
        </w:rPr>
        <w:t>On April 5, 2013, in Docket No.</w:t>
      </w:r>
      <w:proofErr w:type="gramEnd"/>
      <w:r w:rsidRPr="00342FA3">
        <w:rPr>
          <w:szCs w:val="26"/>
        </w:rPr>
        <w:t xml:space="preserve"> RM13-12-000 NERC proposed revisions to Reliability Standard TOP-006-3 to clarify </w:t>
      </w:r>
      <w:proofErr w:type="gramStart"/>
      <w:r w:rsidRPr="00342FA3">
        <w:rPr>
          <w:szCs w:val="26"/>
        </w:rPr>
        <w:t>that transmission operators</w:t>
      </w:r>
      <w:proofErr w:type="gramEnd"/>
      <w:r w:rsidRPr="00342FA3">
        <w:rPr>
          <w:szCs w:val="26"/>
        </w:rPr>
        <w:t xml:space="preserve"> are responsible for monitoring and reporting available transmission resources and that balancing authorities are responsible for monitoring and reporting available generation resources.</w:t>
      </w:r>
    </w:p>
  </w:footnote>
  <w:footnote w:id="8">
    <w:p w14:paraId="77D44848" w14:textId="56E61550" w:rsidR="00B14A2C" w:rsidRPr="00342FA3" w:rsidRDefault="00B14A2C">
      <w:pPr>
        <w:pStyle w:val="FootnoteText"/>
      </w:pPr>
      <w:r w:rsidRPr="00342FA3">
        <w:rPr>
          <w:rStyle w:val="FootnoteReference"/>
        </w:rPr>
        <w:footnoteRef/>
      </w:r>
      <w:r w:rsidRPr="00342FA3">
        <w:t xml:space="preserve"> Remand NOPR, </w:t>
      </w:r>
      <w:r w:rsidRPr="00342FA3">
        <w:rPr>
          <w:szCs w:val="26"/>
        </w:rPr>
        <w:t>145 FERC ¶ 61,158</w:t>
      </w:r>
      <w:r w:rsidRPr="00342FA3">
        <w:t xml:space="preserve"> at P 4. </w:t>
      </w:r>
    </w:p>
  </w:footnote>
  <w:footnote w:id="9">
    <w:p w14:paraId="25E5F5BB" w14:textId="24643BF4" w:rsidR="00B14A2C" w:rsidRPr="00342FA3" w:rsidRDefault="00B14A2C">
      <w:pPr>
        <w:pStyle w:val="FootnoteText"/>
      </w:pPr>
      <w:r w:rsidRPr="00342FA3">
        <w:rPr>
          <w:rStyle w:val="FootnoteReference"/>
        </w:rPr>
        <w:footnoteRef/>
      </w:r>
      <w:r w:rsidRPr="00342FA3">
        <w:t xml:space="preserve"> </w:t>
      </w:r>
      <w:r w:rsidRPr="00342FA3">
        <w:rPr>
          <w:i/>
          <w:iCs/>
          <w:szCs w:val="26"/>
        </w:rPr>
        <w:t>Monitoring System Conditions- Transmission Operations Reliability Standard</w:t>
      </w:r>
      <w:r>
        <w:rPr>
          <w:i/>
          <w:iCs/>
          <w:szCs w:val="26"/>
        </w:rPr>
        <w:t>,</w:t>
      </w:r>
      <w:r w:rsidRPr="00342FA3">
        <w:rPr>
          <w:i/>
          <w:iCs/>
          <w:szCs w:val="26"/>
        </w:rPr>
        <w:t xml:space="preserve"> Transmission Operations Reliability Standards</w:t>
      </w:r>
      <w:r>
        <w:rPr>
          <w:i/>
          <w:iCs/>
          <w:szCs w:val="26"/>
        </w:rPr>
        <w:t>,</w:t>
      </w:r>
      <w:r w:rsidRPr="00342FA3">
        <w:rPr>
          <w:i/>
          <w:iCs/>
          <w:szCs w:val="26"/>
        </w:rPr>
        <w:t xml:space="preserve"> Interconnection Reliability Operations and Coordination Reliability Standards, </w:t>
      </w:r>
      <w:r w:rsidRPr="00342FA3">
        <w:rPr>
          <w:iCs/>
          <w:szCs w:val="26"/>
        </w:rPr>
        <w:t xml:space="preserve">Order Granting Motion to Defer Action, </w:t>
      </w:r>
      <w:r>
        <w:rPr>
          <w:iCs/>
          <w:szCs w:val="26"/>
        </w:rPr>
        <w:t xml:space="preserve">        </w:t>
      </w:r>
      <w:r w:rsidRPr="00342FA3">
        <w:rPr>
          <w:szCs w:val="26"/>
        </w:rPr>
        <w:t>146 FERC ¶ 61,023 (2014).</w:t>
      </w:r>
      <w:r w:rsidRPr="00342FA3">
        <w:rPr>
          <w:sz w:val="20"/>
        </w:rPr>
        <w:t xml:space="preserve"> </w:t>
      </w:r>
      <w:r w:rsidRPr="00342FA3">
        <w:t xml:space="preserve"> </w:t>
      </w:r>
    </w:p>
  </w:footnote>
  <w:footnote w:id="10">
    <w:p w14:paraId="0210DF47" w14:textId="228EF53A" w:rsidR="00B14A2C" w:rsidRPr="00342FA3" w:rsidRDefault="00B14A2C" w:rsidP="006704CD">
      <w:pPr>
        <w:spacing w:after="240"/>
        <w:ind w:firstLine="720"/>
      </w:pPr>
      <w:r w:rsidRPr="00342FA3">
        <w:rPr>
          <w:rStyle w:val="FootnoteReference"/>
        </w:rPr>
        <w:footnoteRef/>
      </w:r>
      <w:r w:rsidRPr="00342FA3">
        <w:t xml:space="preserve"> The TOP and IRO </w:t>
      </w:r>
      <w:r w:rsidRPr="00342FA3">
        <w:rPr>
          <w:szCs w:val="26"/>
        </w:rPr>
        <w:t xml:space="preserve">Reliability Standards are not attached to this NOPR.  The complete text of the Reliability Standards is available on the Commission’s eLibrary document retrieval system in Docket No. RM15-16 and is posted on the ERO’s web site, </w:t>
      </w:r>
      <w:r w:rsidRPr="00342FA3">
        <w:rPr>
          <w:i/>
          <w:iCs/>
          <w:szCs w:val="26"/>
        </w:rPr>
        <w:t>available at</w:t>
      </w:r>
      <w:r w:rsidRPr="00342FA3">
        <w:rPr>
          <w:szCs w:val="26"/>
        </w:rPr>
        <w:t xml:space="preserve">: </w:t>
      </w:r>
      <w:hyperlink r:id="rId1" w:history="1">
        <w:r w:rsidRPr="00342FA3">
          <w:rPr>
            <w:rStyle w:val="Hyperlink"/>
            <w:szCs w:val="26"/>
          </w:rPr>
          <w:t>http://www.nerc.com</w:t>
        </w:r>
      </w:hyperlink>
      <w:r w:rsidRPr="00342FA3">
        <w:rPr>
          <w:szCs w:val="26"/>
        </w:rPr>
        <w:t>.</w:t>
      </w:r>
    </w:p>
  </w:footnote>
  <w:footnote w:id="11">
    <w:p w14:paraId="5C526030" w14:textId="4ED0AB8D" w:rsidR="00B14A2C" w:rsidRPr="00342FA3" w:rsidRDefault="00B14A2C" w:rsidP="00763052">
      <w:pPr>
        <w:pStyle w:val="FootnoteText"/>
      </w:pPr>
      <w:r w:rsidRPr="00342FA3">
        <w:rPr>
          <w:rStyle w:val="FootnoteReference"/>
        </w:rPr>
        <w:footnoteRef/>
      </w:r>
      <w:r w:rsidRPr="00342FA3">
        <w:t xml:space="preserve">  The NERC Glossary of Terms defines IROL as “[a] System Operating Limit that, if violated, could lead to instability, uncontrolled separation, or Cascading outages that adversely impact the reliability of the Bulk Electric System.”  In turn, NERC defines SOL as “[t]he value (such as MW, </w:t>
      </w:r>
      <w:proofErr w:type="spellStart"/>
      <w:r w:rsidRPr="00342FA3">
        <w:t>MVar</w:t>
      </w:r>
      <w:proofErr w:type="spellEnd"/>
      <w:r w:rsidRPr="00342FA3">
        <w:t>, Amperes, Frequency or Volts) that satisfies the most limiting of the prescribed operating criteria for a specified system configuration to ensure operation within acceptable reliability criteria. ….”</w:t>
      </w:r>
    </w:p>
  </w:footnote>
  <w:footnote w:id="12">
    <w:p w14:paraId="5F40F086"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at 46 and Exhibit E, “White Paper on System Operating Limit Definition and Exceedance Clarification.”</w:t>
      </w:r>
      <w:proofErr w:type="gramEnd"/>
    </w:p>
  </w:footnote>
  <w:footnote w:id="13">
    <w:p w14:paraId="5958226A" w14:textId="62E82DDA" w:rsidR="00B14A2C" w:rsidRPr="00342FA3" w:rsidRDefault="00B14A2C">
      <w:pPr>
        <w:pStyle w:val="FootnoteText"/>
        <w:rPr>
          <w:szCs w:val="26"/>
        </w:rPr>
      </w:pPr>
      <w:r w:rsidRPr="00342FA3">
        <w:rPr>
          <w:rStyle w:val="FootnoteReference"/>
        </w:rPr>
        <w:footnoteRef/>
      </w:r>
      <w:r w:rsidRPr="00342FA3">
        <w:t xml:space="preserve"> NERC defines </w:t>
      </w:r>
      <w:proofErr w:type="spellStart"/>
      <w:r w:rsidRPr="00342FA3">
        <w:rPr>
          <w:szCs w:val="26"/>
        </w:rPr>
        <w:t>T</w:t>
      </w:r>
      <w:r w:rsidRPr="00342FA3">
        <w:rPr>
          <w:szCs w:val="26"/>
          <w:vertAlign w:val="subscript"/>
        </w:rPr>
        <w:t>v</w:t>
      </w:r>
      <w:proofErr w:type="spellEnd"/>
      <w:r w:rsidRPr="00342FA3">
        <w:rPr>
          <w:szCs w:val="26"/>
          <w:vertAlign w:val="subscript"/>
        </w:rPr>
        <w:t xml:space="preserve"> </w:t>
      </w:r>
      <w:r w:rsidRPr="00342FA3">
        <w:rPr>
          <w:szCs w:val="26"/>
        </w:rPr>
        <w:t xml:space="preserve">as “[t]he maximum time that an Interconnection Reliability Operating Limit can be violated before the risk to the interconnection or other Reliability Coordinator Area(s) becomes greater than acceptable. </w:t>
      </w:r>
      <w:r>
        <w:rPr>
          <w:szCs w:val="26"/>
        </w:rPr>
        <w:t xml:space="preserve"> </w:t>
      </w:r>
      <w:r w:rsidRPr="00342FA3">
        <w:rPr>
          <w:szCs w:val="26"/>
        </w:rPr>
        <w:t xml:space="preserve">Each Interconnection Reliability Operating Limit’s </w:t>
      </w:r>
      <w:proofErr w:type="spellStart"/>
      <w:proofErr w:type="gramStart"/>
      <w:r w:rsidRPr="00342FA3">
        <w:rPr>
          <w:szCs w:val="26"/>
        </w:rPr>
        <w:t>T</w:t>
      </w:r>
      <w:r w:rsidRPr="000C18E1">
        <w:rPr>
          <w:szCs w:val="26"/>
          <w:vertAlign w:val="subscript"/>
        </w:rPr>
        <w:t>v</w:t>
      </w:r>
      <w:proofErr w:type="spellEnd"/>
      <w:proofErr w:type="gramEnd"/>
      <w:r w:rsidRPr="000C18E1">
        <w:rPr>
          <w:szCs w:val="26"/>
          <w:vertAlign w:val="subscript"/>
        </w:rPr>
        <w:t xml:space="preserve"> </w:t>
      </w:r>
      <w:r w:rsidRPr="00342FA3">
        <w:rPr>
          <w:szCs w:val="26"/>
        </w:rPr>
        <w:t>shall be less than or equal to 30 minutes.”</w:t>
      </w:r>
      <w:r w:rsidRPr="00342FA3">
        <w:rPr>
          <w:sz w:val="20"/>
        </w:rPr>
        <w:t xml:space="preserve"> </w:t>
      </w:r>
      <w:r w:rsidRPr="00342FA3">
        <w:t xml:space="preserve"> </w:t>
      </w:r>
    </w:p>
  </w:footnote>
  <w:footnote w:id="14">
    <w:p w14:paraId="252D1F44"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Exhibit B at 5.</w:t>
      </w:r>
      <w:proofErr w:type="gramEnd"/>
    </w:p>
  </w:footnote>
  <w:footnote w:id="15">
    <w:p w14:paraId="4F15369D"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Exhibit K, Consideration of Comments January 7, 2015, at 2.</w:t>
      </w:r>
      <w:proofErr w:type="gramEnd"/>
    </w:p>
  </w:footnote>
  <w:footnote w:id="16">
    <w:p w14:paraId="7BDD06BD" w14:textId="77777777" w:rsidR="00B14A2C" w:rsidRPr="00342FA3" w:rsidRDefault="00B14A2C">
      <w:pPr>
        <w:pStyle w:val="FootnoteText"/>
      </w:pPr>
      <w:r w:rsidRPr="00342FA3">
        <w:rPr>
          <w:rStyle w:val="FootnoteReference"/>
        </w:rPr>
        <w:footnoteRef/>
      </w:r>
      <w:r w:rsidRPr="00342FA3">
        <w:t xml:space="preserve"> </w:t>
      </w:r>
      <w:r w:rsidRPr="00342FA3">
        <w:rPr>
          <w:szCs w:val="26"/>
        </w:rPr>
        <w:t>The proposed definition of operational planning analysis is “[a]n evaluation of projected system conditions to assess anticipated (pre-Contingency) and potential (post-Contingency) conditions for next-day operations.  The evaluation shall reflect applicable inputs including, but not limited to, load forecasts; generation output levels; Interchange; known Protection System and Special Protection System status or degradation; Transmission outages; generator outages; Facility Ratings; and identified phase angle and equipment limitations.  (Operational Planning Analysis may be provided through internal systems or through third-party services.)”</w:t>
      </w:r>
    </w:p>
  </w:footnote>
  <w:footnote w:id="17">
    <w:p w14:paraId="69587B77" w14:textId="77777777" w:rsidR="00B14A2C" w:rsidRPr="00342FA3" w:rsidRDefault="00B14A2C">
      <w:pPr>
        <w:pStyle w:val="FootnoteText"/>
      </w:pPr>
      <w:r w:rsidRPr="00342FA3">
        <w:rPr>
          <w:rStyle w:val="FootnoteReference"/>
        </w:rPr>
        <w:footnoteRef/>
      </w:r>
      <w:r w:rsidRPr="00342FA3">
        <w:t xml:space="preserve"> </w:t>
      </w:r>
      <w:r w:rsidRPr="00342FA3">
        <w:rPr>
          <w:szCs w:val="26"/>
        </w:rPr>
        <w:t>The proposed definition of real-time assessment is “[a]n evaluation of system conditions using Real-time data to assess existing (pre-Contingency) and potential (post-Contingency) operating conditions.  The assessment shall reflect applicable inputs including, but not limited to: load, generation output levels, known Protection System and Special Protection System status or degradation, Transmission outages, generator outages, Interchange, Facility Ratings, and identified phase angle and equipment limitations.  (Real-time Assessment may be provided through internal systems or through third-party services.)”</w:t>
      </w:r>
    </w:p>
  </w:footnote>
  <w:footnote w:id="18">
    <w:p w14:paraId="02857959" w14:textId="77777777" w:rsidR="00B14A2C" w:rsidRPr="00342FA3" w:rsidRDefault="00B14A2C" w:rsidP="00FF6FEC">
      <w:pPr>
        <w:pStyle w:val="FootnoteText"/>
      </w:pPr>
      <w:r w:rsidRPr="00342FA3">
        <w:rPr>
          <w:rStyle w:val="FootnoteReference"/>
        </w:rPr>
        <w:footnoteRef/>
      </w:r>
      <w:r w:rsidRPr="00342FA3">
        <w:t xml:space="preserve">  </w:t>
      </w:r>
      <w:proofErr w:type="gramStart"/>
      <w:r w:rsidRPr="00342FA3">
        <w:rPr>
          <w:i/>
          <w:szCs w:val="26"/>
        </w:rPr>
        <w:t>Electric Reliability Organization Proposal to Retire Requirements in Reliability Standards</w:t>
      </w:r>
      <w:r w:rsidRPr="00342FA3">
        <w:rPr>
          <w:szCs w:val="26"/>
        </w:rPr>
        <w:t>, Order No. 788, 145 FERC ¶ 61,147 (2013).</w:t>
      </w:r>
      <w:proofErr w:type="gramEnd"/>
      <w:r w:rsidRPr="00342FA3">
        <w:rPr>
          <w:szCs w:val="26"/>
        </w:rPr>
        <w:t xml:space="preserve"> </w:t>
      </w:r>
    </w:p>
  </w:footnote>
  <w:footnote w:id="19">
    <w:p w14:paraId="558CFB23" w14:textId="77777777" w:rsidR="00B14A2C" w:rsidRPr="00342FA3" w:rsidRDefault="00B14A2C" w:rsidP="00044913">
      <w:pPr>
        <w:pStyle w:val="FootnoteText"/>
      </w:pPr>
      <w:r w:rsidRPr="00342FA3">
        <w:rPr>
          <w:rStyle w:val="FootnoteReference"/>
        </w:rPr>
        <w:footnoteRef/>
      </w:r>
      <w:r w:rsidRPr="00342FA3">
        <w:t xml:space="preserve">  </w:t>
      </w:r>
      <w:proofErr w:type="gramStart"/>
      <w:r w:rsidRPr="00342FA3">
        <w:rPr>
          <w:i/>
        </w:rPr>
        <w:t>See, e.g.,</w:t>
      </w:r>
      <w:r w:rsidRPr="00342FA3">
        <w:t xml:space="preserve"> Order No. 748, </w:t>
      </w:r>
      <w:r w:rsidRPr="00342FA3">
        <w:rPr>
          <w:color w:val="000000"/>
          <w:szCs w:val="26"/>
        </w:rPr>
        <w:t xml:space="preserve">134 FERC ¶ 61,213, </w:t>
      </w:r>
      <w:r w:rsidRPr="00342FA3">
        <w:t>at PP 39-40.</w:t>
      </w:r>
      <w:proofErr w:type="gramEnd"/>
      <w:r w:rsidRPr="00342FA3">
        <w:t xml:space="preserve">  </w:t>
      </w:r>
    </w:p>
  </w:footnote>
  <w:footnote w:id="20">
    <w:p w14:paraId="1C8B4336" w14:textId="1B91C132" w:rsidR="00B14A2C" w:rsidRPr="00342FA3" w:rsidRDefault="00B14A2C">
      <w:pPr>
        <w:pStyle w:val="FootnoteText"/>
      </w:pPr>
      <w:r w:rsidRPr="00342FA3">
        <w:rPr>
          <w:rStyle w:val="FootnoteReference"/>
        </w:rPr>
        <w:footnoteRef/>
      </w:r>
      <w:r w:rsidRPr="00342FA3">
        <w:t xml:space="preserve"> Remand NOPR, </w:t>
      </w:r>
      <w:r w:rsidRPr="00342FA3">
        <w:rPr>
          <w:szCs w:val="26"/>
        </w:rPr>
        <w:t xml:space="preserve">145 FERC ¶ 61,158 </w:t>
      </w:r>
      <w:r w:rsidRPr="00342FA3">
        <w:t xml:space="preserve">at P 42. </w:t>
      </w:r>
    </w:p>
  </w:footnote>
  <w:footnote w:id="21">
    <w:p w14:paraId="259E42C3" w14:textId="690D4885" w:rsidR="00B14A2C" w:rsidRPr="00342FA3" w:rsidRDefault="00B14A2C">
      <w:pPr>
        <w:pStyle w:val="FootnoteText"/>
      </w:pPr>
      <w:r w:rsidRPr="00342FA3">
        <w:rPr>
          <w:rStyle w:val="FootnoteReference"/>
        </w:rPr>
        <w:footnoteRef/>
      </w:r>
      <w:r w:rsidRPr="00342FA3">
        <w:t xml:space="preserve"> </w:t>
      </w:r>
      <w:r w:rsidRPr="00342FA3">
        <w:rPr>
          <w:i/>
        </w:rPr>
        <w:t>Id</w:t>
      </w:r>
      <w:r w:rsidRPr="00342FA3">
        <w:t>. P 51.</w:t>
      </w:r>
    </w:p>
  </w:footnote>
  <w:footnote w:id="22">
    <w:p w14:paraId="43740C01" w14:textId="77777777" w:rsidR="00B14A2C" w:rsidRPr="00342FA3" w:rsidRDefault="00B14A2C">
      <w:pPr>
        <w:pStyle w:val="FootnoteText"/>
      </w:pPr>
      <w:r w:rsidRPr="00342FA3">
        <w:rPr>
          <w:rStyle w:val="FootnoteReference"/>
        </w:rPr>
        <w:footnoteRef/>
      </w:r>
      <w:r w:rsidRPr="00342FA3">
        <w:t xml:space="preserve"> NERC Petition at 24-25.</w:t>
      </w:r>
    </w:p>
  </w:footnote>
  <w:footnote w:id="23">
    <w:p w14:paraId="55FD620C"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at 27.</w:t>
      </w:r>
      <w:proofErr w:type="gramEnd"/>
    </w:p>
  </w:footnote>
  <w:footnote w:id="24">
    <w:p w14:paraId="74A73E79"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at 52.</w:t>
      </w:r>
      <w:proofErr w:type="gramEnd"/>
    </w:p>
  </w:footnote>
  <w:footnote w:id="25">
    <w:p w14:paraId="4F14992C" w14:textId="41AD5DED" w:rsidR="00B14A2C" w:rsidRPr="00342FA3" w:rsidRDefault="00B14A2C">
      <w:pPr>
        <w:pStyle w:val="FootnoteText"/>
      </w:pPr>
      <w:r w:rsidRPr="00342FA3">
        <w:rPr>
          <w:rStyle w:val="FootnoteReference"/>
        </w:rPr>
        <w:footnoteRef/>
      </w:r>
      <w:r w:rsidRPr="00342FA3">
        <w:t xml:space="preserve"> Remand NOPR, </w:t>
      </w:r>
      <w:r w:rsidRPr="00342FA3">
        <w:rPr>
          <w:szCs w:val="26"/>
        </w:rPr>
        <w:t>145 FERC ¶ 61,158</w:t>
      </w:r>
      <w:r w:rsidRPr="00342FA3">
        <w:t xml:space="preserve"> at P 55.</w:t>
      </w:r>
    </w:p>
  </w:footnote>
  <w:footnote w:id="26">
    <w:p w14:paraId="64451881"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at 32.</w:t>
      </w:r>
      <w:proofErr w:type="gramEnd"/>
    </w:p>
  </w:footnote>
  <w:footnote w:id="27">
    <w:p w14:paraId="49C9FFCE" w14:textId="398383BF" w:rsidR="00B14A2C" w:rsidRPr="00342FA3" w:rsidRDefault="00B14A2C" w:rsidP="00C043AB">
      <w:pPr>
        <w:pStyle w:val="FootnoteText"/>
      </w:pPr>
      <w:r w:rsidRPr="00342FA3">
        <w:rPr>
          <w:rStyle w:val="FootnoteReference"/>
        </w:rPr>
        <w:footnoteRef/>
      </w:r>
      <w:r w:rsidRPr="00342FA3">
        <w:t xml:space="preserve"> </w:t>
      </w:r>
      <w:r w:rsidRPr="00342FA3">
        <w:rPr>
          <w:i/>
        </w:rPr>
        <w:t>See</w:t>
      </w:r>
      <w:r w:rsidRPr="00342FA3">
        <w:t xml:space="preserve"> Remand NOPR, </w:t>
      </w:r>
      <w:r w:rsidRPr="00342FA3">
        <w:rPr>
          <w:szCs w:val="26"/>
        </w:rPr>
        <w:t xml:space="preserve">145 FERC ¶ 61,158 </w:t>
      </w:r>
      <w:r w:rsidRPr="00342FA3">
        <w:t xml:space="preserve">at P 85.  Further, currently-effective </w:t>
      </w:r>
      <w:r w:rsidRPr="00342FA3">
        <w:rPr>
          <w:szCs w:val="26"/>
        </w:rPr>
        <w:t xml:space="preserve">Reliability Standard IRO-009-1, Requirement R4 states that “[w]hen actual system conditions show that there is an instance of exceeding an IROL in its Reliability Coordinator Area, the Reliability Coordinator shall, without delay, act or direct others to act to mitigate the magnitude and duration of the instance of exceeding that IROL within the IROL’s </w:t>
      </w:r>
      <w:proofErr w:type="spellStart"/>
      <w:r w:rsidRPr="00342FA3">
        <w:rPr>
          <w:szCs w:val="26"/>
        </w:rPr>
        <w:t>T</w:t>
      </w:r>
      <w:r w:rsidRPr="00342FA3">
        <w:rPr>
          <w:sz w:val="17"/>
          <w:szCs w:val="17"/>
        </w:rPr>
        <w:t>v</w:t>
      </w:r>
      <w:proofErr w:type="spellEnd"/>
      <w:r w:rsidRPr="00342FA3">
        <w:rPr>
          <w:szCs w:val="26"/>
        </w:rPr>
        <w:t>.”</w:t>
      </w:r>
    </w:p>
  </w:footnote>
  <w:footnote w:id="28">
    <w:p w14:paraId="65674DBD" w14:textId="77777777" w:rsidR="00B14A2C" w:rsidRPr="00342FA3" w:rsidRDefault="00B14A2C" w:rsidP="00C043AB">
      <w:pPr>
        <w:pStyle w:val="FootnoteText"/>
      </w:pPr>
      <w:r w:rsidRPr="00342FA3">
        <w:rPr>
          <w:rStyle w:val="FootnoteReference"/>
        </w:rPr>
        <w:footnoteRef/>
      </w:r>
      <w:r w:rsidRPr="00342FA3">
        <w:t xml:space="preserve"> </w:t>
      </w:r>
      <w:proofErr w:type="gramStart"/>
      <w:r w:rsidRPr="00342FA3">
        <w:t>NERC Petition at 25.</w:t>
      </w:r>
      <w:proofErr w:type="gramEnd"/>
    </w:p>
  </w:footnote>
  <w:footnote w:id="29">
    <w:p w14:paraId="471E2593" w14:textId="77777777" w:rsidR="00B14A2C" w:rsidRPr="00342FA3" w:rsidRDefault="00B14A2C" w:rsidP="005B70B5">
      <w:pPr>
        <w:pStyle w:val="FootnoteText"/>
      </w:pPr>
      <w:r w:rsidRPr="00342FA3">
        <w:rPr>
          <w:rStyle w:val="FootnoteReference"/>
        </w:rPr>
        <w:footnoteRef/>
      </w:r>
      <w:r w:rsidRPr="00342FA3">
        <w:t xml:space="preserve"> </w:t>
      </w:r>
      <w:proofErr w:type="gramStart"/>
      <w:r w:rsidRPr="00342FA3">
        <w:t>NERC Petition at 33.</w:t>
      </w:r>
      <w:proofErr w:type="gramEnd"/>
    </w:p>
  </w:footnote>
  <w:footnote w:id="30">
    <w:p w14:paraId="6A94510A" w14:textId="77777777" w:rsidR="00B14A2C" w:rsidRPr="00342FA3" w:rsidRDefault="00B14A2C">
      <w:pPr>
        <w:pStyle w:val="FootnoteText"/>
      </w:pPr>
      <w:r w:rsidRPr="00342FA3">
        <w:rPr>
          <w:rStyle w:val="FootnoteReference"/>
        </w:rPr>
        <w:footnoteRef/>
      </w:r>
      <w:r w:rsidRPr="00342FA3">
        <w:t xml:space="preserve"> NERC Petition at 17-18.</w:t>
      </w:r>
    </w:p>
  </w:footnote>
  <w:footnote w:id="31">
    <w:p w14:paraId="56F5E843"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at 19.</w:t>
      </w:r>
      <w:proofErr w:type="gramEnd"/>
    </w:p>
  </w:footnote>
  <w:footnote w:id="32">
    <w:p w14:paraId="32DC474E" w14:textId="77777777" w:rsidR="00B14A2C" w:rsidRPr="00342FA3" w:rsidRDefault="00B14A2C">
      <w:pPr>
        <w:pStyle w:val="FootnoteText"/>
      </w:pPr>
      <w:r w:rsidRPr="00342FA3">
        <w:rPr>
          <w:rStyle w:val="FootnoteReference"/>
        </w:rPr>
        <w:footnoteRef/>
      </w:r>
      <w:r w:rsidRPr="00342FA3">
        <w:t xml:space="preserve"> </w:t>
      </w:r>
      <w:proofErr w:type="gramStart"/>
      <w:r w:rsidRPr="00342FA3">
        <w:t>NERC Petition at 18.</w:t>
      </w:r>
      <w:proofErr w:type="gramEnd"/>
    </w:p>
  </w:footnote>
  <w:footnote w:id="33">
    <w:p w14:paraId="412E44D0" w14:textId="441B86A5" w:rsidR="00B14A2C" w:rsidRDefault="00B14A2C">
      <w:pPr>
        <w:pStyle w:val="FootnoteText"/>
      </w:pPr>
      <w:r>
        <w:rPr>
          <w:rStyle w:val="FootnoteReference"/>
        </w:rPr>
        <w:footnoteRef/>
      </w:r>
      <w:r>
        <w:t xml:space="preserve"> </w:t>
      </w:r>
      <w:proofErr w:type="gramStart"/>
      <w:r w:rsidRPr="00342FA3">
        <w:t>NERC Petition</w:t>
      </w:r>
      <w:r>
        <w:t xml:space="preserve">, </w:t>
      </w:r>
      <w:r w:rsidRPr="00342FA3">
        <w:t>Exhibit E, “White Paper on System Operating Limit Definiti</w:t>
      </w:r>
      <w:r>
        <w:t>on and Exceedance Clarification</w:t>
      </w:r>
      <w:r w:rsidRPr="00342FA3">
        <w:t>”</w:t>
      </w:r>
      <w:r>
        <w:t xml:space="preserve"> at 1.</w:t>
      </w:r>
      <w:proofErr w:type="gramEnd"/>
    </w:p>
  </w:footnote>
  <w:footnote w:id="34">
    <w:p w14:paraId="425FE579" w14:textId="73D762F7" w:rsidR="00B14A2C" w:rsidRPr="007D2FE2" w:rsidRDefault="00B14A2C" w:rsidP="00AC37B0">
      <w:pPr>
        <w:pStyle w:val="FootnoteText"/>
        <w:rPr>
          <w:szCs w:val="26"/>
        </w:rPr>
      </w:pPr>
      <w:r>
        <w:rPr>
          <w:rStyle w:val="FootnoteReference"/>
        </w:rPr>
        <w:footnoteRef/>
      </w:r>
      <w:r>
        <w:t xml:space="preserve"> </w:t>
      </w:r>
      <w:r w:rsidRPr="007D2FE2">
        <w:rPr>
          <w:szCs w:val="26"/>
        </w:rPr>
        <w:t>NERC Glossary of Terms defines Interconnection</w:t>
      </w:r>
      <w:r>
        <w:rPr>
          <w:szCs w:val="26"/>
        </w:rPr>
        <w:t xml:space="preserve"> </w:t>
      </w:r>
      <w:r w:rsidRPr="007D2FE2">
        <w:rPr>
          <w:szCs w:val="26"/>
        </w:rPr>
        <w:t>Reliability Operating</w:t>
      </w:r>
      <w:r>
        <w:rPr>
          <w:szCs w:val="26"/>
        </w:rPr>
        <w:t xml:space="preserve"> </w:t>
      </w:r>
      <w:r w:rsidRPr="007D2FE2">
        <w:rPr>
          <w:szCs w:val="26"/>
        </w:rPr>
        <w:t>Limit</w:t>
      </w:r>
      <w:r>
        <w:rPr>
          <w:szCs w:val="26"/>
        </w:rPr>
        <w:t xml:space="preserve"> as “[a] </w:t>
      </w:r>
      <w:r w:rsidRPr="0041392C">
        <w:rPr>
          <w:szCs w:val="26"/>
        </w:rPr>
        <w:t>System Operating Limit that, if violated, could lead to</w:t>
      </w:r>
      <w:r>
        <w:rPr>
          <w:szCs w:val="26"/>
        </w:rPr>
        <w:t xml:space="preserve"> </w:t>
      </w:r>
      <w:r w:rsidRPr="0041392C">
        <w:rPr>
          <w:szCs w:val="26"/>
        </w:rPr>
        <w:t>instability, uncontrolled separation, or Cascading outages</w:t>
      </w:r>
      <w:r>
        <w:rPr>
          <w:szCs w:val="26"/>
        </w:rPr>
        <w:t xml:space="preserve"> </w:t>
      </w:r>
      <w:r w:rsidRPr="0041392C">
        <w:rPr>
          <w:szCs w:val="26"/>
        </w:rPr>
        <w:t>that adversely impact the reliability of the Bulk Electric</w:t>
      </w:r>
      <w:r>
        <w:rPr>
          <w:szCs w:val="26"/>
        </w:rPr>
        <w:t xml:space="preserve"> </w:t>
      </w:r>
      <w:r w:rsidRPr="0041392C">
        <w:rPr>
          <w:szCs w:val="26"/>
        </w:rPr>
        <w:t>System.</w:t>
      </w:r>
      <w:r>
        <w:rPr>
          <w:szCs w:val="26"/>
        </w:rPr>
        <w:t>”</w:t>
      </w:r>
    </w:p>
  </w:footnote>
  <w:footnote w:id="35">
    <w:p w14:paraId="73F322E7" w14:textId="2FBEF347" w:rsidR="00B14A2C" w:rsidRPr="000F4687" w:rsidRDefault="00B14A2C" w:rsidP="00AC37B0">
      <w:pPr>
        <w:pStyle w:val="FootnoteText"/>
        <w:rPr>
          <w:szCs w:val="26"/>
        </w:rPr>
      </w:pPr>
      <w:r>
        <w:rPr>
          <w:rStyle w:val="FootnoteReference"/>
        </w:rPr>
        <w:footnoteRef/>
      </w:r>
      <w:r>
        <w:t xml:space="preserve"> </w:t>
      </w:r>
      <w:r w:rsidRPr="000F4687">
        <w:rPr>
          <w:szCs w:val="26"/>
        </w:rPr>
        <w:t>NERC 2015 State of Reliability report at 44</w:t>
      </w:r>
      <w:r>
        <w:rPr>
          <w:szCs w:val="26"/>
        </w:rPr>
        <w:t>, available at www.nerc.com</w:t>
      </w:r>
      <w:r w:rsidRPr="000F4687">
        <w:rPr>
          <w:szCs w:val="26"/>
        </w:rPr>
        <w:t>.</w:t>
      </w:r>
      <w:r>
        <w:rPr>
          <w:szCs w:val="26"/>
        </w:rPr>
        <w:t xml:space="preserve">  </w:t>
      </w:r>
      <w:r w:rsidR="00191B1C">
        <w:rPr>
          <w:szCs w:val="26"/>
        </w:rPr>
        <w:t xml:space="preserve">     </w:t>
      </w:r>
      <w:r w:rsidRPr="009E2A09">
        <w:rPr>
          <w:i/>
          <w:szCs w:val="26"/>
        </w:rPr>
        <w:t>See also</w:t>
      </w:r>
      <w:r>
        <w:rPr>
          <w:szCs w:val="26"/>
        </w:rPr>
        <w:t xml:space="preserve"> </w:t>
      </w:r>
      <w:r w:rsidRPr="007134B0">
        <w:rPr>
          <w:szCs w:val="26"/>
        </w:rPr>
        <w:t>WECC Reliability Coordination System Operating Limits Methodology for the Operations Horizon, Rev. 7.0</w:t>
      </w:r>
      <w:r>
        <w:rPr>
          <w:szCs w:val="26"/>
        </w:rPr>
        <w:t xml:space="preserve"> (effective March 3, 2014)</w:t>
      </w:r>
      <w:r w:rsidRPr="007134B0">
        <w:rPr>
          <w:szCs w:val="26"/>
        </w:rPr>
        <w:t xml:space="preserve"> at 18</w:t>
      </w:r>
      <w:r>
        <w:rPr>
          <w:szCs w:val="26"/>
        </w:rPr>
        <w:t xml:space="preserve"> (stating </w:t>
      </w:r>
      <w:r w:rsidRPr="007134B0">
        <w:rPr>
          <w:rFonts w:eastAsiaTheme="minorHAnsi"/>
          <w:szCs w:val="26"/>
        </w:rPr>
        <w:t xml:space="preserve">that “SOLs qualify as IROLs when </w:t>
      </w:r>
      <w:r>
        <w:rPr>
          <w:rFonts w:eastAsiaTheme="minorHAnsi"/>
          <w:szCs w:val="26"/>
        </w:rPr>
        <w:t xml:space="preserve">… </w:t>
      </w:r>
      <w:r w:rsidRPr="007134B0">
        <w:rPr>
          <w:rFonts w:eastAsiaTheme="minorHAnsi"/>
          <w:szCs w:val="26"/>
        </w:rPr>
        <w:t xml:space="preserve">studies indicate that instability, Cascading, or uncontrolled separation may occur resulting in uncontrolled interruption of load equal to or greater than </w:t>
      </w:r>
      <w:r w:rsidR="006B2E29">
        <w:rPr>
          <w:rFonts w:eastAsiaTheme="minorHAnsi"/>
          <w:szCs w:val="26"/>
        </w:rPr>
        <w:t xml:space="preserve">        </w:t>
      </w:r>
      <w:r w:rsidRPr="007134B0">
        <w:rPr>
          <w:rFonts w:eastAsiaTheme="minorHAnsi"/>
          <w:szCs w:val="26"/>
        </w:rPr>
        <w:t>1000 MW</w:t>
      </w:r>
      <w:r>
        <w:rPr>
          <w:rFonts w:eastAsiaTheme="minorHAnsi"/>
          <w:szCs w:val="26"/>
        </w:rPr>
        <w:t>”</w:t>
      </w:r>
      <w:r>
        <w:rPr>
          <w:szCs w:val="26"/>
        </w:rPr>
        <w:t xml:space="preserve">), available at </w:t>
      </w:r>
      <w:r w:rsidRPr="00AC37B0">
        <w:rPr>
          <w:szCs w:val="26"/>
        </w:rPr>
        <w:t>https://www.wecc.biz/Reliability/PhaseII%20WECC%20RC%20SOL%20Methodology%20FINAL.pdf</w:t>
      </w:r>
      <w:r>
        <w:rPr>
          <w:szCs w:val="26"/>
        </w:rPr>
        <w:t>.</w:t>
      </w:r>
    </w:p>
  </w:footnote>
  <w:footnote w:id="36">
    <w:p w14:paraId="47A84391" w14:textId="188DEA59" w:rsidR="00B14A2C" w:rsidRPr="00342FA3" w:rsidRDefault="00B14A2C">
      <w:pPr>
        <w:pStyle w:val="FootnoteText"/>
      </w:pPr>
      <w:r w:rsidRPr="00342FA3">
        <w:rPr>
          <w:rStyle w:val="FootnoteReference"/>
        </w:rPr>
        <w:footnoteRef/>
      </w:r>
      <w:r w:rsidRPr="00342FA3">
        <w:t xml:space="preserve"> Remand NOPR, </w:t>
      </w:r>
      <w:r w:rsidRPr="00342FA3">
        <w:rPr>
          <w:szCs w:val="26"/>
        </w:rPr>
        <w:t xml:space="preserve">145 FERC ¶ 61,158 </w:t>
      </w:r>
      <w:r w:rsidRPr="00342FA3">
        <w:t xml:space="preserve">at P 90. </w:t>
      </w:r>
    </w:p>
  </w:footnote>
  <w:footnote w:id="37">
    <w:p w14:paraId="1D34EF6A" w14:textId="77777777" w:rsidR="00B14A2C" w:rsidRPr="00342FA3" w:rsidRDefault="00B14A2C" w:rsidP="0049246D">
      <w:pPr>
        <w:pStyle w:val="FootnoteText"/>
      </w:pPr>
      <w:r w:rsidRPr="00342FA3">
        <w:rPr>
          <w:rStyle w:val="FootnoteReference"/>
        </w:rPr>
        <w:footnoteRef/>
      </w:r>
      <w:r w:rsidRPr="00342FA3">
        <w:t xml:space="preserve"> </w:t>
      </w:r>
      <w:proofErr w:type="gramStart"/>
      <w:r w:rsidRPr="00342FA3">
        <w:t>NERC Petition at 61.</w:t>
      </w:r>
      <w:proofErr w:type="gramEnd"/>
    </w:p>
  </w:footnote>
  <w:footnote w:id="38">
    <w:p w14:paraId="12D171E7" w14:textId="77777777" w:rsidR="00B14A2C" w:rsidRPr="00342FA3" w:rsidRDefault="00B14A2C" w:rsidP="0049246D">
      <w:pPr>
        <w:pStyle w:val="FootnoteText"/>
      </w:pPr>
      <w:r w:rsidRPr="00342FA3">
        <w:rPr>
          <w:rStyle w:val="FootnoteReference"/>
        </w:rPr>
        <w:footnoteRef/>
      </w:r>
      <w:r w:rsidRPr="00342FA3">
        <w:t xml:space="preserve"> </w:t>
      </w:r>
      <w:proofErr w:type="gramStart"/>
      <w:r w:rsidRPr="00342FA3">
        <w:rPr>
          <w:i/>
          <w:iCs/>
        </w:rPr>
        <w:t xml:space="preserve">Id. </w:t>
      </w:r>
      <w:r w:rsidRPr="00342FA3">
        <w:t>at 40.</w:t>
      </w:r>
      <w:proofErr w:type="gramEnd"/>
    </w:p>
  </w:footnote>
  <w:footnote w:id="39">
    <w:p w14:paraId="39813FB9" w14:textId="3E258BA0" w:rsidR="00B14A2C" w:rsidRPr="00342FA3" w:rsidRDefault="00B14A2C" w:rsidP="00565991">
      <w:pPr>
        <w:pStyle w:val="FootnoteText"/>
      </w:pPr>
      <w:r w:rsidRPr="00342FA3">
        <w:rPr>
          <w:rStyle w:val="FootnoteReference"/>
        </w:rPr>
        <w:footnoteRef/>
      </w:r>
      <w:r w:rsidRPr="00342FA3">
        <w:t xml:space="preserve"> </w:t>
      </w:r>
      <w:r w:rsidRPr="00342FA3">
        <w:rPr>
          <w:i/>
          <w:iCs/>
        </w:rPr>
        <w:t xml:space="preserve">Id. </w:t>
      </w:r>
      <w:r w:rsidRPr="00342FA3">
        <w:t>at 47-48.</w:t>
      </w:r>
    </w:p>
  </w:footnote>
  <w:footnote w:id="40">
    <w:p w14:paraId="2E7670A7" w14:textId="77777777" w:rsidR="00B14A2C" w:rsidRPr="00342FA3" w:rsidRDefault="00B14A2C" w:rsidP="004440A4">
      <w:pPr>
        <w:pStyle w:val="FootnoteText"/>
      </w:pPr>
      <w:r w:rsidRPr="00342FA3">
        <w:rPr>
          <w:rStyle w:val="FootnoteReference"/>
        </w:rPr>
        <w:footnoteRef/>
      </w:r>
      <w:r w:rsidRPr="00342FA3">
        <w:t xml:space="preserve"> NERC Petition at 22-23.</w:t>
      </w:r>
    </w:p>
  </w:footnote>
  <w:footnote w:id="41">
    <w:p w14:paraId="10CC8559" w14:textId="44F56B1C" w:rsidR="00B14A2C" w:rsidRPr="00342FA3" w:rsidRDefault="00B14A2C" w:rsidP="004D148B">
      <w:pPr>
        <w:pStyle w:val="FootnoteText"/>
      </w:pPr>
      <w:r w:rsidRPr="00342FA3">
        <w:rPr>
          <w:rStyle w:val="FootnoteReference"/>
        </w:rPr>
        <w:footnoteRef/>
      </w:r>
      <w:r w:rsidRPr="00342FA3">
        <w:t xml:space="preserve"> </w:t>
      </w:r>
      <w:proofErr w:type="gramStart"/>
      <w:r w:rsidRPr="00342FA3">
        <w:t>NERC Petition, Exhibit K, Consideration of Comments January 7, 2015, at 2.</w:t>
      </w:r>
      <w:proofErr w:type="gramEnd"/>
    </w:p>
  </w:footnote>
  <w:footnote w:id="42">
    <w:p w14:paraId="1124502C" w14:textId="77777777" w:rsidR="00B14A2C" w:rsidRPr="00342FA3" w:rsidRDefault="00B14A2C" w:rsidP="007A14C3">
      <w:pPr>
        <w:pStyle w:val="FootnoteText"/>
      </w:pPr>
      <w:r w:rsidRPr="00342FA3">
        <w:rPr>
          <w:rStyle w:val="FootnoteReference"/>
        </w:rPr>
        <w:footnoteRef/>
      </w:r>
      <w:r w:rsidRPr="00342FA3">
        <w:t xml:space="preserve"> </w:t>
      </w:r>
      <w:proofErr w:type="gramStart"/>
      <w:r w:rsidRPr="00342FA3">
        <w:rPr>
          <w:i/>
        </w:rPr>
        <w:t xml:space="preserve">North American Electric Reliability Corp., </w:t>
      </w:r>
      <w:r w:rsidRPr="00342FA3">
        <w:t>150 FERC ¶ 61,213</w:t>
      </w:r>
      <w:r w:rsidRPr="00342FA3">
        <w:rPr>
          <w:i/>
        </w:rPr>
        <w:t xml:space="preserve"> </w:t>
      </w:r>
      <w:r w:rsidRPr="00342FA3">
        <w:t>(2015).</w:t>
      </w:r>
      <w:proofErr w:type="gramEnd"/>
    </w:p>
  </w:footnote>
  <w:footnote w:id="43">
    <w:p w14:paraId="5CD97261" w14:textId="127E278A" w:rsidR="00B14A2C" w:rsidRPr="00342FA3" w:rsidRDefault="00B14A2C">
      <w:pPr>
        <w:pStyle w:val="FootnoteText"/>
      </w:pPr>
      <w:r w:rsidRPr="00342FA3">
        <w:rPr>
          <w:rStyle w:val="FootnoteReference"/>
        </w:rPr>
        <w:footnoteRef/>
      </w:r>
      <w:r w:rsidRPr="00342FA3">
        <w:t xml:space="preserve"> </w:t>
      </w:r>
      <w:proofErr w:type="gramStart"/>
      <w:r w:rsidRPr="00342FA3">
        <w:t>NERC Supplemental Filing at 6.</w:t>
      </w:r>
      <w:proofErr w:type="gramEnd"/>
    </w:p>
  </w:footnote>
  <w:footnote w:id="44">
    <w:p w14:paraId="42CCEFED" w14:textId="41DAC111" w:rsidR="00B14A2C" w:rsidRPr="00342FA3" w:rsidRDefault="00B14A2C">
      <w:pPr>
        <w:pStyle w:val="FootnoteText"/>
      </w:pPr>
      <w:r w:rsidRPr="00342FA3">
        <w:rPr>
          <w:rStyle w:val="FootnoteReference"/>
        </w:rPr>
        <w:footnoteRef/>
      </w:r>
      <w:r w:rsidRPr="00342FA3">
        <w:t xml:space="preserve"> </w:t>
      </w:r>
      <w:proofErr w:type="gramStart"/>
      <w:r w:rsidRPr="00342FA3">
        <w:t>NERC Supplemental Filing at 9.</w:t>
      </w:r>
      <w:proofErr w:type="gramEnd"/>
    </w:p>
  </w:footnote>
  <w:footnote w:id="45">
    <w:p w14:paraId="7619CF45" w14:textId="6F57D902" w:rsidR="00B14A2C" w:rsidRDefault="00B14A2C">
      <w:pPr>
        <w:pStyle w:val="FootnoteText"/>
      </w:pPr>
      <w:r>
        <w:rPr>
          <w:rStyle w:val="FootnoteReference"/>
        </w:rPr>
        <w:footnoteRef/>
      </w:r>
      <w:r>
        <w:t xml:space="preserve"> </w:t>
      </w:r>
      <w:r w:rsidRPr="00342FA3">
        <w:t>NERC TOP/IRO Petition, Exhibit A includes the following time horizons for proposed Reliability Standard TOP-001-3, Requirements R3 through R6: “</w:t>
      </w:r>
      <w:r w:rsidRPr="00342FA3">
        <w:rPr>
          <w:i/>
        </w:rPr>
        <w:t>[Time Horizon: Same-Day Operations, Real-Time Operations].</w:t>
      </w:r>
      <w:r w:rsidRPr="00342FA3">
        <w:t>”</w:t>
      </w:r>
    </w:p>
  </w:footnote>
  <w:footnote w:id="46">
    <w:p w14:paraId="4A042461" w14:textId="6CDC384B" w:rsidR="00B14A2C" w:rsidRPr="00342FA3" w:rsidRDefault="00B14A2C">
      <w:pPr>
        <w:pStyle w:val="FootnoteText"/>
      </w:pPr>
      <w:r w:rsidRPr="00342FA3">
        <w:rPr>
          <w:rStyle w:val="FootnoteReference"/>
        </w:rPr>
        <w:footnoteRef/>
      </w:r>
      <w:r w:rsidRPr="00342FA3">
        <w:t xml:space="preserve"> NERC Glossary of Terms defines Interruptible Load as the “[d]</w:t>
      </w:r>
      <w:proofErr w:type="spellStart"/>
      <w:r w:rsidRPr="00342FA3">
        <w:t>emand</w:t>
      </w:r>
      <w:proofErr w:type="spellEnd"/>
      <w:r w:rsidRPr="00342FA3">
        <w:t xml:space="preserve"> that the end-use customer makes available to its Load-Serving Entity via contract or agreement for curtailment.”   </w:t>
      </w:r>
    </w:p>
  </w:footnote>
  <w:footnote w:id="47">
    <w:p w14:paraId="65BF964E" w14:textId="14535368" w:rsidR="00B14A2C" w:rsidRPr="00342FA3" w:rsidRDefault="00B14A2C" w:rsidP="007A14C3">
      <w:pPr>
        <w:pStyle w:val="FootnoteText"/>
      </w:pPr>
      <w:r w:rsidRPr="00342FA3">
        <w:rPr>
          <w:rStyle w:val="FootnoteReference"/>
        </w:rPr>
        <w:footnoteRef/>
      </w:r>
      <w:r w:rsidRPr="00342FA3">
        <w:t xml:space="preserve"> </w:t>
      </w:r>
      <w:r w:rsidRPr="00342FA3">
        <w:rPr>
          <w:i/>
        </w:rPr>
        <w:t>Communications Reliability Standards</w:t>
      </w:r>
      <w:r w:rsidRPr="00342FA3">
        <w:t xml:space="preserve">, Order No. 808, </w:t>
      </w:r>
      <w:r w:rsidRPr="00342FA3">
        <w:rPr>
          <w:szCs w:val="26"/>
        </w:rPr>
        <w:t xml:space="preserve">151 FERC ¶ 61,039 (2015). </w:t>
      </w:r>
    </w:p>
  </w:footnote>
  <w:footnote w:id="48">
    <w:p w14:paraId="01F61152" w14:textId="574B7BB1" w:rsidR="00B14A2C" w:rsidRPr="00342FA3" w:rsidRDefault="00B14A2C">
      <w:pPr>
        <w:pStyle w:val="FootnoteText"/>
      </w:pPr>
      <w:r w:rsidRPr="00342FA3">
        <w:rPr>
          <w:rStyle w:val="FootnoteReference"/>
        </w:rPr>
        <w:footnoteRef/>
      </w:r>
      <w:r w:rsidRPr="00342FA3">
        <w:t xml:space="preserve"> Order No. 808, </w:t>
      </w:r>
      <w:r w:rsidRPr="00342FA3">
        <w:rPr>
          <w:szCs w:val="26"/>
        </w:rPr>
        <w:t xml:space="preserve">151 FERC ¶ 61,039 </w:t>
      </w:r>
      <w:r w:rsidRPr="00342FA3">
        <w:t xml:space="preserve">at P 54, </w:t>
      </w:r>
      <w:r w:rsidRPr="00342FA3">
        <w:rPr>
          <w:i/>
        </w:rPr>
        <w:t>quoting</w:t>
      </w:r>
      <w:r w:rsidRPr="00342FA3">
        <w:t xml:space="preserve"> </w:t>
      </w:r>
      <w:r w:rsidRPr="00342FA3">
        <w:rPr>
          <w:i/>
        </w:rPr>
        <w:t xml:space="preserve">Communications Reliability Standards, Notice of Proposed Rulemaking, </w:t>
      </w:r>
      <w:proofErr w:type="gramStart"/>
      <w:r w:rsidRPr="00342FA3">
        <w:rPr>
          <w:szCs w:val="26"/>
        </w:rPr>
        <w:t>148</w:t>
      </w:r>
      <w:proofErr w:type="gramEnd"/>
      <w:r w:rsidRPr="00342FA3">
        <w:rPr>
          <w:szCs w:val="26"/>
        </w:rPr>
        <w:t xml:space="preserve"> FERC ¶ 61,210</w:t>
      </w:r>
      <w:r w:rsidR="006C5842">
        <w:rPr>
          <w:szCs w:val="26"/>
        </w:rPr>
        <w:t xml:space="preserve">, </w:t>
      </w:r>
      <w:r w:rsidRPr="00342FA3">
        <w:rPr>
          <w:szCs w:val="26"/>
        </w:rPr>
        <w:t xml:space="preserve">at P 33 </w:t>
      </w:r>
      <w:r w:rsidRPr="00342FA3">
        <w:t>(2014).</w:t>
      </w:r>
    </w:p>
  </w:footnote>
  <w:footnote w:id="49">
    <w:p w14:paraId="5803283E" w14:textId="77777777" w:rsidR="00B14A2C" w:rsidRPr="00342FA3" w:rsidRDefault="00B14A2C" w:rsidP="00873BFF">
      <w:pPr>
        <w:pStyle w:val="FootnoteText"/>
      </w:pPr>
      <w:r w:rsidRPr="00342FA3">
        <w:rPr>
          <w:rStyle w:val="FootnoteReference"/>
        </w:rPr>
        <w:footnoteRef/>
      </w:r>
      <w:r w:rsidRPr="00342FA3">
        <w:t xml:space="preserve"> </w:t>
      </w:r>
      <w:r w:rsidRPr="00342FA3">
        <w:rPr>
          <w:i/>
        </w:rPr>
        <w:t xml:space="preserve">Id. </w:t>
      </w:r>
      <w:r w:rsidRPr="00342FA3">
        <w:t>P 48.</w:t>
      </w:r>
    </w:p>
  </w:footnote>
  <w:footnote w:id="50">
    <w:p w14:paraId="0C2BA7DF" w14:textId="77777777" w:rsidR="00B14A2C" w:rsidRPr="00342FA3" w:rsidRDefault="00B14A2C" w:rsidP="00A903A4">
      <w:pPr>
        <w:pStyle w:val="FootnoteText"/>
      </w:pPr>
      <w:r w:rsidRPr="00342FA3">
        <w:rPr>
          <w:rStyle w:val="FootnoteReference"/>
        </w:rPr>
        <w:footnoteRef/>
      </w:r>
      <w:r w:rsidRPr="00342FA3">
        <w:t xml:space="preserve"> </w:t>
      </w:r>
      <w:r w:rsidRPr="00342FA3">
        <w:rPr>
          <w:i/>
        </w:rPr>
        <w:t>Id.  See also</w:t>
      </w:r>
      <w:r w:rsidRPr="00342FA3">
        <w:t xml:space="preserve"> NERC’s Supplemental Comments in Response to Notice of Proposed Rulemaking, </w:t>
      </w:r>
      <w:r w:rsidRPr="00342FA3">
        <w:rPr>
          <w:i/>
        </w:rPr>
        <w:t>Communications Reliability Standards</w:t>
      </w:r>
      <w:r w:rsidRPr="00342FA3">
        <w:t xml:space="preserve">, </w:t>
      </w:r>
      <w:proofErr w:type="gramStart"/>
      <w:r w:rsidRPr="00342FA3">
        <w:t>Docket</w:t>
      </w:r>
      <w:proofErr w:type="gramEnd"/>
      <w:r w:rsidRPr="00342FA3">
        <w:t xml:space="preserve"> No. </w:t>
      </w:r>
      <w:proofErr w:type="gramStart"/>
      <w:r w:rsidRPr="00342FA3">
        <w:t>RM14-13-000 at 3.</w:t>
      </w:r>
      <w:proofErr w:type="gramEnd"/>
    </w:p>
  </w:footnote>
  <w:footnote w:id="51">
    <w:p w14:paraId="01D3DC39" w14:textId="435A8584" w:rsidR="00B14A2C" w:rsidRPr="00342FA3" w:rsidRDefault="00B14A2C">
      <w:pPr>
        <w:pStyle w:val="FootnoteText"/>
      </w:pPr>
      <w:r w:rsidRPr="00342FA3">
        <w:rPr>
          <w:rStyle w:val="FootnoteReference"/>
        </w:rPr>
        <w:footnoteRef/>
      </w:r>
      <w:r w:rsidRPr="00342FA3">
        <w:t xml:space="preserve"> Order No. 808, 151 FERC ¶ 61,039 at P 54.</w:t>
      </w:r>
    </w:p>
  </w:footnote>
  <w:footnote w:id="52">
    <w:p w14:paraId="43961715" w14:textId="2AF262EF" w:rsidR="00B14A2C" w:rsidRPr="00342FA3" w:rsidRDefault="00B14A2C" w:rsidP="00C611BC">
      <w:pPr>
        <w:pStyle w:val="FootnoteText"/>
      </w:pPr>
      <w:r w:rsidRPr="00342FA3">
        <w:rPr>
          <w:rStyle w:val="FootnoteReference"/>
        </w:rPr>
        <w:footnoteRef/>
      </w:r>
      <w:r w:rsidRPr="00342FA3">
        <w:t xml:space="preserve"> COM-001-1.1 Standard, Requirement R1 requires that “[e]ach Reliability Coordinator, Transmission Operator and Balancing Authority shall provide adequate and reliable telecommunications facilities for the exchange of Interconnection and operating information:” and R1.4 requires that “[w]here applicable, these facilities shall be redundant and diversely routed.”</w:t>
      </w:r>
    </w:p>
  </w:footnote>
  <w:footnote w:id="53">
    <w:p w14:paraId="2367A05F" w14:textId="270B0A78" w:rsidR="00B14A2C" w:rsidRPr="00342FA3" w:rsidRDefault="00B14A2C" w:rsidP="00C611BC">
      <w:pPr>
        <w:pStyle w:val="FootnoteText"/>
      </w:pPr>
      <w:r w:rsidRPr="00342FA3">
        <w:rPr>
          <w:rStyle w:val="FootnoteReference"/>
        </w:rPr>
        <w:footnoteRef/>
      </w:r>
      <w:r w:rsidRPr="00342FA3">
        <w:t xml:space="preserve"> </w:t>
      </w:r>
      <w:proofErr w:type="gramStart"/>
      <w:r w:rsidRPr="00342FA3">
        <w:t>NERC COM Petition at 16.</w:t>
      </w:r>
      <w:proofErr w:type="gramEnd"/>
    </w:p>
  </w:footnote>
  <w:footnote w:id="54">
    <w:p w14:paraId="037965B3" w14:textId="2EB1F54A" w:rsidR="00B14A2C" w:rsidRPr="00342FA3" w:rsidRDefault="00B14A2C" w:rsidP="0077121C">
      <w:pPr>
        <w:pStyle w:val="FootnoteText"/>
      </w:pPr>
      <w:r w:rsidRPr="00342FA3">
        <w:rPr>
          <w:rStyle w:val="FootnoteReference"/>
        </w:rPr>
        <w:footnoteRef/>
      </w:r>
      <w:r w:rsidRPr="00342FA3">
        <w:t xml:space="preserve"> </w:t>
      </w:r>
      <w:proofErr w:type="gramStart"/>
      <w:r w:rsidRPr="00342FA3">
        <w:t>NERC COM Petition at 16.</w:t>
      </w:r>
      <w:proofErr w:type="gramEnd"/>
      <w:r w:rsidRPr="00342FA3">
        <w:t xml:space="preserve">  </w:t>
      </w:r>
    </w:p>
  </w:footnote>
  <w:footnote w:id="55">
    <w:p w14:paraId="68935377" w14:textId="553F4DA3" w:rsidR="00B14A2C" w:rsidRPr="00342FA3" w:rsidRDefault="00B14A2C" w:rsidP="0077121C">
      <w:pPr>
        <w:pStyle w:val="FootnoteText"/>
        <w:rPr>
          <w:b/>
        </w:rPr>
      </w:pPr>
      <w:r w:rsidRPr="00342FA3">
        <w:rPr>
          <w:rStyle w:val="FootnoteReference"/>
        </w:rPr>
        <w:footnoteRef/>
      </w:r>
      <w:r w:rsidRPr="00342FA3">
        <w:t xml:space="preserve"> </w:t>
      </w:r>
      <w:proofErr w:type="gramStart"/>
      <w:r w:rsidRPr="00342FA3">
        <w:t>NERC Supp. COM Comments at 3.</w:t>
      </w:r>
      <w:proofErr w:type="gramEnd"/>
      <w:r w:rsidRPr="00342FA3">
        <w:t xml:space="preserve">  NERC identified these same four standards in its Initial Comments, but provides a more detailed discussion of the proposed standards and their status in its Supplemental Comments.  </w:t>
      </w:r>
    </w:p>
  </w:footnote>
  <w:footnote w:id="56">
    <w:p w14:paraId="37B431C0" w14:textId="23B85D58" w:rsidR="00B14A2C" w:rsidRPr="00342FA3" w:rsidRDefault="00B14A2C" w:rsidP="003652ED">
      <w:pPr>
        <w:pStyle w:val="FootnoteText"/>
      </w:pPr>
      <w:r w:rsidRPr="00342FA3">
        <w:rPr>
          <w:rStyle w:val="FootnoteReference"/>
        </w:rPr>
        <w:footnoteRef/>
      </w:r>
      <w:r w:rsidRPr="00342FA3">
        <w:t xml:space="preserve"> </w:t>
      </w:r>
      <w:proofErr w:type="gramStart"/>
      <w:r w:rsidRPr="00342FA3">
        <w:t>Order No. 808, 151 FERC ¶ 61,039, at P 45 n.54.</w:t>
      </w:r>
      <w:proofErr w:type="gramEnd"/>
    </w:p>
  </w:footnote>
  <w:footnote w:id="57">
    <w:p w14:paraId="76F1E34B" w14:textId="71E4A106" w:rsidR="00B14A2C" w:rsidRPr="00342FA3" w:rsidRDefault="00B14A2C" w:rsidP="00E6061E">
      <w:pPr>
        <w:pStyle w:val="FootnoteText"/>
      </w:pPr>
      <w:r w:rsidRPr="00342FA3">
        <w:rPr>
          <w:rStyle w:val="FootnoteReference"/>
        </w:rPr>
        <w:footnoteRef/>
      </w:r>
      <w:r w:rsidRPr="00342FA3">
        <w:t xml:space="preserve"> May 14, 2014, NERC COM Petition, Docket No. RM14-13-000 at 15-16.</w:t>
      </w:r>
    </w:p>
  </w:footnote>
  <w:footnote w:id="58">
    <w:p w14:paraId="38A99CC6" w14:textId="3367C6F1" w:rsidR="00B14A2C" w:rsidRPr="00342FA3" w:rsidRDefault="00B14A2C">
      <w:pPr>
        <w:pStyle w:val="FootnoteText"/>
      </w:pPr>
      <w:r w:rsidRPr="00342FA3">
        <w:rPr>
          <w:rStyle w:val="FootnoteReference"/>
        </w:rPr>
        <w:footnoteRef/>
      </w:r>
      <w:r w:rsidRPr="00342FA3">
        <w:t xml:space="preserve"> </w:t>
      </w:r>
      <w:proofErr w:type="gramStart"/>
      <w:r w:rsidRPr="00342FA3">
        <w:t xml:space="preserve">NERC COM Supplemental </w:t>
      </w:r>
      <w:r>
        <w:t xml:space="preserve">Comments </w:t>
      </w:r>
      <w:r w:rsidRPr="00342FA3">
        <w:t>at 3.</w:t>
      </w:r>
      <w:proofErr w:type="gramEnd"/>
    </w:p>
  </w:footnote>
  <w:footnote w:id="59">
    <w:p w14:paraId="5DF01A64" w14:textId="6D9D7748" w:rsidR="00B14A2C" w:rsidRPr="00342FA3" w:rsidRDefault="00B14A2C" w:rsidP="00144975">
      <w:pPr>
        <w:pStyle w:val="FootnoteText"/>
      </w:pPr>
      <w:r w:rsidRPr="00342FA3">
        <w:rPr>
          <w:rStyle w:val="FootnoteReference"/>
        </w:rPr>
        <w:footnoteRef/>
      </w:r>
      <w:r w:rsidRPr="00342FA3">
        <w:t xml:space="preserve"> </w:t>
      </w:r>
      <w:proofErr w:type="gramStart"/>
      <w:r w:rsidRPr="00342FA3">
        <w:t>NERC Petition at 26.</w:t>
      </w:r>
      <w:proofErr w:type="gramEnd"/>
    </w:p>
  </w:footnote>
  <w:footnote w:id="60">
    <w:p w14:paraId="5F314C96" w14:textId="77777777" w:rsidR="00B14A2C" w:rsidRPr="00342FA3" w:rsidRDefault="00B14A2C" w:rsidP="00144975">
      <w:pPr>
        <w:pStyle w:val="FootnoteText"/>
      </w:pPr>
      <w:r w:rsidRPr="00342FA3">
        <w:rPr>
          <w:rStyle w:val="FootnoteReference"/>
        </w:rPr>
        <w:footnoteRef/>
      </w:r>
      <w:r w:rsidRPr="00342FA3">
        <w:t xml:space="preserve"> </w:t>
      </w:r>
      <w:proofErr w:type="gramStart"/>
      <w:r w:rsidRPr="00342FA3">
        <w:rPr>
          <w:i/>
          <w:iCs/>
        </w:rPr>
        <w:t xml:space="preserve">Id. </w:t>
      </w:r>
      <w:r w:rsidRPr="00342FA3">
        <w:t>at 31.</w:t>
      </w:r>
      <w:proofErr w:type="gramEnd"/>
    </w:p>
  </w:footnote>
  <w:footnote w:id="61">
    <w:p w14:paraId="0F1D5D30" w14:textId="31942D44" w:rsidR="00B14A2C" w:rsidRPr="00342FA3" w:rsidRDefault="00B14A2C" w:rsidP="00750279">
      <w:pPr>
        <w:widowControl/>
        <w:ind w:firstLine="720"/>
      </w:pPr>
      <w:r w:rsidRPr="00342FA3">
        <w:rPr>
          <w:rStyle w:val="FootnoteReference"/>
        </w:rPr>
        <w:footnoteRef/>
      </w:r>
      <w:r w:rsidRPr="00342FA3">
        <w:t xml:space="preserve"> Reliability Standard</w:t>
      </w:r>
      <w:r w:rsidRPr="00342FA3">
        <w:rPr>
          <w:szCs w:val="26"/>
        </w:rPr>
        <w:t xml:space="preserve"> COM-001-2, Requirement R9 states: “[e]ach Reliability Coordinator, Transmission Operator, and Balancing Authority shall test its Alternative Interpersonal Communication capability at least once each calendar month.  If the test is unsuccessful, the responsible entity shall initiate action to repair or designate a replacement Alternative Interpersonal Communication capability within 2 hours.”</w:t>
      </w:r>
    </w:p>
  </w:footnote>
  <w:footnote w:id="62">
    <w:p w14:paraId="603DF4AD" w14:textId="77777777" w:rsidR="00B14A2C" w:rsidRPr="00342FA3" w:rsidRDefault="00B14A2C" w:rsidP="00C57BDC">
      <w:pPr>
        <w:pStyle w:val="FootnoteText"/>
      </w:pPr>
      <w:r w:rsidRPr="00342FA3">
        <w:rPr>
          <w:rStyle w:val="FootnoteReference"/>
        </w:rPr>
        <w:footnoteRef/>
      </w:r>
      <w:r w:rsidRPr="00342FA3">
        <w:t xml:space="preserve"> </w:t>
      </w:r>
      <w:proofErr w:type="gramStart"/>
      <w:r w:rsidRPr="00342FA3">
        <w:t>44 U.S.C. 3507(d) (2012).</w:t>
      </w:r>
      <w:proofErr w:type="gramEnd"/>
    </w:p>
  </w:footnote>
  <w:footnote w:id="63">
    <w:p w14:paraId="43E06BD0" w14:textId="77777777" w:rsidR="00B14A2C" w:rsidRPr="00342FA3" w:rsidRDefault="00B14A2C" w:rsidP="00C57BDC">
      <w:pPr>
        <w:pStyle w:val="FootnoteText"/>
      </w:pPr>
      <w:r w:rsidRPr="00342FA3">
        <w:rPr>
          <w:rStyle w:val="FootnoteReference"/>
        </w:rPr>
        <w:footnoteRef/>
      </w:r>
      <w:r w:rsidRPr="00342FA3">
        <w:t xml:space="preserve"> </w:t>
      </w:r>
      <w:proofErr w:type="gramStart"/>
      <w:r w:rsidRPr="00342FA3">
        <w:t>5 C.F.R. § 1320.11 (2014).</w:t>
      </w:r>
      <w:proofErr w:type="gramEnd"/>
    </w:p>
  </w:footnote>
  <w:footnote w:id="64">
    <w:p w14:paraId="1394D1AC" w14:textId="77777777" w:rsidR="00B14A2C" w:rsidRPr="00342FA3" w:rsidRDefault="00B14A2C" w:rsidP="00C57BDC">
      <w:pPr>
        <w:pStyle w:val="FootnoteText"/>
      </w:pPr>
      <w:r w:rsidRPr="00342FA3">
        <w:rPr>
          <w:rStyle w:val="FootnoteReference"/>
        </w:rPr>
        <w:footnoteRef/>
      </w:r>
      <w:r w:rsidRPr="00342FA3">
        <w:t xml:space="preserve"> </w:t>
      </w:r>
      <w:proofErr w:type="gramStart"/>
      <w:r w:rsidRPr="00342FA3">
        <w:t>NERC Petition at 10.</w:t>
      </w:r>
      <w:proofErr w:type="gramEnd"/>
    </w:p>
  </w:footnote>
  <w:footnote w:id="65">
    <w:p w14:paraId="4F3C756C" w14:textId="77777777" w:rsidR="00B14A2C" w:rsidRPr="00342FA3" w:rsidRDefault="00B14A2C" w:rsidP="00C57BDC">
      <w:pPr>
        <w:pStyle w:val="FootnoteText"/>
      </w:pPr>
      <w:r w:rsidRPr="00342FA3">
        <w:rPr>
          <w:rStyle w:val="FootnoteReference"/>
        </w:rPr>
        <w:footnoteRef/>
      </w:r>
      <w:r w:rsidRPr="00342FA3">
        <w:t xml:space="preserve"> </w:t>
      </w:r>
      <w:proofErr w:type="gramStart"/>
      <w:r w:rsidRPr="00342FA3">
        <w:t>NERC Petition at 14.</w:t>
      </w:r>
      <w:proofErr w:type="gramEnd"/>
    </w:p>
  </w:footnote>
  <w:footnote w:id="66">
    <w:p w14:paraId="5D718414" w14:textId="77777777" w:rsidR="00B14A2C" w:rsidRPr="00342FA3" w:rsidRDefault="00B14A2C" w:rsidP="00C57BDC">
      <w:pPr>
        <w:pStyle w:val="FootnoteText"/>
      </w:pPr>
      <w:r w:rsidRPr="00342FA3">
        <w:rPr>
          <w:rStyle w:val="FootnoteReference"/>
        </w:rPr>
        <w:footnoteRef/>
      </w:r>
      <w:r w:rsidRPr="00342FA3">
        <w:t xml:space="preserve"> </w:t>
      </w:r>
      <w:proofErr w:type="gramStart"/>
      <w:r w:rsidRPr="00342FA3">
        <w:t>NERC Petition at 17.</w:t>
      </w:r>
      <w:proofErr w:type="gramEnd"/>
    </w:p>
  </w:footnote>
  <w:footnote w:id="67">
    <w:p w14:paraId="66E4D6EB" w14:textId="1C9946B2" w:rsidR="00B14A2C" w:rsidRPr="00342FA3" w:rsidRDefault="00B14A2C" w:rsidP="00C57BDC">
      <w:pPr>
        <w:pStyle w:val="FootnoteText"/>
      </w:pPr>
      <w:r w:rsidRPr="00342FA3">
        <w:rPr>
          <w:rStyle w:val="FootnoteReference"/>
        </w:rPr>
        <w:footnoteRef/>
      </w:r>
      <w:r w:rsidRPr="00342FA3">
        <w:t xml:space="preserve"> The number of respondents is the number of entities </w:t>
      </w:r>
      <w:r>
        <w:t>for</w:t>
      </w:r>
      <w:r w:rsidRPr="00342FA3">
        <w:t xml:space="preserve"> which a change in burden from the current standards to the proposed exists, not the total number of entities from the current or proposed standards that are applicable.</w:t>
      </w:r>
    </w:p>
  </w:footnote>
  <w:footnote w:id="68">
    <w:p w14:paraId="7415E589" w14:textId="4CF5EF41" w:rsidR="00B14A2C" w:rsidRPr="00342FA3" w:rsidRDefault="00B14A2C" w:rsidP="00C57BDC">
      <w:pPr>
        <w:pStyle w:val="FootnoteText"/>
      </w:pPr>
      <w:r w:rsidRPr="00342FA3">
        <w:rPr>
          <w:rStyle w:val="FootnoteReference"/>
        </w:rPr>
        <w:footnoteRef/>
      </w:r>
      <w:r w:rsidRPr="00342FA3">
        <w:t xml:space="preserve"> The estimated hourly costs (salary plus benefits) are based on Bureau of Labor Statistics (BLS) information, as of April 1, 2015, for an electrical engineer ($66.35/hour).  These figures are available at </w:t>
      </w:r>
      <w:hyperlink r:id="rId2" w:anchor="17-0000" w:history="1">
        <w:r w:rsidRPr="00342FA3">
          <w:rPr>
            <w:rStyle w:val="Hyperlink"/>
          </w:rPr>
          <w:t>http://bls.gov/oes/current/naics3_221000.htm#17-0000</w:t>
        </w:r>
      </w:hyperlink>
      <w:r w:rsidRPr="00342FA3">
        <w:t>.</w:t>
      </w:r>
    </w:p>
  </w:footnote>
  <w:footnote w:id="69">
    <w:p w14:paraId="0713B5C1" w14:textId="77777777" w:rsidR="00B14A2C" w:rsidRPr="00342FA3" w:rsidRDefault="00B14A2C" w:rsidP="00C57BDC">
      <w:pPr>
        <w:pStyle w:val="FootnoteText"/>
      </w:pPr>
      <w:r w:rsidRPr="00342FA3">
        <w:rPr>
          <w:rStyle w:val="FootnoteReference"/>
        </w:rPr>
        <w:footnoteRef/>
      </w:r>
      <w:r w:rsidRPr="00342FA3">
        <w:t xml:space="preserve"> IRO-001-4 is a revised standard with no increase in burden.</w:t>
      </w:r>
    </w:p>
  </w:footnote>
  <w:footnote w:id="70">
    <w:p w14:paraId="1A305FB1" w14:textId="3F39EEF5" w:rsidR="00B14A2C" w:rsidRPr="00342FA3" w:rsidRDefault="00B14A2C" w:rsidP="00C57BDC">
      <w:pPr>
        <w:pStyle w:val="FootnoteText"/>
      </w:pPr>
      <w:r w:rsidRPr="00342FA3">
        <w:rPr>
          <w:rStyle w:val="FootnoteReference"/>
        </w:rPr>
        <w:footnoteRef/>
      </w:r>
      <w:r w:rsidRPr="00342FA3">
        <w:t xml:space="preserve"> </w:t>
      </w:r>
      <w:r w:rsidRPr="000C18E1">
        <w:rPr>
          <w:i/>
        </w:rPr>
        <w:t>Regulations Implementing the National Environmental Policy Act</w:t>
      </w:r>
      <w:r>
        <w:rPr>
          <w:i/>
        </w:rPr>
        <w:t xml:space="preserve"> of 1969</w:t>
      </w:r>
      <w:r w:rsidRPr="00342FA3">
        <w:t xml:space="preserve">, Order No. 486, 52 FR 47897 (Dec. 17, 1987), FERC Stats. </w:t>
      </w:r>
      <w:proofErr w:type="gramStart"/>
      <w:r w:rsidRPr="00342FA3">
        <w:t xml:space="preserve">&amp; </w:t>
      </w:r>
      <w:proofErr w:type="spellStart"/>
      <w:r w:rsidRPr="00342FA3">
        <w:t>Regs</w:t>
      </w:r>
      <w:proofErr w:type="spellEnd"/>
      <w:r w:rsidRPr="00342FA3">
        <w:t>.</w:t>
      </w:r>
      <w:proofErr w:type="gramEnd"/>
      <w:r w:rsidRPr="00342FA3">
        <w:t xml:space="preserve"> </w:t>
      </w:r>
      <w:proofErr w:type="gramStart"/>
      <w:r w:rsidRPr="00342FA3">
        <w:t>Preambles 1986-1990 ¶ 30,783 (1987).</w:t>
      </w:r>
      <w:proofErr w:type="gramEnd"/>
    </w:p>
  </w:footnote>
  <w:footnote w:id="71">
    <w:p w14:paraId="4CD3D414" w14:textId="77777777" w:rsidR="00B14A2C" w:rsidRPr="00342FA3" w:rsidRDefault="00B14A2C" w:rsidP="00C57BDC">
      <w:pPr>
        <w:pStyle w:val="FootnoteText"/>
      </w:pPr>
      <w:r w:rsidRPr="00342FA3">
        <w:rPr>
          <w:rStyle w:val="FootnoteReference"/>
        </w:rPr>
        <w:footnoteRef/>
      </w:r>
      <w:r w:rsidRPr="00342FA3">
        <w:t xml:space="preserve"> </w:t>
      </w:r>
      <w:r w:rsidRPr="00342FA3">
        <w:rPr>
          <w:szCs w:val="26"/>
        </w:rPr>
        <w:t>18 CFR 380.4(a</w:t>
      </w:r>
      <w:proofErr w:type="gramStart"/>
      <w:r w:rsidRPr="00342FA3">
        <w:rPr>
          <w:szCs w:val="26"/>
        </w:rPr>
        <w:t>)(</w:t>
      </w:r>
      <w:proofErr w:type="gramEnd"/>
      <w:r w:rsidRPr="00342FA3">
        <w:rPr>
          <w:szCs w:val="26"/>
        </w:rPr>
        <w:t>2)(ii).</w:t>
      </w:r>
    </w:p>
  </w:footnote>
  <w:footnote w:id="72">
    <w:p w14:paraId="3C1BDCDF" w14:textId="77777777" w:rsidR="00B14A2C" w:rsidRPr="00342FA3" w:rsidRDefault="00B14A2C" w:rsidP="00C57BDC">
      <w:pPr>
        <w:pStyle w:val="FootnoteText"/>
        <w:spacing w:before="120"/>
        <w:rPr>
          <w:szCs w:val="26"/>
        </w:rPr>
      </w:pPr>
      <w:r w:rsidRPr="00342FA3">
        <w:rPr>
          <w:rStyle w:val="FootnoteReference"/>
        </w:rPr>
        <w:footnoteRef/>
      </w:r>
      <w:r w:rsidRPr="00342FA3">
        <w:rPr>
          <w:szCs w:val="26"/>
        </w:rPr>
        <w:t xml:space="preserve"> </w:t>
      </w:r>
      <w:proofErr w:type="gramStart"/>
      <w:r w:rsidRPr="00342FA3">
        <w:rPr>
          <w:szCs w:val="26"/>
        </w:rPr>
        <w:t>5 U.S.C. 601-12.</w:t>
      </w:r>
      <w:proofErr w:type="gramEnd"/>
      <w:r w:rsidRPr="00342FA3">
        <w:t xml:space="preserve">  </w:t>
      </w:r>
    </w:p>
  </w:footnote>
  <w:footnote w:id="73">
    <w:p w14:paraId="2D76541E" w14:textId="77777777" w:rsidR="00B14A2C" w:rsidRDefault="00B14A2C" w:rsidP="00C57BDC">
      <w:pPr>
        <w:pStyle w:val="FootnoteText"/>
      </w:pPr>
      <w:r>
        <w:rPr>
          <w:rStyle w:val="FootnoteReference"/>
        </w:rPr>
        <w:footnoteRef/>
      </w:r>
      <w:r>
        <w:t xml:space="preserve"> </w:t>
      </w:r>
      <w:proofErr w:type="gramStart"/>
      <w:r>
        <w:t xml:space="preserve">13 C.F.R. </w:t>
      </w:r>
      <w:r>
        <w:rPr>
          <w:szCs w:val="26"/>
        </w:rPr>
        <w:t xml:space="preserve">§ </w:t>
      </w:r>
      <w:r>
        <w:t>121.101 (2013).</w:t>
      </w:r>
      <w:proofErr w:type="gramEnd"/>
    </w:p>
  </w:footnote>
  <w:footnote w:id="74">
    <w:p w14:paraId="2F85D28C" w14:textId="77777777" w:rsidR="00B14A2C" w:rsidRDefault="00B14A2C" w:rsidP="00C57BDC">
      <w:pPr>
        <w:pStyle w:val="FootnoteText"/>
      </w:pPr>
      <w:r>
        <w:rPr>
          <w:rStyle w:val="FootnoteReference"/>
        </w:rPr>
        <w:footnoteRef/>
      </w:r>
      <w:r>
        <w:t xml:space="preserve"> SBA Final Rule on “Small Business Size Standards:  Utilities,” 78 FR 77343 (Dec. 23, 2013).</w:t>
      </w:r>
    </w:p>
  </w:footnote>
  <w:footnote w:id="75">
    <w:p w14:paraId="3BEB21EC" w14:textId="6CFB52DC" w:rsidR="00B14A2C" w:rsidRDefault="00B14A2C" w:rsidP="00C57BDC">
      <w:pPr>
        <w:pStyle w:val="FootnoteText"/>
      </w:pPr>
      <w:r w:rsidRPr="00342FA3">
        <w:rPr>
          <w:rStyle w:val="FootnoteReference"/>
        </w:rPr>
        <w:footnoteRef/>
      </w:r>
      <w:r w:rsidRPr="00342FA3">
        <w:t xml:space="preserve"> The Small Business Administration sets the threshold for what constitutes a small business.  Public utilities may fall under one of several different categories, each with a size threshold based on the company’s number of employees, including affiliates, the parent company, and subsidiaries.  For the analysis in this NOPR, we are using a </w:t>
      </w:r>
      <w:r w:rsidR="001474DF">
        <w:t xml:space="preserve">  </w:t>
      </w:r>
      <w:r w:rsidRPr="00342FA3">
        <w:t>750 employee threshold for each affected entity</w:t>
      </w:r>
      <w:r>
        <w:t xml:space="preserve"> to conduct a comprehensive analysis.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114D2" w14:textId="77777777" w:rsidR="00B14A2C" w:rsidRDefault="00B14A2C" w:rsidP="006A5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1E9">
      <w:rPr>
        <w:rStyle w:val="PageNumber"/>
        <w:noProof/>
      </w:rPr>
      <w:t>- 2 -</w:t>
    </w:r>
    <w:r>
      <w:rPr>
        <w:rStyle w:val="PageNumber"/>
      </w:rPr>
      <w:fldChar w:fldCharType="end"/>
    </w:r>
  </w:p>
  <w:p w14:paraId="7C18C987" w14:textId="77777777" w:rsidR="00B14A2C" w:rsidRDefault="00B14A2C" w:rsidP="006A5D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6ABA" w14:textId="77777777" w:rsidR="00B14A2C" w:rsidRDefault="00B14A2C" w:rsidP="00CD1C07">
    <w:pPr>
      <w:pStyle w:val="Header"/>
      <w:spacing w:after="240"/>
    </w:pPr>
    <w:r>
      <w:t xml:space="preserve">Docket No. RM15-16 </w:t>
    </w:r>
    <w:r>
      <w:tab/>
    </w:r>
    <w:r>
      <w:fldChar w:fldCharType="begin"/>
    </w:r>
    <w:r>
      <w:instrText xml:space="preserve"> PAGE  \* MERGEFORMAT </w:instrText>
    </w:r>
    <w:r>
      <w:fldChar w:fldCharType="separate"/>
    </w:r>
    <w:r w:rsidR="0091252D">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FFDC" w14:textId="77777777" w:rsidR="00B14A2C" w:rsidRDefault="00B14A2C" w:rsidP="006A5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1E9">
      <w:rPr>
        <w:rStyle w:val="PageNumber"/>
        <w:noProof/>
      </w:rPr>
      <w:t>ii</w:t>
    </w:r>
    <w:r>
      <w:rPr>
        <w:rStyle w:val="PageNumber"/>
      </w:rPr>
      <w:fldChar w:fldCharType="end"/>
    </w:r>
  </w:p>
  <w:p w14:paraId="45C19EF2" w14:textId="77777777" w:rsidR="00B14A2C" w:rsidRDefault="00B14A2C" w:rsidP="006A5D3C">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D12A" w14:textId="77777777" w:rsidR="00B14A2C" w:rsidRPr="00E349E6" w:rsidRDefault="00B14A2C" w:rsidP="00CD1C07">
    <w:pPr>
      <w:pStyle w:val="Header"/>
      <w:spacing w:after="240"/>
      <w:ind w:right="360"/>
    </w:pPr>
    <w:r>
      <w:t xml:space="preserve">Docket No. RM15-16 </w:t>
    </w:r>
    <w:r>
      <w:tab/>
    </w:r>
    <w:r>
      <w:fldChar w:fldCharType="begin"/>
    </w:r>
    <w:r>
      <w:instrText xml:space="preserve"> PAGE  \* MERGEFORMAT </w:instrText>
    </w:r>
    <w:r>
      <w:fldChar w:fldCharType="separate"/>
    </w:r>
    <w:r w:rsidR="00C251E9">
      <w:rPr>
        <w:noProof/>
      </w:rPr>
      <w:t>ii</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5C0C" w14:textId="77777777" w:rsidR="00B14A2C" w:rsidRDefault="00B14A2C">
    <w:pPr>
      <w:pStyle w:val="Heade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FC0F" w14:textId="77777777" w:rsidR="00B14A2C" w:rsidRDefault="00B14A2C" w:rsidP="006A5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1E9">
      <w:rPr>
        <w:rStyle w:val="PageNumber"/>
        <w:noProof/>
      </w:rPr>
      <w:t>- 2 -</w:t>
    </w:r>
    <w:r>
      <w:rPr>
        <w:rStyle w:val="PageNumber"/>
      </w:rPr>
      <w:fldChar w:fldCharType="end"/>
    </w:r>
  </w:p>
  <w:p w14:paraId="6BF9BA6A" w14:textId="77777777" w:rsidR="00B14A2C" w:rsidRDefault="00B14A2C" w:rsidP="006A5D3C">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87B17" w14:textId="77777777" w:rsidR="00B14A2C" w:rsidRPr="00E349E6" w:rsidRDefault="00B14A2C" w:rsidP="00CD1C07">
    <w:pPr>
      <w:pStyle w:val="Header"/>
      <w:spacing w:after="240"/>
      <w:ind w:right="360"/>
    </w:pPr>
    <w:r>
      <w:t xml:space="preserve">Docket No. RM15-16-000 </w:t>
    </w:r>
    <w:r>
      <w:tab/>
    </w:r>
    <w:r>
      <w:fldChar w:fldCharType="begin"/>
    </w:r>
    <w:r>
      <w:instrText xml:space="preserve"> PAGE  \* MERGEFORMAT </w:instrText>
    </w:r>
    <w:r>
      <w:fldChar w:fldCharType="separate"/>
    </w:r>
    <w:r w:rsidR="0091252D">
      <w:rPr>
        <w:noProof/>
      </w:rPr>
      <w:t>- 40 -</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4FE43" w14:textId="77777777" w:rsidR="00B14A2C" w:rsidRDefault="00B14A2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A9D313F"/>
    <w:multiLevelType w:val="multilevel"/>
    <w:tmpl w:val="BE4CDAC2"/>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296"/>
        </w:tabs>
        <w:ind w:left="1512" w:hanging="79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2">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6">
    <w:nsid w:val="6DB625FE"/>
    <w:multiLevelType w:val="multilevel"/>
    <w:tmpl w:val="B8E012CC"/>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8190"/>
        </w:tabs>
        <w:ind w:left="819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decimalZero"/>
      <w:lvlText w:val="(%9)"/>
      <w:lvlJc w:val="left"/>
      <w:pPr>
        <w:tabs>
          <w:tab w:val="num" w:pos="6480"/>
        </w:tabs>
        <w:ind w:left="6480" w:hanging="720"/>
      </w:pPr>
      <w:rPr>
        <w:rFonts w:hint="default"/>
      </w:rPr>
    </w:lvl>
  </w:abstractNum>
  <w:abstractNum w:abstractNumId="17">
    <w:nsid w:val="7E4E4DD3"/>
    <w:multiLevelType w:val="hybridMultilevel"/>
    <w:tmpl w:val="BC188756"/>
    <w:lvl w:ilvl="0" w:tplc="54D83ADA">
      <w:start w:val="1"/>
      <w:numFmt w:val="decimal"/>
      <w:pStyle w:val="FERCparanumber"/>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2"/>
  </w:num>
  <w:num w:numId="14">
    <w:abstractNumId w:val="11"/>
  </w:num>
  <w:num w:numId="15">
    <w:abstractNumId w:val="17"/>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num>
  <w:num w:numId="21">
    <w:abstractNumId w:val="17"/>
  </w:num>
  <w:num w:numId="22">
    <w:abstractNumId w:val="17"/>
  </w:num>
  <w:num w:numId="23">
    <w:abstractNumId w:val="17"/>
  </w:num>
  <w:num w:numId="24">
    <w:abstractNumId w:val="17"/>
  </w:num>
  <w:num w:numId="25">
    <w:abstractNumId w:val="17"/>
    <w:lvlOverride w:ilvl="0">
      <w:startOverride w:val="1"/>
    </w:lvlOverride>
  </w:num>
  <w:num w:numId="26">
    <w:abstractNumId w:val="17"/>
  </w:num>
  <w:num w:numId="27">
    <w:abstractNumId w:val="17"/>
  </w:num>
  <w:num w:numId="28">
    <w:abstractNumId w:val="17"/>
    <w:lvlOverride w:ilvl="0">
      <w:startOverride w:val="1"/>
    </w:lvlOverride>
  </w:num>
  <w:num w:numId="29">
    <w:abstractNumId w:val="17"/>
  </w:num>
  <w:num w:numId="30">
    <w:abstractNumId w:val="17"/>
  </w:num>
  <w:num w:numId="31">
    <w:abstractNumId w:val="13"/>
  </w:num>
  <w:num w:numId="32">
    <w:abstractNumId w:val="16"/>
  </w:num>
  <w:num w:numId="33">
    <w:abstractNumId w:val="11"/>
  </w:num>
  <w:num w:numId="34">
    <w:abstractNumId w:val="11"/>
  </w:num>
  <w:num w:numId="35">
    <w:abstractNumId w:val="17"/>
  </w:num>
  <w:num w:numId="36">
    <w:abstractNumId w:val="17"/>
  </w:num>
  <w:num w:numId="37">
    <w:abstractNumId w:val="17"/>
  </w:num>
  <w:num w:numId="3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F1"/>
    <w:rsid w:val="000060FC"/>
    <w:rsid w:val="00006393"/>
    <w:rsid w:val="00006E79"/>
    <w:rsid w:val="00011244"/>
    <w:rsid w:val="000146E3"/>
    <w:rsid w:val="00020927"/>
    <w:rsid w:val="0002233B"/>
    <w:rsid w:val="0002421D"/>
    <w:rsid w:val="0002723C"/>
    <w:rsid w:val="000306AF"/>
    <w:rsid w:val="00032160"/>
    <w:rsid w:val="00036021"/>
    <w:rsid w:val="0003788B"/>
    <w:rsid w:val="00041F3C"/>
    <w:rsid w:val="00044913"/>
    <w:rsid w:val="00046685"/>
    <w:rsid w:val="00056DB3"/>
    <w:rsid w:val="000578A6"/>
    <w:rsid w:val="000609FE"/>
    <w:rsid w:val="00061D82"/>
    <w:rsid w:val="00063363"/>
    <w:rsid w:val="00064D88"/>
    <w:rsid w:val="00066970"/>
    <w:rsid w:val="00071D03"/>
    <w:rsid w:val="00075259"/>
    <w:rsid w:val="00076DA1"/>
    <w:rsid w:val="00080A22"/>
    <w:rsid w:val="00084717"/>
    <w:rsid w:val="000852B5"/>
    <w:rsid w:val="000855EE"/>
    <w:rsid w:val="00086D3B"/>
    <w:rsid w:val="00090F15"/>
    <w:rsid w:val="00094059"/>
    <w:rsid w:val="000952C9"/>
    <w:rsid w:val="000973D0"/>
    <w:rsid w:val="000A0C92"/>
    <w:rsid w:val="000A6077"/>
    <w:rsid w:val="000A7AFF"/>
    <w:rsid w:val="000B2F84"/>
    <w:rsid w:val="000B32DC"/>
    <w:rsid w:val="000C00D9"/>
    <w:rsid w:val="000C18E1"/>
    <w:rsid w:val="000C62D3"/>
    <w:rsid w:val="000C690F"/>
    <w:rsid w:val="000C69F2"/>
    <w:rsid w:val="000D2B2E"/>
    <w:rsid w:val="000D447B"/>
    <w:rsid w:val="000D4812"/>
    <w:rsid w:val="000D709F"/>
    <w:rsid w:val="000E1FC4"/>
    <w:rsid w:val="000E314D"/>
    <w:rsid w:val="000E63EC"/>
    <w:rsid w:val="000F1A65"/>
    <w:rsid w:val="000F40DE"/>
    <w:rsid w:val="000F52E3"/>
    <w:rsid w:val="000F59B5"/>
    <w:rsid w:val="000F7B8A"/>
    <w:rsid w:val="00107D5A"/>
    <w:rsid w:val="0011005F"/>
    <w:rsid w:val="0011124E"/>
    <w:rsid w:val="001135D8"/>
    <w:rsid w:val="00121C1F"/>
    <w:rsid w:val="001274FC"/>
    <w:rsid w:val="00127B80"/>
    <w:rsid w:val="00131C57"/>
    <w:rsid w:val="00132FC3"/>
    <w:rsid w:val="00137514"/>
    <w:rsid w:val="00140B72"/>
    <w:rsid w:val="00140E3B"/>
    <w:rsid w:val="00141AA5"/>
    <w:rsid w:val="00144766"/>
    <w:rsid w:val="00144975"/>
    <w:rsid w:val="001450B0"/>
    <w:rsid w:val="00145BF3"/>
    <w:rsid w:val="00146713"/>
    <w:rsid w:val="00146A35"/>
    <w:rsid w:val="00147246"/>
    <w:rsid w:val="001474DF"/>
    <w:rsid w:val="0015075C"/>
    <w:rsid w:val="001530BF"/>
    <w:rsid w:val="00153DC6"/>
    <w:rsid w:val="00154190"/>
    <w:rsid w:val="0015663F"/>
    <w:rsid w:val="001572B6"/>
    <w:rsid w:val="00162A2E"/>
    <w:rsid w:val="00164E8C"/>
    <w:rsid w:val="00165352"/>
    <w:rsid w:val="00166733"/>
    <w:rsid w:val="001701EA"/>
    <w:rsid w:val="001715C1"/>
    <w:rsid w:val="0017274D"/>
    <w:rsid w:val="001738EE"/>
    <w:rsid w:val="00175A34"/>
    <w:rsid w:val="0017653D"/>
    <w:rsid w:val="00177390"/>
    <w:rsid w:val="00183FD6"/>
    <w:rsid w:val="001853F5"/>
    <w:rsid w:val="00190E37"/>
    <w:rsid w:val="001912B2"/>
    <w:rsid w:val="00191B1C"/>
    <w:rsid w:val="00192FAA"/>
    <w:rsid w:val="00193472"/>
    <w:rsid w:val="00194C5D"/>
    <w:rsid w:val="0019516D"/>
    <w:rsid w:val="00196408"/>
    <w:rsid w:val="00196908"/>
    <w:rsid w:val="001A03B7"/>
    <w:rsid w:val="001A1679"/>
    <w:rsid w:val="001A2921"/>
    <w:rsid w:val="001A3237"/>
    <w:rsid w:val="001A445A"/>
    <w:rsid w:val="001A4C5E"/>
    <w:rsid w:val="001A5802"/>
    <w:rsid w:val="001A5D72"/>
    <w:rsid w:val="001A68C8"/>
    <w:rsid w:val="001A7E91"/>
    <w:rsid w:val="001B4D9E"/>
    <w:rsid w:val="001C0557"/>
    <w:rsid w:val="001C139A"/>
    <w:rsid w:val="001C17A3"/>
    <w:rsid w:val="001C3DE8"/>
    <w:rsid w:val="001C5E36"/>
    <w:rsid w:val="001D0604"/>
    <w:rsid w:val="001D3A6F"/>
    <w:rsid w:val="001D6113"/>
    <w:rsid w:val="001D75C1"/>
    <w:rsid w:val="001D7BDE"/>
    <w:rsid w:val="001D7F9B"/>
    <w:rsid w:val="001E082B"/>
    <w:rsid w:val="001E1B1A"/>
    <w:rsid w:val="001E41CF"/>
    <w:rsid w:val="001E5369"/>
    <w:rsid w:val="001E6F16"/>
    <w:rsid w:val="001F26BE"/>
    <w:rsid w:val="001F43AD"/>
    <w:rsid w:val="001F4722"/>
    <w:rsid w:val="001F76D8"/>
    <w:rsid w:val="001F7FC3"/>
    <w:rsid w:val="00200B82"/>
    <w:rsid w:val="002024BB"/>
    <w:rsid w:val="002156AD"/>
    <w:rsid w:val="00215AC5"/>
    <w:rsid w:val="00220840"/>
    <w:rsid w:val="002221AC"/>
    <w:rsid w:val="002225BB"/>
    <w:rsid w:val="002246EF"/>
    <w:rsid w:val="00225734"/>
    <w:rsid w:val="00225CA4"/>
    <w:rsid w:val="002268FE"/>
    <w:rsid w:val="00230333"/>
    <w:rsid w:val="0023475E"/>
    <w:rsid w:val="00237633"/>
    <w:rsid w:val="00240066"/>
    <w:rsid w:val="00243D04"/>
    <w:rsid w:val="0024595B"/>
    <w:rsid w:val="00245C66"/>
    <w:rsid w:val="00246F8F"/>
    <w:rsid w:val="00247910"/>
    <w:rsid w:val="002524A3"/>
    <w:rsid w:val="0025368E"/>
    <w:rsid w:val="002553AC"/>
    <w:rsid w:val="00256E84"/>
    <w:rsid w:val="002577E9"/>
    <w:rsid w:val="00261295"/>
    <w:rsid w:val="0026424F"/>
    <w:rsid w:val="00264564"/>
    <w:rsid w:val="00266182"/>
    <w:rsid w:val="00266658"/>
    <w:rsid w:val="00266808"/>
    <w:rsid w:val="00267D2B"/>
    <w:rsid w:val="00271E57"/>
    <w:rsid w:val="002747B3"/>
    <w:rsid w:val="002760B2"/>
    <w:rsid w:val="00277D1A"/>
    <w:rsid w:val="00281B3C"/>
    <w:rsid w:val="00282D15"/>
    <w:rsid w:val="0028697E"/>
    <w:rsid w:val="00290005"/>
    <w:rsid w:val="00290B72"/>
    <w:rsid w:val="00294320"/>
    <w:rsid w:val="002A5520"/>
    <w:rsid w:val="002B0C7A"/>
    <w:rsid w:val="002B1FDD"/>
    <w:rsid w:val="002B26C9"/>
    <w:rsid w:val="002B2A54"/>
    <w:rsid w:val="002B3BE0"/>
    <w:rsid w:val="002B6629"/>
    <w:rsid w:val="002B6847"/>
    <w:rsid w:val="002C12DC"/>
    <w:rsid w:val="002C361C"/>
    <w:rsid w:val="002C3700"/>
    <w:rsid w:val="002D03D7"/>
    <w:rsid w:val="002D2358"/>
    <w:rsid w:val="002D52AE"/>
    <w:rsid w:val="002D5597"/>
    <w:rsid w:val="002D7D08"/>
    <w:rsid w:val="002E1E0F"/>
    <w:rsid w:val="002E1E26"/>
    <w:rsid w:val="002E4290"/>
    <w:rsid w:val="002E6C23"/>
    <w:rsid w:val="002E770C"/>
    <w:rsid w:val="002F1DD8"/>
    <w:rsid w:val="002F3DCA"/>
    <w:rsid w:val="00301152"/>
    <w:rsid w:val="00302181"/>
    <w:rsid w:val="003023C7"/>
    <w:rsid w:val="0030397B"/>
    <w:rsid w:val="003060AE"/>
    <w:rsid w:val="00306368"/>
    <w:rsid w:val="00307B4A"/>
    <w:rsid w:val="003158BB"/>
    <w:rsid w:val="00316B1F"/>
    <w:rsid w:val="0031734E"/>
    <w:rsid w:val="00320784"/>
    <w:rsid w:val="0032498A"/>
    <w:rsid w:val="003303B3"/>
    <w:rsid w:val="00331B57"/>
    <w:rsid w:val="0033296D"/>
    <w:rsid w:val="003350BC"/>
    <w:rsid w:val="0033571D"/>
    <w:rsid w:val="003359AF"/>
    <w:rsid w:val="003407DE"/>
    <w:rsid w:val="00342F07"/>
    <w:rsid w:val="00342FA3"/>
    <w:rsid w:val="00343DC1"/>
    <w:rsid w:val="00344870"/>
    <w:rsid w:val="0035446A"/>
    <w:rsid w:val="00355AD0"/>
    <w:rsid w:val="00356443"/>
    <w:rsid w:val="003618AE"/>
    <w:rsid w:val="00361A84"/>
    <w:rsid w:val="00364A26"/>
    <w:rsid w:val="003652ED"/>
    <w:rsid w:val="00372849"/>
    <w:rsid w:val="003728AB"/>
    <w:rsid w:val="003734FE"/>
    <w:rsid w:val="00373A31"/>
    <w:rsid w:val="00374D5B"/>
    <w:rsid w:val="00376AA8"/>
    <w:rsid w:val="00380088"/>
    <w:rsid w:val="00381F65"/>
    <w:rsid w:val="00382564"/>
    <w:rsid w:val="00385BC0"/>
    <w:rsid w:val="00386BAB"/>
    <w:rsid w:val="00387B47"/>
    <w:rsid w:val="00391051"/>
    <w:rsid w:val="003916BF"/>
    <w:rsid w:val="00391E8A"/>
    <w:rsid w:val="0039527D"/>
    <w:rsid w:val="00395734"/>
    <w:rsid w:val="00395E13"/>
    <w:rsid w:val="00397586"/>
    <w:rsid w:val="00397892"/>
    <w:rsid w:val="003A1A81"/>
    <w:rsid w:val="003A1AB7"/>
    <w:rsid w:val="003A3A1A"/>
    <w:rsid w:val="003A5EA1"/>
    <w:rsid w:val="003A6B15"/>
    <w:rsid w:val="003A7663"/>
    <w:rsid w:val="003B0BF6"/>
    <w:rsid w:val="003B23D8"/>
    <w:rsid w:val="003B30AE"/>
    <w:rsid w:val="003B3A55"/>
    <w:rsid w:val="003B41BE"/>
    <w:rsid w:val="003B4880"/>
    <w:rsid w:val="003B708B"/>
    <w:rsid w:val="003C0EB9"/>
    <w:rsid w:val="003C13DD"/>
    <w:rsid w:val="003C2065"/>
    <w:rsid w:val="003C51AD"/>
    <w:rsid w:val="003C5614"/>
    <w:rsid w:val="003C5BFC"/>
    <w:rsid w:val="003D00AA"/>
    <w:rsid w:val="003D5152"/>
    <w:rsid w:val="003D5A6F"/>
    <w:rsid w:val="003D6581"/>
    <w:rsid w:val="003E1201"/>
    <w:rsid w:val="003E36DD"/>
    <w:rsid w:val="003E423D"/>
    <w:rsid w:val="003E5E8F"/>
    <w:rsid w:val="003E6BFA"/>
    <w:rsid w:val="003F0247"/>
    <w:rsid w:val="003F1925"/>
    <w:rsid w:val="003F590E"/>
    <w:rsid w:val="003F72EA"/>
    <w:rsid w:val="00400AE0"/>
    <w:rsid w:val="00412069"/>
    <w:rsid w:val="0041508A"/>
    <w:rsid w:val="00420824"/>
    <w:rsid w:val="00426455"/>
    <w:rsid w:val="004264E1"/>
    <w:rsid w:val="00426D49"/>
    <w:rsid w:val="0043427F"/>
    <w:rsid w:val="00435317"/>
    <w:rsid w:val="00437842"/>
    <w:rsid w:val="004406F1"/>
    <w:rsid w:val="004440A4"/>
    <w:rsid w:val="004451EF"/>
    <w:rsid w:val="004457FF"/>
    <w:rsid w:val="00446908"/>
    <w:rsid w:val="004476FD"/>
    <w:rsid w:val="00451155"/>
    <w:rsid w:val="004540CB"/>
    <w:rsid w:val="0045765F"/>
    <w:rsid w:val="004675D3"/>
    <w:rsid w:val="0047360C"/>
    <w:rsid w:val="00474805"/>
    <w:rsid w:val="0049246D"/>
    <w:rsid w:val="004943A1"/>
    <w:rsid w:val="00494A47"/>
    <w:rsid w:val="00494BF5"/>
    <w:rsid w:val="0049515A"/>
    <w:rsid w:val="0049729B"/>
    <w:rsid w:val="004A2F2A"/>
    <w:rsid w:val="004A6839"/>
    <w:rsid w:val="004A6952"/>
    <w:rsid w:val="004B2924"/>
    <w:rsid w:val="004B37F2"/>
    <w:rsid w:val="004B4912"/>
    <w:rsid w:val="004B4F19"/>
    <w:rsid w:val="004B7AAA"/>
    <w:rsid w:val="004B7BEB"/>
    <w:rsid w:val="004C1561"/>
    <w:rsid w:val="004C1AA1"/>
    <w:rsid w:val="004C4598"/>
    <w:rsid w:val="004C6377"/>
    <w:rsid w:val="004D00B5"/>
    <w:rsid w:val="004D148B"/>
    <w:rsid w:val="004D5A63"/>
    <w:rsid w:val="004E1EEC"/>
    <w:rsid w:val="004E4D86"/>
    <w:rsid w:val="004E5018"/>
    <w:rsid w:val="004E50F6"/>
    <w:rsid w:val="004F2734"/>
    <w:rsid w:val="004F5BF9"/>
    <w:rsid w:val="004F732D"/>
    <w:rsid w:val="00500726"/>
    <w:rsid w:val="00502A03"/>
    <w:rsid w:val="00504DA0"/>
    <w:rsid w:val="005055CB"/>
    <w:rsid w:val="00506902"/>
    <w:rsid w:val="00510866"/>
    <w:rsid w:val="00510BA6"/>
    <w:rsid w:val="00512F51"/>
    <w:rsid w:val="00515F48"/>
    <w:rsid w:val="0052099A"/>
    <w:rsid w:val="0052383E"/>
    <w:rsid w:val="00527A9D"/>
    <w:rsid w:val="00532CFF"/>
    <w:rsid w:val="005334B1"/>
    <w:rsid w:val="0053381C"/>
    <w:rsid w:val="005338D0"/>
    <w:rsid w:val="0053745E"/>
    <w:rsid w:val="00540BDE"/>
    <w:rsid w:val="005429EF"/>
    <w:rsid w:val="00542F37"/>
    <w:rsid w:val="00544C84"/>
    <w:rsid w:val="00546996"/>
    <w:rsid w:val="00550F49"/>
    <w:rsid w:val="00555578"/>
    <w:rsid w:val="00555B88"/>
    <w:rsid w:val="00556EBF"/>
    <w:rsid w:val="00565991"/>
    <w:rsid w:val="005722B9"/>
    <w:rsid w:val="00572737"/>
    <w:rsid w:val="005730A1"/>
    <w:rsid w:val="005738C4"/>
    <w:rsid w:val="0057509C"/>
    <w:rsid w:val="00576F39"/>
    <w:rsid w:val="00577AED"/>
    <w:rsid w:val="00583175"/>
    <w:rsid w:val="005831A4"/>
    <w:rsid w:val="0058404E"/>
    <w:rsid w:val="00587397"/>
    <w:rsid w:val="00591171"/>
    <w:rsid w:val="0059379E"/>
    <w:rsid w:val="00597F3D"/>
    <w:rsid w:val="005A3527"/>
    <w:rsid w:val="005A4759"/>
    <w:rsid w:val="005A4BB1"/>
    <w:rsid w:val="005A60F9"/>
    <w:rsid w:val="005B04F4"/>
    <w:rsid w:val="005B236A"/>
    <w:rsid w:val="005B6D76"/>
    <w:rsid w:val="005B70B5"/>
    <w:rsid w:val="005C3C9E"/>
    <w:rsid w:val="005C403F"/>
    <w:rsid w:val="005C4D56"/>
    <w:rsid w:val="005C5EC8"/>
    <w:rsid w:val="005C7358"/>
    <w:rsid w:val="005C7809"/>
    <w:rsid w:val="005D0C6F"/>
    <w:rsid w:val="005D18C3"/>
    <w:rsid w:val="005D36C6"/>
    <w:rsid w:val="005D3ABC"/>
    <w:rsid w:val="005D5186"/>
    <w:rsid w:val="005E1AA5"/>
    <w:rsid w:val="005E2EC1"/>
    <w:rsid w:val="005E607D"/>
    <w:rsid w:val="005F04B1"/>
    <w:rsid w:val="005F0A5D"/>
    <w:rsid w:val="005F25F1"/>
    <w:rsid w:val="005F6418"/>
    <w:rsid w:val="006014FF"/>
    <w:rsid w:val="00603A8E"/>
    <w:rsid w:val="0061131F"/>
    <w:rsid w:val="00612A9D"/>
    <w:rsid w:val="00617427"/>
    <w:rsid w:val="00624A71"/>
    <w:rsid w:val="00624B12"/>
    <w:rsid w:val="006312F4"/>
    <w:rsid w:val="00631440"/>
    <w:rsid w:val="006330EA"/>
    <w:rsid w:val="00633BCB"/>
    <w:rsid w:val="00633DC3"/>
    <w:rsid w:val="00635E76"/>
    <w:rsid w:val="00637032"/>
    <w:rsid w:val="006373C2"/>
    <w:rsid w:val="00646900"/>
    <w:rsid w:val="0065026A"/>
    <w:rsid w:val="00651500"/>
    <w:rsid w:val="00654A42"/>
    <w:rsid w:val="00655072"/>
    <w:rsid w:val="00656858"/>
    <w:rsid w:val="006570CE"/>
    <w:rsid w:val="006575F9"/>
    <w:rsid w:val="00660B33"/>
    <w:rsid w:val="0066307F"/>
    <w:rsid w:val="006648DD"/>
    <w:rsid w:val="0066511C"/>
    <w:rsid w:val="00666626"/>
    <w:rsid w:val="006704CD"/>
    <w:rsid w:val="006712FA"/>
    <w:rsid w:val="00671E1F"/>
    <w:rsid w:val="00672016"/>
    <w:rsid w:val="0067456F"/>
    <w:rsid w:val="00674943"/>
    <w:rsid w:val="00675384"/>
    <w:rsid w:val="00676722"/>
    <w:rsid w:val="00677583"/>
    <w:rsid w:val="00680B5A"/>
    <w:rsid w:val="006811E8"/>
    <w:rsid w:val="0068394F"/>
    <w:rsid w:val="00686DC3"/>
    <w:rsid w:val="00687284"/>
    <w:rsid w:val="00687E98"/>
    <w:rsid w:val="006A5D3C"/>
    <w:rsid w:val="006B19A6"/>
    <w:rsid w:val="006B2E29"/>
    <w:rsid w:val="006B4FD7"/>
    <w:rsid w:val="006C138B"/>
    <w:rsid w:val="006C1639"/>
    <w:rsid w:val="006C5842"/>
    <w:rsid w:val="006C667F"/>
    <w:rsid w:val="006C6ECB"/>
    <w:rsid w:val="006D2147"/>
    <w:rsid w:val="006D31AA"/>
    <w:rsid w:val="006D3379"/>
    <w:rsid w:val="006D4191"/>
    <w:rsid w:val="006E09F1"/>
    <w:rsid w:val="006E1532"/>
    <w:rsid w:val="006E19A1"/>
    <w:rsid w:val="006E28A5"/>
    <w:rsid w:val="006F0A06"/>
    <w:rsid w:val="006F3629"/>
    <w:rsid w:val="00700149"/>
    <w:rsid w:val="00706E75"/>
    <w:rsid w:val="00706F67"/>
    <w:rsid w:val="00707F34"/>
    <w:rsid w:val="00712AF9"/>
    <w:rsid w:val="00713B0B"/>
    <w:rsid w:val="007145A6"/>
    <w:rsid w:val="007153F7"/>
    <w:rsid w:val="00722BA1"/>
    <w:rsid w:val="00723A08"/>
    <w:rsid w:val="00730373"/>
    <w:rsid w:val="00731A9B"/>
    <w:rsid w:val="00733D59"/>
    <w:rsid w:val="0074048E"/>
    <w:rsid w:val="00740FE9"/>
    <w:rsid w:val="00744C1D"/>
    <w:rsid w:val="0074534B"/>
    <w:rsid w:val="00745DCF"/>
    <w:rsid w:val="00750123"/>
    <w:rsid w:val="00750279"/>
    <w:rsid w:val="007506D8"/>
    <w:rsid w:val="00755061"/>
    <w:rsid w:val="007550BF"/>
    <w:rsid w:val="007605A6"/>
    <w:rsid w:val="007612C7"/>
    <w:rsid w:val="00763052"/>
    <w:rsid w:val="00763AB9"/>
    <w:rsid w:val="00765527"/>
    <w:rsid w:val="00765D80"/>
    <w:rsid w:val="00766734"/>
    <w:rsid w:val="007668CC"/>
    <w:rsid w:val="00766F24"/>
    <w:rsid w:val="007672A3"/>
    <w:rsid w:val="00767E6D"/>
    <w:rsid w:val="0077121C"/>
    <w:rsid w:val="00775174"/>
    <w:rsid w:val="00775618"/>
    <w:rsid w:val="00775FB1"/>
    <w:rsid w:val="00777829"/>
    <w:rsid w:val="00780B6B"/>
    <w:rsid w:val="00784577"/>
    <w:rsid w:val="00785DE5"/>
    <w:rsid w:val="00786451"/>
    <w:rsid w:val="00793ECC"/>
    <w:rsid w:val="007974D5"/>
    <w:rsid w:val="007A14C3"/>
    <w:rsid w:val="007A77A3"/>
    <w:rsid w:val="007B06D8"/>
    <w:rsid w:val="007B3D9E"/>
    <w:rsid w:val="007C07A4"/>
    <w:rsid w:val="007C3195"/>
    <w:rsid w:val="007D0943"/>
    <w:rsid w:val="007D1D54"/>
    <w:rsid w:val="007D3696"/>
    <w:rsid w:val="007D3D4B"/>
    <w:rsid w:val="007D5651"/>
    <w:rsid w:val="007E26D4"/>
    <w:rsid w:val="007E5582"/>
    <w:rsid w:val="007E614C"/>
    <w:rsid w:val="007E699C"/>
    <w:rsid w:val="007E6ACA"/>
    <w:rsid w:val="007E6EC4"/>
    <w:rsid w:val="007E784B"/>
    <w:rsid w:val="007E7BB4"/>
    <w:rsid w:val="007F026A"/>
    <w:rsid w:val="007F3454"/>
    <w:rsid w:val="007F4617"/>
    <w:rsid w:val="007F52E1"/>
    <w:rsid w:val="008027D4"/>
    <w:rsid w:val="00803B11"/>
    <w:rsid w:val="008046B7"/>
    <w:rsid w:val="00805E72"/>
    <w:rsid w:val="0081198D"/>
    <w:rsid w:val="00814311"/>
    <w:rsid w:val="00814337"/>
    <w:rsid w:val="008161C6"/>
    <w:rsid w:val="00816CE5"/>
    <w:rsid w:val="00820C34"/>
    <w:rsid w:val="00824EB1"/>
    <w:rsid w:val="00827873"/>
    <w:rsid w:val="00832487"/>
    <w:rsid w:val="008324CB"/>
    <w:rsid w:val="00834CCC"/>
    <w:rsid w:val="008351A8"/>
    <w:rsid w:val="008371D1"/>
    <w:rsid w:val="00837B41"/>
    <w:rsid w:val="00841C3B"/>
    <w:rsid w:val="008437B4"/>
    <w:rsid w:val="00844623"/>
    <w:rsid w:val="00844E65"/>
    <w:rsid w:val="0084617C"/>
    <w:rsid w:val="008477B4"/>
    <w:rsid w:val="00847A76"/>
    <w:rsid w:val="00852557"/>
    <w:rsid w:val="00852EA3"/>
    <w:rsid w:val="00861ED1"/>
    <w:rsid w:val="0086397E"/>
    <w:rsid w:val="00864064"/>
    <w:rsid w:val="0086493D"/>
    <w:rsid w:val="00873BFF"/>
    <w:rsid w:val="0087529D"/>
    <w:rsid w:val="008776B4"/>
    <w:rsid w:val="008803E8"/>
    <w:rsid w:val="00882F9A"/>
    <w:rsid w:val="008847CD"/>
    <w:rsid w:val="008850E7"/>
    <w:rsid w:val="0088535C"/>
    <w:rsid w:val="00885696"/>
    <w:rsid w:val="0088645D"/>
    <w:rsid w:val="008869A8"/>
    <w:rsid w:val="00896950"/>
    <w:rsid w:val="008977F6"/>
    <w:rsid w:val="008A0F24"/>
    <w:rsid w:val="008A19E4"/>
    <w:rsid w:val="008A2A1A"/>
    <w:rsid w:val="008A2BA0"/>
    <w:rsid w:val="008A2BD1"/>
    <w:rsid w:val="008A6F07"/>
    <w:rsid w:val="008B017F"/>
    <w:rsid w:val="008B422B"/>
    <w:rsid w:val="008B43EC"/>
    <w:rsid w:val="008B71FF"/>
    <w:rsid w:val="008C127E"/>
    <w:rsid w:val="008C466C"/>
    <w:rsid w:val="008C66AD"/>
    <w:rsid w:val="008D0B57"/>
    <w:rsid w:val="008D4FD8"/>
    <w:rsid w:val="008D6DF8"/>
    <w:rsid w:val="008D7C24"/>
    <w:rsid w:val="008E1E09"/>
    <w:rsid w:val="008E358E"/>
    <w:rsid w:val="008E3F9A"/>
    <w:rsid w:val="008E438D"/>
    <w:rsid w:val="008E4C2F"/>
    <w:rsid w:val="008E7B16"/>
    <w:rsid w:val="008F0825"/>
    <w:rsid w:val="008F35CE"/>
    <w:rsid w:val="008F5066"/>
    <w:rsid w:val="008F62DF"/>
    <w:rsid w:val="008F6D5C"/>
    <w:rsid w:val="008F7061"/>
    <w:rsid w:val="009012AC"/>
    <w:rsid w:val="00901B84"/>
    <w:rsid w:val="00904A64"/>
    <w:rsid w:val="0091154D"/>
    <w:rsid w:val="00911681"/>
    <w:rsid w:val="0091237B"/>
    <w:rsid w:val="0091252D"/>
    <w:rsid w:val="00912A86"/>
    <w:rsid w:val="009134F0"/>
    <w:rsid w:val="00915CD0"/>
    <w:rsid w:val="0092105C"/>
    <w:rsid w:val="009220C0"/>
    <w:rsid w:val="00924E69"/>
    <w:rsid w:val="00926267"/>
    <w:rsid w:val="00931192"/>
    <w:rsid w:val="00943F66"/>
    <w:rsid w:val="0094485C"/>
    <w:rsid w:val="00944A60"/>
    <w:rsid w:val="0095417F"/>
    <w:rsid w:val="009558F3"/>
    <w:rsid w:val="00962F1C"/>
    <w:rsid w:val="00965DEA"/>
    <w:rsid w:val="00972AAC"/>
    <w:rsid w:val="00974859"/>
    <w:rsid w:val="0097498F"/>
    <w:rsid w:val="0099665A"/>
    <w:rsid w:val="00997969"/>
    <w:rsid w:val="009A2444"/>
    <w:rsid w:val="009A27FF"/>
    <w:rsid w:val="009A6724"/>
    <w:rsid w:val="009B2C4F"/>
    <w:rsid w:val="009B5718"/>
    <w:rsid w:val="009B5D23"/>
    <w:rsid w:val="009B7AE7"/>
    <w:rsid w:val="009B7D12"/>
    <w:rsid w:val="009C20E0"/>
    <w:rsid w:val="009D3393"/>
    <w:rsid w:val="009D5939"/>
    <w:rsid w:val="009D6047"/>
    <w:rsid w:val="009D723F"/>
    <w:rsid w:val="009E3B2F"/>
    <w:rsid w:val="009F2098"/>
    <w:rsid w:val="009F6F90"/>
    <w:rsid w:val="00A01FD6"/>
    <w:rsid w:val="00A05AEF"/>
    <w:rsid w:val="00A0637A"/>
    <w:rsid w:val="00A1021A"/>
    <w:rsid w:val="00A15A21"/>
    <w:rsid w:val="00A16B61"/>
    <w:rsid w:val="00A17DAB"/>
    <w:rsid w:val="00A2018E"/>
    <w:rsid w:val="00A207D1"/>
    <w:rsid w:val="00A236C8"/>
    <w:rsid w:val="00A259EA"/>
    <w:rsid w:val="00A30B24"/>
    <w:rsid w:val="00A30BCA"/>
    <w:rsid w:val="00A320D1"/>
    <w:rsid w:val="00A3278E"/>
    <w:rsid w:val="00A32891"/>
    <w:rsid w:val="00A35015"/>
    <w:rsid w:val="00A40C40"/>
    <w:rsid w:val="00A43577"/>
    <w:rsid w:val="00A45077"/>
    <w:rsid w:val="00A51AA5"/>
    <w:rsid w:val="00A54FE6"/>
    <w:rsid w:val="00A60B91"/>
    <w:rsid w:val="00A60D4B"/>
    <w:rsid w:val="00A6179C"/>
    <w:rsid w:val="00A64EF3"/>
    <w:rsid w:val="00A73522"/>
    <w:rsid w:val="00A74B64"/>
    <w:rsid w:val="00A75A54"/>
    <w:rsid w:val="00A84387"/>
    <w:rsid w:val="00A903A4"/>
    <w:rsid w:val="00A93ADB"/>
    <w:rsid w:val="00A94C8B"/>
    <w:rsid w:val="00A95CB2"/>
    <w:rsid w:val="00A96F8D"/>
    <w:rsid w:val="00AA0C9E"/>
    <w:rsid w:val="00AA1521"/>
    <w:rsid w:val="00AA6EFA"/>
    <w:rsid w:val="00AA7146"/>
    <w:rsid w:val="00AB1882"/>
    <w:rsid w:val="00AB24C2"/>
    <w:rsid w:val="00AB3570"/>
    <w:rsid w:val="00AB6FCB"/>
    <w:rsid w:val="00AB74D5"/>
    <w:rsid w:val="00AB7B18"/>
    <w:rsid w:val="00AC060A"/>
    <w:rsid w:val="00AC1654"/>
    <w:rsid w:val="00AC21F1"/>
    <w:rsid w:val="00AC37B0"/>
    <w:rsid w:val="00AC4D29"/>
    <w:rsid w:val="00AC4EC6"/>
    <w:rsid w:val="00AC61FA"/>
    <w:rsid w:val="00AC7E55"/>
    <w:rsid w:val="00AD01D7"/>
    <w:rsid w:val="00AD3DD9"/>
    <w:rsid w:val="00AE0440"/>
    <w:rsid w:val="00AE1414"/>
    <w:rsid w:val="00AE217F"/>
    <w:rsid w:val="00AE24E1"/>
    <w:rsid w:val="00AE3F7B"/>
    <w:rsid w:val="00AE457D"/>
    <w:rsid w:val="00AE55C0"/>
    <w:rsid w:val="00AF048A"/>
    <w:rsid w:val="00AF0A6E"/>
    <w:rsid w:val="00AF1E56"/>
    <w:rsid w:val="00AF3AD1"/>
    <w:rsid w:val="00AF4A44"/>
    <w:rsid w:val="00AF4B0C"/>
    <w:rsid w:val="00AF6DFA"/>
    <w:rsid w:val="00B02339"/>
    <w:rsid w:val="00B06834"/>
    <w:rsid w:val="00B070B7"/>
    <w:rsid w:val="00B13E21"/>
    <w:rsid w:val="00B14A2C"/>
    <w:rsid w:val="00B16BCF"/>
    <w:rsid w:val="00B17205"/>
    <w:rsid w:val="00B212E2"/>
    <w:rsid w:val="00B312E8"/>
    <w:rsid w:val="00B32063"/>
    <w:rsid w:val="00B338E3"/>
    <w:rsid w:val="00B344F1"/>
    <w:rsid w:val="00B34963"/>
    <w:rsid w:val="00B3544A"/>
    <w:rsid w:val="00B37633"/>
    <w:rsid w:val="00B40DE6"/>
    <w:rsid w:val="00B40EE1"/>
    <w:rsid w:val="00B46804"/>
    <w:rsid w:val="00B47756"/>
    <w:rsid w:val="00B47977"/>
    <w:rsid w:val="00B47C48"/>
    <w:rsid w:val="00B54EE3"/>
    <w:rsid w:val="00B55005"/>
    <w:rsid w:val="00B562CC"/>
    <w:rsid w:val="00B575A1"/>
    <w:rsid w:val="00B63C36"/>
    <w:rsid w:val="00B641FC"/>
    <w:rsid w:val="00B67D64"/>
    <w:rsid w:val="00B70C77"/>
    <w:rsid w:val="00B763F1"/>
    <w:rsid w:val="00B8287A"/>
    <w:rsid w:val="00B845A9"/>
    <w:rsid w:val="00B84948"/>
    <w:rsid w:val="00B923EE"/>
    <w:rsid w:val="00BA0F30"/>
    <w:rsid w:val="00BA1434"/>
    <w:rsid w:val="00BA23E3"/>
    <w:rsid w:val="00BA38F4"/>
    <w:rsid w:val="00BA44C0"/>
    <w:rsid w:val="00BA5535"/>
    <w:rsid w:val="00BA6C56"/>
    <w:rsid w:val="00BB0619"/>
    <w:rsid w:val="00BB5ECE"/>
    <w:rsid w:val="00BB7F45"/>
    <w:rsid w:val="00BC05B4"/>
    <w:rsid w:val="00BC1CCB"/>
    <w:rsid w:val="00BD6329"/>
    <w:rsid w:val="00BD64F5"/>
    <w:rsid w:val="00BE0FDE"/>
    <w:rsid w:val="00BE140B"/>
    <w:rsid w:val="00BE3B2A"/>
    <w:rsid w:val="00BE5A08"/>
    <w:rsid w:val="00BE7D32"/>
    <w:rsid w:val="00BF4C67"/>
    <w:rsid w:val="00C0003C"/>
    <w:rsid w:val="00C0122D"/>
    <w:rsid w:val="00C01DA2"/>
    <w:rsid w:val="00C043AB"/>
    <w:rsid w:val="00C04BFE"/>
    <w:rsid w:val="00C0677C"/>
    <w:rsid w:val="00C06C1B"/>
    <w:rsid w:val="00C0775C"/>
    <w:rsid w:val="00C07E8D"/>
    <w:rsid w:val="00C11002"/>
    <w:rsid w:val="00C11B80"/>
    <w:rsid w:val="00C2046A"/>
    <w:rsid w:val="00C22E79"/>
    <w:rsid w:val="00C23226"/>
    <w:rsid w:val="00C251E9"/>
    <w:rsid w:val="00C273D7"/>
    <w:rsid w:val="00C315B9"/>
    <w:rsid w:val="00C31872"/>
    <w:rsid w:val="00C31945"/>
    <w:rsid w:val="00C31BFE"/>
    <w:rsid w:val="00C3278E"/>
    <w:rsid w:val="00C36947"/>
    <w:rsid w:val="00C4261F"/>
    <w:rsid w:val="00C45749"/>
    <w:rsid w:val="00C469DF"/>
    <w:rsid w:val="00C54098"/>
    <w:rsid w:val="00C56579"/>
    <w:rsid w:val="00C56B13"/>
    <w:rsid w:val="00C57BDC"/>
    <w:rsid w:val="00C60052"/>
    <w:rsid w:val="00C6023A"/>
    <w:rsid w:val="00C611BC"/>
    <w:rsid w:val="00C62F12"/>
    <w:rsid w:val="00C658BA"/>
    <w:rsid w:val="00C661DC"/>
    <w:rsid w:val="00C67133"/>
    <w:rsid w:val="00C67CA6"/>
    <w:rsid w:val="00C67E23"/>
    <w:rsid w:val="00C70C26"/>
    <w:rsid w:val="00C72B4B"/>
    <w:rsid w:val="00C7399D"/>
    <w:rsid w:val="00C75E1A"/>
    <w:rsid w:val="00C7695A"/>
    <w:rsid w:val="00C7728C"/>
    <w:rsid w:val="00C80218"/>
    <w:rsid w:val="00C802C1"/>
    <w:rsid w:val="00C8178C"/>
    <w:rsid w:val="00C822C2"/>
    <w:rsid w:val="00C834BC"/>
    <w:rsid w:val="00C863AB"/>
    <w:rsid w:val="00C86816"/>
    <w:rsid w:val="00C93856"/>
    <w:rsid w:val="00C948F4"/>
    <w:rsid w:val="00CA0B84"/>
    <w:rsid w:val="00CA199C"/>
    <w:rsid w:val="00CA3002"/>
    <w:rsid w:val="00CA4DFC"/>
    <w:rsid w:val="00CA6FA1"/>
    <w:rsid w:val="00CB00BE"/>
    <w:rsid w:val="00CB1209"/>
    <w:rsid w:val="00CB3BBD"/>
    <w:rsid w:val="00CC6A59"/>
    <w:rsid w:val="00CC7CCF"/>
    <w:rsid w:val="00CD0303"/>
    <w:rsid w:val="00CD11A2"/>
    <w:rsid w:val="00CD1C07"/>
    <w:rsid w:val="00CD32D7"/>
    <w:rsid w:val="00CD5216"/>
    <w:rsid w:val="00CD6104"/>
    <w:rsid w:val="00CE0BFD"/>
    <w:rsid w:val="00CE21A0"/>
    <w:rsid w:val="00CE2F9B"/>
    <w:rsid w:val="00CE4519"/>
    <w:rsid w:val="00CE5A75"/>
    <w:rsid w:val="00CE7316"/>
    <w:rsid w:val="00CF0229"/>
    <w:rsid w:val="00CF15D4"/>
    <w:rsid w:val="00CF2372"/>
    <w:rsid w:val="00CF3307"/>
    <w:rsid w:val="00CF76A9"/>
    <w:rsid w:val="00D004A1"/>
    <w:rsid w:val="00D00DEB"/>
    <w:rsid w:val="00D00F19"/>
    <w:rsid w:val="00D026CF"/>
    <w:rsid w:val="00D063C0"/>
    <w:rsid w:val="00D10329"/>
    <w:rsid w:val="00D1062D"/>
    <w:rsid w:val="00D1460F"/>
    <w:rsid w:val="00D1520E"/>
    <w:rsid w:val="00D17A38"/>
    <w:rsid w:val="00D17C3F"/>
    <w:rsid w:val="00D23CEB"/>
    <w:rsid w:val="00D27403"/>
    <w:rsid w:val="00D27EB8"/>
    <w:rsid w:val="00D305C0"/>
    <w:rsid w:val="00D30B07"/>
    <w:rsid w:val="00D35EEF"/>
    <w:rsid w:val="00D405E9"/>
    <w:rsid w:val="00D43BC8"/>
    <w:rsid w:val="00D523DE"/>
    <w:rsid w:val="00D60391"/>
    <w:rsid w:val="00D662B6"/>
    <w:rsid w:val="00D67F2F"/>
    <w:rsid w:val="00D711D2"/>
    <w:rsid w:val="00D73C44"/>
    <w:rsid w:val="00D7469B"/>
    <w:rsid w:val="00D74EAD"/>
    <w:rsid w:val="00D75E20"/>
    <w:rsid w:val="00D770F7"/>
    <w:rsid w:val="00D811FB"/>
    <w:rsid w:val="00D8140E"/>
    <w:rsid w:val="00D84467"/>
    <w:rsid w:val="00D87488"/>
    <w:rsid w:val="00D93B8C"/>
    <w:rsid w:val="00D93E04"/>
    <w:rsid w:val="00D962A4"/>
    <w:rsid w:val="00D96FCD"/>
    <w:rsid w:val="00DA1CC9"/>
    <w:rsid w:val="00DA32E3"/>
    <w:rsid w:val="00DA455A"/>
    <w:rsid w:val="00DA6CA7"/>
    <w:rsid w:val="00DB1A35"/>
    <w:rsid w:val="00DB1EF6"/>
    <w:rsid w:val="00DB2F42"/>
    <w:rsid w:val="00DB3338"/>
    <w:rsid w:val="00DB574C"/>
    <w:rsid w:val="00DB674A"/>
    <w:rsid w:val="00DB7789"/>
    <w:rsid w:val="00DB7C08"/>
    <w:rsid w:val="00DC2CE0"/>
    <w:rsid w:val="00DC2ED9"/>
    <w:rsid w:val="00DC3F09"/>
    <w:rsid w:val="00DC533D"/>
    <w:rsid w:val="00DD2C64"/>
    <w:rsid w:val="00DD5B6C"/>
    <w:rsid w:val="00DD6F64"/>
    <w:rsid w:val="00DD7707"/>
    <w:rsid w:val="00DE0986"/>
    <w:rsid w:val="00DE0D73"/>
    <w:rsid w:val="00DE1765"/>
    <w:rsid w:val="00DE7079"/>
    <w:rsid w:val="00DF0B39"/>
    <w:rsid w:val="00DF0CB9"/>
    <w:rsid w:val="00E019AB"/>
    <w:rsid w:val="00E04CFE"/>
    <w:rsid w:val="00E132AB"/>
    <w:rsid w:val="00E1513A"/>
    <w:rsid w:val="00E20B75"/>
    <w:rsid w:val="00E22BB7"/>
    <w:rsid w:val="00E23084"/>
    <w:rsid w:val="00E23B3A"/>
    <w:rsid w:val="00E25F52"/>
    <w:rsid w:val="00E35E20"/>
    <w:rsid w:val="00E37D32"/>
    <w:rsid w:val="00E41801"/>
    <w:rsid w:val="00E4262B"/>
    <w:rsid w:val="00E50397"/>
    <w:rsid w:val="00E524EF"/>
    <w:rsid w:val="00E52C7F"/>
    <w:rsid w:val="00E53F1B"/>
    <w:rsid w:val="00E57D15"/>
    <w:rsid w:val="00E6038D"/>
    <w:rsid w:val="00E6061E"/>
    <w:rsid w:val="00E615CF"/>
    <w:rsid w:val="00E64E20"/>
    <w:rsid w:val="00E7287D"/>
    <w:rsid w:val="00E7774A"/>
    <w:rsid w:val="00E77A6B"/>
    <w:rsid w:val="00E838E8"/>
    <w:rsid w:val="00E83E2E"/>
    <w:rsid w:val="00E87869"/>
    <w:rsid w:val="00E878E4"/>
    <w:rsid w:val="00E9151D"/>
    <w:rsid w:val="00E9182F"/>
    <w:rsid w:val="00E93235"/>
    <w:rsid w:val="00E93B37"/>
    <w:rsid w:val="00E9773F"/>
    <w:rsid w:val="00EA172D"/>
    <w:rsid w:val="00EA2A1A"/>
    <w:rsid w:val="00EA3B0E"/>
    <w:rsid w:val="00EA40F8"/>
    <w:rsid w:val="00EA4CE9"/>
    <w:rsid w:val="00EA544E"/>
    <w:rsid w:val="00EA5E8E"/>
    <w:rsid w:val="00EB0422"/>
    <w:rsid w:val="00EB280C"/>
    <w:rsid w:val="00EB2E2E"/>
    <w:rsid w:val="00EB37BC"/>
    <w:rsid w:val="00EB5544"/>
    <w:rsid w:val="00EB6D73"/>
    <w:rsid w:val="00EC6300"/>
    <w:rsid w:val="00EC6E3A"/>
    <w:rsid w:val="00ED2BEB"/>
    <w:rsid w:val="00ED4251"/>
    <w:rsid w:val="00ED6113"/>
    <w:rsid w:val="00ED7C7F"/>
    <w:rsid w:val="00ED7DB2"/>
    <w:rsid w:val="00EE11B1"/>
    <w:rsid w:val="00EE1D32"/>
    <w:rsid w:val="00EE3540"/>
    <w:rsid w:val="00EE4898"/>
    <w:rsid w:val="00EE6436"/>
    <w:rsid w:val="00EF2A4D"/>
    <w:rsid w:val="00EF4A70"/>
    <w:rsid w:val="00F00411"/>
    <w:rsid w:val="00F03064"/>
    <w:rsid w:val="00F05127"/>
    <w:rsid w:val="00F07B15"/>
    <w:rsid w:val="00F11E0F"/>
    <w:rsid w:val="00F11FC1"/>
    <w:rsid w:val="00F1306F"/>
    <w:rsid w:val="00F1440E"/>
    <w:rsid w:val="00F14FFE"/>
    <w:rsid w:val="00F20C03"/>
    <w:rsid w:val="00F21FF3"/>
    <w:rsid w:val="00F23794"/>
    <w:rsid w:val="00F24E47"/>
    <w:rsid w:val="00F2787D"/>
    <w:rsid w:val="00F30BE7"/>
    <w:rsid w:val="00F32664"/>
    <w:rsid w:val="00F331BD"/>
    <w:rsid w:val="00F33345"/>
    <w:rsid w:val="00F41AF3"/>
    <w:rsid w:val="00F42820"/>
    <w:rsid w:val="00F42B49"/>
    <w:rsid w:val="00F4312C"/>
    <w:rsid w:val="00F46DD5"/>
    <w:rsid w:val="00F476DC"/>
    <w:rsid w:val="00F52EBE"/>
    <w:rsid w:val="00F5585D"/>
    <w:rsid w:val="00F578BD"/>
    <w:rsid w:val="00F610F0"/>
    <w:rsid w:val="00F6600A"/>
    <w:rsid w:val="00F66C5D"/>
    <w:rsid w:val="00F70A7B"/>
    <w:rsid w:val="00F730B3"/>
    <w:rsid w:val="00F73562"/>
    <w:rsid w:val="00F81491"/>
    <w:rsid w:val="00F81EC7"/>
    <w:rsid w:val="00F83422"/>
    <w:rsid w:val="00F92C90"/>
    <w:rsid w:val="00F9542F"/>
    <w:rsid w:val="00F97367"/>
    <w:rsid w:val="00FA000F"/>
    <w:rsid w:val="00FA2AB3"/>
    <w:rsid w:val="00FA2E44"/>
    <w:rsid w:val="00FA3139"/>
    <w:rsid w:val="00FB2DA0"/>
    <w:rsid w:val="00FB426C"/>
    <w:rsid w:val="00FB47F9"/>
    <w:rsid w:val="00FB4820"/>
    <w:rsid w:val="00FB57E9"/>
    <w:rsid w:val="00FB781F"/>
    <w:rsid w:val="00FB7AAD"/>
    <w:rsid w:val="00FC1413"/>
    <w:rsid w:val="00FC4E4E"/>
    <w:rsid w:val="00FC505C"/>
    <w:rsid w:val="00FD17D6"/>
    <w:rsid w:val="00FD2E21"/>
    <w:rsid w:val="00FD3192"/>
    <w:rsid w:val="00FE0AA0"/>
    <w:rsid w:val="00FE2EBA"/>
    <w:rsid w:val="00FE4997"/>
    <w:rsid w:val="00FE508E"/>
    <w:rsid w:val="00FE722D"/>
    <w:rsid w:val="00FF6063"/>
    <w:rsid w:val="00FF6FEC"/>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BD9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CD1C07"/>
    <w:pPr>
      <w:keepNext/>
      <w:keepLines/>
      <w:widowControl/>
      <w:numPr>
        <w:numId w:val="14"/>
      </w:numPr>
      <w:spacing w:after="260"/>
      <w:outlineLvl w:val="0"/>
    </w:pPr>
    <w:rPr>
      <w:b/>
      <w:bCs/>
      <w:kern w:val="32"/>
      <w:szCs w:val="32"/>
      <w:u w:val="single"/>
    </w:rPr>
  </w:style>
  <w:style w:type="paragraph" w:styleId="Heading2">
    <w:name w:val="heading 2"/>
    <w:basedOn w:val="Normal"/>
    <w:next w:val="FERCparanumber"/>
    <w:link w:val="Heading2Char"/>
    <w:qFormat/>
    <w:rsid w:val="00CD1C07"/>
    <w:pPr>
      <w:keepNext/>
      <w:keepLines/>
      <w:widowControl/>
      <w:numPr>
        <w:ilvl w:val="1"/>
        <w:numId w:val="14"/>
      </w:numPr>
      <w:spacing w:after="260"/>
      <w:outlineLvl w:val="1"/>
    </w:pPr>
    <w:rPr>
      <w:b/>
      <w:bCs/>
      <w:iCs/>
      <w:kern w:val="32"/>
      <w:szCs w:val="28"/>
      <w:u w:val="single"/>
    </w:rPr>
  </w:style>
  <w:style w:type="paragraph" w:styleId="Heading3">
    <w:name w:val="heading 3"/>
    <w:basedOn w:val="Normal"/>
    <w:next w:val="FERCparanumber"/>
    <w:link w:val="Heading3Char"/>
    <w:qFormat/>
    <w:rsid w:val="00CD1C07"/>
    <w:pPr>
      <w:keepNext/>
      <w:keepLines/>
      <w:widowControl/>
      <w:numPr>
        <w:ilvl w:val="2"/>
        <w:numId w:val="14"/>
      </w:numPr>
      <w:spacing w:after="260"/>
      <w:outlineLvl w:val="2"/>
    </w:pPr>
    <w:rPr>
      <w:b/>
      <w:bCs/>
      <w:kern w:val="32"/>
      <w:szCs w:val="26"/>
      <w:u w:val="single"/>
    </w:rPr>
  </w:style>
  <w:style w:type="paragraph" w:styleId="Heading4">
    <w:name w:val="heading 4"/>
    <w:basedOn w:val="Normal"/>
    <w:next w:val="FERCparanumber"/>
    <w:link w:val="Heading4Char"/>
    <w:qFormat/>
    <w:rsid w:val="00CD1C07"/>
    <w:pPr>
      <w:keepNext/>
      <w:keepLines/>
      <w:widowControl/>
      <w:numPr>
        <w:ilvl w:val="3"/>
        <w:numId w:val="14"/>
      </w:numPr>
      <w:spacing w:after="260"/>
      <w:outlineLvl w:val="3"/>
    </w:pPr>
    <w:rPr>
      <w:b/>
      <w:bCs/>
      <w:kern w:val="32"/>
      <w:szCs w:val="28"/>
      <w:u w:val="single"/>
    </w:rPr>
  </w:style>
  <w:style w:type="paragraph" w:styleId="Heading5">
    <w:name w:val="heading 5"/>
    <w:basedOn w:val="Normal"/>
    <w:next w:val="FERCparanumber"/>
    <w:link w:val="Heading5Char"/>
    <w:qFormat/>
    <w:rsid w:val="00CD1C07"/>
    <w:pPr>
      <w:keepNext/>
      <w:keepLines/>
      <w:widowControl/>
      <w:numPr>
        <w:ilvl w:val="4"/>
        <w:numId w:val="14"/>
      </w:numPr>
      <w:spacing w:after="260"/>
      <w:outlineLvl w:val="4"/>
    </w:pPr>
    <w:rPr>
      <w:b/>
      <w:bCs/>
      <w:iCs/>
      <w:kern w:val="32"/>
      <w:szCs w:val="26"/>
      <w:u w:val="single"/>
    </w:rPr>
  </w:style>
  <w:style w:type="paragraph" w:styleId="Heading6">
    <w:name w:val="heading 6"/>
    <w:basedOn w:val="Normal"/>
    <w:next w:val="FERCparanumber"/>
    <w:link w:val="Heading6Char"/>
    <w:qFormat/>
    <w:rsid w:val="00CD1C07"/>
    <w:pPr>
      <w:keepNext/>
      <w:keepLines/>
      <w:widowControl/>
      <w:numPr>
        <w:ilvl w:val="5"/>
        <w:numId w:val="14"/>
      </w:numPr>
      <w:spacing w:after="260"/>
      <w:outlineLvl w:val="5"/>
    </w:pPr>
    <w:rPr>
      <w:b/>
      <w:bCs/>
      <w:kern w:val="32"/>
      <w:szCs w:val="22"/>
      <w:u w:val="single"/>
    </w:rPr>
  </w:style>
  <w:style w:type="paragraph" w:styleId="Heading7">
    <w:name w:val="heading 7"/>
    <w:basedOn w:val="Normal"/>
    <w:next w:val="FERCparanumber"/>
    <w:link w:val="Heading7Char"/>
    <w:qFormat/>
    <w:rsid w:val="00CD1C07"/>
    <w:pPr>
      <w:numPr>
        <w:ilvl w:val="6"/>
        <w:numId w:val="14"/>
      </w:numPr>
      <w:spacing w:after="260"/>
      <w:outlineLvl w:val="6"/>
    </w:pPr>
    <w:rPr>
      <w:b/>
      <w:kern w:val="32"/>
      <w:u w:val="single"/>
    </w:rPr>
  </w:style>
  <w:style w:type="paragraph" w:styleId="Heading8">
    <w:name w:val="heading 8"/>
    <w:basedOn w:val="Normal"/>
    <w:next w:val="FERCparanumber"/>
    <w:link w:val="Heading8Char"/>
    <w:qFormat/>
    <w:rsid w:val="00CD1C07"/>
    <w:pPr>
      <w:keepNext/>
      <w:keepLines/>
      <w:widowControl/>
      <w:numPr>
        <w:ilvl w:val="7"/>
        <w:numId w:val="14"/>
      </w:numPr>
      <w:spacing w:after="260"/>
      <w:outlineLvl w:val="7"/>
    </w:pPr>
    <w:rPr>
      <w:b/>
      <w:iCs/>
      <w:kern w:val="32"/>
      <w:u w:val="single"/>
    </w:rPr>
  </w:style>
  <w:style w:type="paragraph" w:styleId="Heading9">
    <w:name w:val="heading 9"/>
    <w:basedOn w:val="Normal"/>
    <w:next w:val="FERCparanumber"/>
    <w:link w:val="Heading9Char"/>
    <w:qFormat/>
    <w:rsid w:val="00CD1C07"/>
    <w:pPr>
      <w:keepNext/>
      <w:keepLines/>
      <w:widowControl/>
      <w:numPr>
        <w:ilvl w:val="8"/>
        <w:numId w:val="1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68C8"/>
    <w:pPr>
      <w:widowControl/>
      <w:numPr>
        <w:numId w:val="1"/>
      </w:numPr>
      <w:spacing w:line="480" w:lineRule="auto"/>
    </w:pPr>
  </w:style>
  <w:style w:type="character" w:customStyle="1" w:styleId="Heading1Char">
    <w:name w:val="Heading 1 Char"/>
    <w:basedOn w:val="DefaultParagraphFont"/>
    <w:link w:val="Heading1"/>
    <w:rsid w:val="00CD1C07"/>
    <w:rPr>
      <w:b/>
      <w:bCs/>
      <w:kern w:val="32"/>
      <w:sz w:val="26"/>
      <w:szCs w:val="32"/>
      <w:u w:val="single"/>
      <w:lang w:bidi="ar-SA"/>
    </w:rPr>
  </w:style>
  <w:style w:type="character" w:customStyle="1" w:styleId="Heading2Char">
    <w:name w:val="Heading 2 Char"/>
    <w:basedOn w:val="DefaultParagraphFont"/>
    <w:link w:val="Heading2"/>
    <w:rsid w:val="00CD1C07"/>
    <w:rPr>
      <w:b/>
      <w:bCs/>
      <w:iCs/>
      <w:kern w:val="32"/>
      <w:sz w:val="26"/>
      <w:szCs w:val="28"/>
      <w:u w:val="single"/>
      <w:lang w:bidi="ar-SA"/>
    </w:rPr>
  </w:style>
  <w:style w:type="character" w:customStyle="1" w:styleId="Heading3Char">
    <w:name w:val="Heading 3 Char"/>
    <w:basedOn w:val="DefaultParagraphFont"/>
    <w:link w:val="Heading3"/>
    <w:rsid w:val="00CD1C07"/>
    <w:rPr>
      <w:b/>
      <w:bCs/>
      <w:kern w:val="32"/>
      <w:sz w:val="26"/>
      <w:szCs w:val="26"/>
      <w:u w:val="single"/>
      <w:lang w:bidi="ar-SA"/>
    </w:rPr>
  </w:style>
  <w:style w:type="character" w:customStyle="1" w:styleId="Heading4Char">
    <w:name w:val="Heading 4 Char"/>
    <w:basedOn w:val="DefaultParagraphFont"/>
    <w:link w:val="Heading4"/>
    <w:rsid w:val="00CD1C07"/>
    <w:rPr>
      <w:b/>
      <w:bCs/>
      <w:kern w:val="32"/>
      <w:sz w:val="26"/>
      <w:szCs w:val="28"/>
      <w:u w:val="single"/>
      <w:lang w:bidi="ar-SA"/>
    </w:rPr>
  </w:style>
  <w:style w:type="character" w:customStyle="1" w:styleId="Heading5Char">
    <w:name w:val="Heading 5 Char"/>
    <w:basedOn w:val="DefaultParagraphFont"/>
    <w:link w:val="Heading5"/>
    <w:rsid w:val="00CD1C07"/>
    <w:rPr>
      <w:b/>
      <w:bCs/>
      <w:iCs/>
      <w:kern w:val="32"/>
      <w:sz w:val="26"/>
      <w:szCs w:val="26"/>
      <w:u w:val="single"/>
      <w:lang w:bidi="ar-SA"/>
    </w:rPr>
  </w:style>
  <w:style w:type="character" w:customStyle="1" w:styleId="Heading6Char">
    <w:name w:val="Heading 6 Char"/>
    <w:basedOn w:val="DefaultParagraphFont"/>
    <w:link w:val="Heading6"/>
    <w:rsid w:val="00CD1C07"/>
    <w:rPr>
      <w:b/>
      <w:bCs/>
      <w:kern w:val="32"/>
      <w:sz w:val="26"/>
      <w:szCs w:val="22"/>
      <w:u w:val="single"/>
      <w:lang w:bidi="ar-SA"/>
    </w:rPr>
  </w:style>
  <w:style w:type="character" w:customStyle="1" w:styleId="Heading7Char">
    <w:name w:val="Heading 7 Char"/>
    <w:basedOn w:val="DefaultParagraphFont"/>
    <w:link w:val="Heading7"/>
    <w:rsid w:val="00CD1C07"/>
    <w:rPr>
      <w:b/>
      <w:kern w:val="32"/>
      <w:sz w:val="26"/>
      <w:szCs w:val="24"/>
      <w:u w:val="single"/>
      <w:lang w:bidi="ar-SA"/>
    </w:rPr>
  </w:style>
  <w:style w:type="character" w:customStyle="1" w:styleId="Heading8Char">
    <w:name w:val="Heading 8 Char"/>
    <w:basedOn w:val="DefaultParagraphFont"/>
    <w:link w:val="Heading8"/>
    <w:rsid w:val="00CD1C07"/>
    <w:rPr>
      <w:b/>
      <w:iCs/>
      <w:kern w:val="32"/>
      <w:sz w:val="26"/>
      <w:szCs w:val="24"/>
      <w:u w:val="single"/>
      <w:lang w:bidi="ar-SA"/>
    </w:rPr>
  </w:style>
  <w:style w:type="character" w:customStyle="1" w:styleId="Heading9Char">
    <w:name w:val="Heading 9 Char"/>
    <w:basedOn w:val="DefaultParagraphFont"/>
    <w:link w:val="Heading9"/>
    <w:rsid w:val="00CD1C0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rsid w:val="00AC21F1"/>
    <w:rPr>
      <w:sz w:val="26"/>
      <w:szCs w:val="24"/>
      <w:lang w:bidi="ar-SA"/>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CD1C07"/>
    <w:rPr>
      <w:sz w:val="26"/>
      <w:lang w:bidi="ar-SA"/>
    </w:rPr>
  </w:style>
  <w:style w:type="character" w:styleId="Hyperlink">
    <w:name w:val="Hyperlink"/>
    <w:basedOn w:val="DefaultParagraphFont"/>
    <w:rsid w:val="00CD1C07"/>
    <w:rPr>
      <w:color w:val="0000FF"/>
      <w:u w:val="single"/>
    </w:rPr>
  </w:style>
  <w:style w:type="paragraph" w:customStyle="1" w:styleId="Default">
    <w:name w:val="Default"/>
    <w:rsid w:val="00412069"/>
    <w:pPr>
      <w:autoSpaceDE w:val="0"/>
      <w:autoSpaceDN w:val="0"/>
      <w:adjustRightInd w:val="0"/>
    </w:pPr>
    <w:rPr>
      <w:color w:val="000000"/>
      <w:sz w:val="24"/>
      <w:szCs w:val="24"/>
      <w:lang w:bidi="ar-SA"/>
    </w:rPr>
  </w:style>
  <w:style w:type="character" w:customStyle="1" w:styleId="FERCparanumberChar1">
    <w:name w:val="FERC paranumber Char1"/>
    <w:link w:val="FERCparanumber"/>
    <w:rsid w:val="00FF6FEC"/>
    <w:rPr>
      <w:sz w:val="26"/>
      <w:szCs w:val="24"/>
      <w:lang w:bidi="ar-SA"/>
    </w:rPr>
  </w:style>
  <w:style w:type="character" w:customStyle="1" w:styleId="FootnoteTextChar4">
    <w:name w:val="Footnote Text Char4"/>
    <w:aliases w:val="fn Char1,Footnote Text Char1 Char3,Footnote Text Char Char Char2,Footnote Text Char1 Char Char2,Footnote Text Char Char Char Char1,Footnote Text MRP Char1,Footnote Text Char1 Char Char Char1,Footnote Text Char1 Char1 Char1,fn1 Char1"/>
    <w:basedOn w:val="DefaultParagraphFont"/>
    <w:uiPriority w:val="99"/>
    <w:semiHidden/>
    <w:locked/>
    <w:rsid w:val="00A903A4"/>
    <w:rPr>
      <w:sz w:val="20"/>
      <w:szCs w:val="20"/>
    </w:rPr>
  </w:style>
  <w:style w:type="character" w:customStyle="1" w:styleId="apple-converted-space">
    <w:name w:val="apple-converted-space"/>
    <w:basedOn w:val="DefaultParagraphFont"/>
    <w:rsid w:val="00D96FCD"/>
  </w:style>
  <w:style w:type="character" w:styleId="CommentReference">
    <w:name w:val="annotation reference"/>
    <w:basedOn w:val="DefaultParagraphFont"/>
    <w:semiHidden/>
    <w:unhideWhenUsed/>
    <w:rsid w:val="00CA0B84"/>
    <w:rPr>
      <w:sz w:val="16"/>
      <w:szCs w:val="16"/>
    </w:rPr>
  </w:style>
  <w:style w:type="paragraph" w:styleId="Revision">
    <w:name w:val="Revision"/>
    <w:hidden/>
    <w:uiPriority w:val="99"/>
    <w:semiHidden/>
    <w:rsid w:val="00F81491"/>
    <w:rPr>
      <w:sz w:val="26"/>
      <w:szCs w:val="24"/>
      <w:lang w:bidi="ar-SA"/>
    </w:rPr>
  </w:style>
  <w:style w:type="paragraph" w:customStyle="1" w:styleId="LegalFormat">
    <w:name w:val="Legal Format"/>
    <w:basedOn w:val="ListContinue"/>
    <w:rsid w:val="00965DEA"/>
    <w:pPr>
      <w:numPr>
        <w:numId w:val="31"/>
      </w:numPr>
      <w:tabs>
        <w:tab w:val="clear" w:pos="360"/>
        <w:tab w:val="num" w:pos="720"/>
      </w:tabs>
      <w:spacing w:after="0"/>
      <w:ind w:left="720" w:hanging="720"/>
    </w:pPr>
  </w:style>
  <w:style w:type="paragraph" w:customStyle="1" w:styleId="StyleFERCparanumberLinespacingDouble">
    <w:name w:val="Style FERC paranumber + Line spacing:  Double"/>
    <w:basedOn w:val="FERCparanumber"/>
    <w:rsid w:val="00965DEA"/>
    <w:pPr>
      <w:numPr>
        <w:numId w:val="0"/>
      </w:numPr>
      <w:tabs>
        <w:tab w:val="num" w:pos="360"/>
        <w:tab w:val="num" w:pos="720"/>
      </w:tabs>
      <w:autoSpaceDE/>
      <w:autoSpaceDN/>
      <w:adjustRightInd/>
      <w:ind w:hanging="3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CD1C07"/>
    <w:pPr>
      <w:keepNext/>
      <w:keepLines/>
      <w:widowControl/>
      <w:numPr>
        <w:numId w:val="14"/>
      </w:numPr>
      <w:spacing w:after="260"/>
      <w:outlineLvl w:val="0"/>
    </w:pPr>
    <w:rPr>
      <w:b/>
      <w:bCs/>
      <w:kern w:val="32"/>
      <w:szCs w:val="32"/>
      <w:u w:val="single"/>
    </w:rPr>
  </w:style>
  <w:style w:type="paragraph" w:styleId="Heading2">
    <w:name w:val="heading 2"/>
    <w:basedOn w:val="Normal"/>
    <w:next w:val="FERCparanumber"/>
    <w:link w:val="Heading2Char"/>
    <w:qFormat/>
    <w:rsid w:val="00CD1C07"/>
    <w:pPr>
      <w:keepNext/>
      <w:keepLines/>
      <w:widowControl/>
      <w:numPr>
        <w:ilvl w:val="1"/>
        <w:numId w:val="14"/>
      </w:numPr>
      <w:spacing w:after="260"/>
      <w:outlineLvl w:val="1"/>
    </w:pPr>
    <w:rPr>
      <w:b/>
      <w:bCs/>
      <w:iCs/>
      <w:kern w:val="32"/>
      <w:szCs w:val="28"/>
      <w:u w:val="single"/>
    </w:rPr>
  </w:style>
  <w:style w:type="paragraph" w:styleId="Heading3">
    <w:name w:val="heading 3"/>
    <w:basedOn w:val="Normal"/>
    <w:next w:val="FERCparanumber"/>
    <w:link w:val="Heading3Char"/>
    <w:qFormat/>
    <w:rsid w:val="00CD1C07"/>
    <w:pPr>
      <w:keepNext/>
      <w:keepLines/>
      <w:widowControl/>
      <w:numPr>
        <w:ilvl w:val="2"/>
        <w:numId w:val="14"/>
      </w:numPr>
      <w:spacing w:after="260"/>
      <w:outlineLvl w:val="2"/>
    </w:pPr>
    <w:rPr>
      <w:b/>
      <w:bCs/>
      <w:kern w:val="32"/>
      <w:szCs w:val="26"/>
      <w:u w:val="single"/>
    </w:rPr>
  </w:style>
  <w:style w:type="paragraph" w:styleId="Heading4">
    <w:name w:val="heading 4"/>
    <w:basedOn w:val="Normal"/>
    <w:next w:val="FERCparanumber"/>
    <w:link w:val="Heading4Char"/>
    <w:qFormat/>
    <w:rsid w:val="00CD1C07"/>
    <w:pPr>
      <w:keepNext/>
      <w:keepLines/>
      <w:widowControl/>
      <w:numPr>
        <w:ilvl w:val="3"/>
        <w:numId w:val="14"/>
      </w:numPr>
      <w:spacing w:after="260"/>
      <w:outlineLvl w:val="3"/>
    </w:pPr>
    <w:rPr>
      <w:b/>
      <w:bCs/>
      <w:kern w:val="32"/>
      <w:szCs w:val="28"/>
      <w:u w:val="single"/>
    </w:rPr>
  </w:style>
  <w:style w:type="paragraph" w:styleId="Heading5">
    <w:name w:val="heading 5"/>
    <w:basedOn w:val="Normal"/>
    <w:next w:val="FERCparanumber"/>
    <w:link w:val="Heading5Char"/>
    <w:qFormat/>
    <w:rsid w:val="00CD1C07"/>
    <w:pPr>
      <w:keepNext/>
      <w:keepLines/>
      <w:widowControl/>
      <w:numPr>
        <w:ilvl w:val="4"/>
        <w:numId w:val="14"/>
      </w:numPr>
      <w:spacing w:after="260"/>
      <w:outlineLvl w:val="4"/>
    </w:pPr>
    <w:rPr>
      <w:b/>
      <w:bCs/>
      <w:iCs/>
      <w:kern w:val="32"/>
      <w:szCs w:val="26"/>
      <w:u w:val="single"/>
    </w:rPr>
  </w:style>
  <w:style w:type="paragraph" w:styleId="Heading6">
    <w:name w:val="heading 6"/>
    <w:basedOn w:val="Normal"/>
    <w:next w:val="FERCparanumber"/>
    <w:link w:val="Heading6Char"/>
    <w:qFormat/>
    <w:rsid w:val="00CD1C07"/>
    <w:pPr>
      <w:keepNext/>
      <w:keepLines/>
      <w:widowControl/>
      <w:numPr>
        <w:ilvl w:val="5"/>
        <w:numId w:val="14"/>
      </w:numPr>
      <w:spacing w:after="260"/>
      <w:outlineLvl w:val="5"/>
    </w:pPr>
    <w:rPr>
      <w:b/>
      <w:bCs/>
      <w:kern w:val="32"/>
      <w:szCs w:val="22"/>
      <w:u w:val="single"/>
    </w:rPr>
  </w:style>
  <w:style w:type="paragraph" w:styleId="Heading7">
    <w:name w:val="heading 7"/>
    <w:basedOn w:val="Normal"/>
    <w:next w:val="FERCparanumber"/>
    <w:link w:val="Heading7Char"/>
    <w:qFormat/>
    <w:rsid w:val="00CD1C07"/>
    <w:pPr>
      <w:numPr>
        <w:ilvl w:val="6"/>
        <w:numId w:val="14"/>
      </w:numPr>
      <w:spacing w:after="260"/>
      <w:outlineLvl w:val="6"/>
    </w:pPr>
    <w:rPr>
      <w:b/>
      <w:kern w:val="32"/>
      <w:u w:val="single"/>
    </w:rPr>
  </w:style>
  <w:style w:type="paragraph" w:styleId="Heading8">
    <w:name w:val="heading 8"/>
    <w:basedOn w:val="Normal"/>
    <w:next w:val="FERCparanumber"/>
    <w:link w:val="Heading8Char"/>
    <w:qFormat/>
    <w:rsid w:val="00CD1C07"/>
    <w:pPr>
      <w:keepNext/>
      <w:keepLines/>
      <w:widowControl/>
      <w:numPr>
        <w:ilvl w:val="7"/>
        <w:numId w:val="14"/>
      </w:numPr>
      <w:spacing w:after="260"/>
      <w:outlineLvl w:val="7"/>
    </w:pPr>
    <w:rPr>
      <w:b/>
      <w:iCs/>
      <w:kern w:val="32"/>
      <w:u w:val="single"/>
    </w:rPr>
  </w:style>
  <w:style w:type="paragraph" w:styleId="Heading9">
    <w:name w:val="heading 9"/>
    <w:basedOn w:val="Normal"/>
    <w:next w:val="FERCparanumber"/>
    <w:link w:val="Heading9Char"/>
    <w:qFormat/>
    <w:rsid w:val="00CD1C07"/>
    <w:pPr>
      <w:keepNext/>
      <w:keepLines/>
      <w:widowControl/>
      <w:numPr>
        <w:ilvl w:val="8"/>
        <w:numId w:val="1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68C8"/>
    <w:pPr>
      <w:widowControl/>
      <w:numPr>
        <w:numId w:val="1"/>
      </w:numPr>
      <w:spacing w:line="480" w:lineRule="auto"/>
    </w:pPr>
  </w:style>
  <w:style w:type="character" w:customStyle="1" w:styleId="Heading1Char">
    <w:name w:val="Heading 1 Char"/>
    <w:basedOn w:val="DefaultParagraphFont"/>
    <w:link w:val="Heading1"/>
    <w:rsid w:val="00CD1C07"/>
    <w:rPr>
      <w:b/>
      <w:bCs/>
      <w:kern w:val="32"/>
      <w:sz w:val="26"/>
      <w:szCs w:val="32"/>
      <w:u w:val="single"/>
      <w:lang w:bidi="ar-SA"/>
    </w:rPr>
  </w:style>
  <w:style w:type="character" w:customStyle="1" w:styleId="Heading2Char">
    <w:name w:val="Heading 2 Char"/>
    <w:basedOn w:val="DefaultParagraphFont"/>
    <w:link w:val="Heading2"/>
    <w:rsid w:val="00CD1C07"/>
    <w:rPr>
      <w:b/>
      <w:bCs/>
      <w:iCs/>
      <w:kern w:val="32"/>
      <w:sz w:val="26"/>
      <w:szCs w:val="28"/>
      <w:u w:val="single"/>
      <w:lang w:bidi="ar-SA"/>
    </w:rPr>
  </w:style>
  <w:style w:type="character" w:customStyle="1" w:styleId="Heading3Char">
    <w:name w:val="Heading 3 Char"/>
    <w:basedOn w:val="DefaultParagraphFont"/>
    <w:link w:val="Heading3"/>
    <w:rsid w:val="00CD1C07"/>
    <w:rPr>
      <w:b/>
      <w:bCs/>
      <w:kern w:val="32"/>
      <w:sz w:val="26"/>
      <w:szCs w:val="26"/>
      <w:u w:val="single"/>
      <w:lang w:bidi="ar-SA"/>
    </w:rPr>
  </w:style>
  <w:style w:type="character" w:customStyle="1" w:styleId="Heading4Char">
    <w:name w:val="Heading 4 Char"/>
    <w:basedOn w:val="DefaultParagraphFont"/>
    <w:link w:val="Heading4"/>
    <w:rsid w:val="00CD1C07"/>
    <w:rPr>
      <w:b/>
      <w:bCs/>
      <w:kern w:val="32"/>
      <w:sz w:val="26"/>
      <w:szCs w:val="28"/>
      <w:u w:val="single"/>
      <w:lang w:bidi="ar-SA"/>
    </w:rPr>
  </w:style>
  <w:style w:type="character" w:customStyle="1" w:styleId="Heading5Char">
    <w:name w:val="Heading 5 Char"/>
    <w:basedOn w:val="DefaultParagraphFont"/>
    <w:link w:val="Heading5"/>
    <w:rsid w:val="00CD1C07"/>
    <w:rPr>
      <w:b/>
      <w:bCs/>
      <w:iCs/>
      <w:kern w:val="32"/>
      <w:sz w:val="26"/>
      <w:szCs w:val="26"/>
      <w:u w:val="single"/>
      <w:lang w:bidi="ar-SA"/>
    </w:rPr>
  </w:style>
  <w:style w:type="character" w:customStyle="1" w:styleId="Heading6Char">
    <w:name w:val="Heading 6 Char"/>
    <w:basedOn w:val="DefaultParagraphFont"/>
    <w:link w:val="Heading6"/>
    <w:rsid w:val="00CD1C07"/>
    <w:rPr>
      <w:b/>
      <w:bCs/>
      <w:kern w:val="32"/>
      <w:sz w:val="26"/>
      <w:szCs w:val="22"/>
      <w:u w:val="single"/>
      <w:lang w:bidi="ar-SA"/>
    </w:rPr>
  </w:style>
  <w:style w:type="character" w:customStyle="1" w:styleId="Heading7Char">
    <w:name w:val="Heading 7 Char"/>
    <w:basedOn w:val="DefaultParagraphFont"/>
    <w:link w:val="Heading7"/>
    <w:rsid w:val="00CD1C07"/>
    <w:rPr>
      <w:b/>
      <w:kern w:val="32"/>
      <w:sz w:val="26"/>
      <w:szCs w:val="24"/>
      <w:u w:val="single"/>
      <w:lang w:bidi="ar-SA"/>
    </w:rPr>
  </w:style>
  <w:style w:type="character" w:customStyle="1" w:styleId="Heading8Char">
    <w:name w:val="Heading 8 Char"/>
    <w:basedOn w:val="DefaultParagraphFont"/>
    <w:link w:val="Heading8"/>
    <w:rsid w:val="00CD1C07"/>
    <w:rPr>
      <w:b/>
      <w:iCs/>
      <w:kern w:val="32"/>
      <w:sz w:val="26"/>
      <w:szCs w:val="24"/>
      <w:u w:val="single"/>
      <w:lang w:bidi="ar-SA"/>
    </w:rPr>
  </w:style>
  <w:style w:type="character" w:customStyle="1" w:styleId="Heading9Char">
    <w:name w:val="Heading 9 Char"/>
    <w:basedOn w:val="DefaultParagraphFont"/>
    <w:link w:val="Heading9"/>
    <w:rsid w:val="00CD1C0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rsid w:val="00AC21F1"/>
    <w:rPr>
      <w:sz w:val="26"/>
      <w:szCs w:val="24"/>
      <w:lang w:bidi="ar-SA"/>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CD1C07"/>
    <w:rPr>
      <w:sz w:val="26"/>
      <w:lang w:bidi="ar-SA"/>
    </w:rPr>
  </w:style>
  <w:style w:type="character" w:styleId="Hyperlink">
    <w:name w:val="Hyperlink"/>
    <w:basedOn w:val="DefaultParagraphFont"/>
    <w:rsid w:val="00CD1C07"/>
    <w:rPr>
      <w:color w:val="0000FF"/>
      <w:u w:val="single"/>
    </w:rPr>
  </w:style>
  <w:style w:type="paragraph" w:customStyle="1" w:styleId="Default">
    <w:name w:val="Default"/>
    <w:rsid w:val="00412069"/>
    <w:pPr>
      <w:autoSpaceDE w:val="0"/>
      <w:autoSpaceDN w:val="0"/>
      <w:adjustRightInd w:val="0"/>
    </w:pPr>
    <w:rPr>
      <w:color w:val="000000"/>
      <w:sz w:val="24"/>
      <w:szCs w:val="24"/>
      <w:lang w:bidi="ar-SA"/>
    </w:rPr>
  </w:style>
  <w:style w:type="character" w:customStyle="1" w:styleId="FERCparanumberChar1">
    <w:name w:val="FERC paranumber Char1"/>
    <w:link w:val="FERCparanumber"/>
    <w:rsid w:val="00FF6FEC"/>
    <w:rPr>
      <w:sz w:val="26"/>
      <w:szCs w:val="24"/>
      <w:lang w:bidi="ar-SA"/>
    </w:rPr>
  </w:style>
  <w:style w:type="character" w:customStyle="1" w:styleId="FootnoteTextChar4">
    <w:name w:val="Footnote Text Char4"/>
    <w:aliases w:val="fn Char1,Footnote Text Char1 Char3,Footnote Text Char Char Char2,Footnote Text Char1 Char Char2,Footnote Text Char Char Char Char1,Footnote Text MRP Char1,Footnote Text Char1 Char Char Char1,Footnote Text Char1 Char1 Char1,fn1 Char1"/>
    <w:basedOn w:val="DefaultParagraphFont"/>
    <w:uiPriority w:val="99"/>
    <w:semiHidden/>
    <w:locked/>
    <w:rsid w:val="00A903A4"/>
    <w:rPr>
      <w:sz w:val="20"/>
      <w:szCs w:val="20"/>
    </w:rPr>
  </w:style>
  <w:style w:type="character" w:customStyle="1" w:styleId="apple-converted-space">
    <w:name w:val="apple-converted-space"/>
    <w:basedOn w:val="DefaultParagraphFont"/>
    <w:rsid w:val="00D96FCD"/>
  </w:style>
  <w:style w:type="character" w:styleId="CommentReference">
    <w:name w:val="annotation reference"/>
    <w:basedOn w:val="DefaultParagraphFont"/>
    <w:semiHidden/>
    <w:unhideWhenUsed/>
    <w:rsid w:val="00CA0B84"/>
    <w:rPr>
      <w:sz w:val="16"/>
      <w:szCs w:val="16"/>
    </w:rPr>
  </w:style>
  <w:style w:type="paragraph" w:styleId="Revision">
    <w:name w:val="Revision"/>
    <w:hidden/>
    <w:uiPriority w:val="99"/>
    <w:semiHidden/>
    <w:rsid w:val="00F81491"/>
    <w:rPr>
      <w:sz w:val="26"/>
      <w:szCs w:val="24"/>
      <w:lang w:bidi="ar-SA"/>
    </w:rPr>
  </w:style>
  <w:style w:type="paragraph" w:customStyle="1" w:styleId="LegalFormat">
    <w:name w:val="Legal Format"/>
    <w:basedOn w:val="ListContinue"/>
    <w:rsid w:val="00965DEA"/>
    <w:pPr>
      <w:numPr>
        <w:numId w:val="31"/>
      </w:numPr>
      <w:tabs>
        <w:tab w:val="clear" w:pos="360"/>
        <w:tab w:val="num" w:pos="720"/>
      </w:tabs>
      <w:spacing w:after="0"/>
      <w:ind w:left="720" w:hanging="720"/>
    </w:pPr>
  </w:style>
  <w:style w:type="paragraph" w:customStyle="1" w:styleId="StyleFERCparanumberLinespacingDouble">
    <w:name w:val="Style FERC paranumber + Line spacing:  Double"/>
    <w:basedOn w:val="FERCparanumber"/>
    <w:rsid w:val="00965DEA"/>
    <w:pPr>
      <w:numPr>
        <w:numId w:val="0"/>
      </w:numPr>
      <w:tabs>
        <w:tab w:val="num" w:pos="360"/>
        <w:tab w:val="num" w:pos="720"/>
      </w:tabs>
      <w:autoSpaceDE/>
      <w:autoSpaceDN/>
      <w:adjustRightInd/>
      <w:ind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71718">
      <w:bodyDiv w:val="1"/>
      <w:marLeft w:val="0"/>
      <w:marRight w:val="0"/>
      <w:marTop w:val="0"/>
      <w:marBottom w:val="0"/>
      <w:divBdr>
        <w:top w:val="none" w:sz="0" w:space="0" w:color="auto"/>
        <w:left w:val="none" w:sz="0" w:space="0" w:color="auto"/>
        <w:bottom w:val="none" w:sz="0" w:space="0" w:color="auto"/>
        <w:right w:val="none" w:sz="0" w:space="0" w:color="auto"/>
      </w:divBdr>
    </w:div>
    <w:div w:id="570426375">
      <w:bodyDiv w:val="1"/>
      <w:marLeft w:val="0"/>
      <w:marRight w:val="0"/>
      <w:marTop w:val="0"/>
      <w:marBottom w:val="0"/>
      <w:divBdr>
        <w:top w:val="none" w:sz="0" w:space="0" w:color="auto"/>
        <w:left w:val="none" w:sz="0" w:space="0" w:color="auto"/>
        <w:bottom w:val="none" w:sz="0" w:space="0" w:color="auto"/>
        <w:right w:val="none" w:sz="0" w:space="0" w:color="auto"/>
      </w:divBdr>
    </w:div>
    <w:div w:id="639114563">
      <w:bodyDiv w:val="1"/>
      <w:marLeft w:val="0"/>
      <w:marRight w:val="0"/>
      <w:marTop w:val="0"/>
      <w:marBottom w:val="0"/>
      <w:divBdr>
        <w:top w:val="none" w:sz="0" w:space="0" w:color="auto"/>
        <w:left w:val="none" w:sz="0" w:space="0" w:color="auto"/>
        <w:bottom w:val="none" w:sz="0" w:space="0" w:color="auto"/>
        <w:right w:val="none" w:sz="0" w:space="0" w:color="auto"/>
      </w:divBdr>
    </w:div>
    <w:div w:id="677315698">
      <w:bodyDiv w:val="1"/>
      <w:marLeft w:val="0"/>
      <w:marRight w:val="0"/>
      <w:marTop w:val="0"/>
      <w:marBottom w:val="0"/>
      <w:divBdr>
        <w:top w:val="none" w:sz="0" w:space="0" w:color="auto"/>
        <w:left w:val="none" w:sz="0" w:space="0" w:color="auto"/>
        <w:bottom w:val="none" w:sz="0" w:space="0" w:color="auto"/>
        <w:right w:val="none" w:sz="0" w:space="0" w:color="auto"/>
      </w:divBdr>
    </w:div>
    <w:div w:id="1266811171">
      <w:bodyDiv w:val="1"/>
      <w:marLeft w:val="0"/>
      <w:marRight w:val="0"/>
      <w:marTop w:val="0"/>
      <w:marBottom w:val="0"/>
      <w:divBdr>
        <w:top w:val="none" w:sz="0" w:space="0" w:color="auto"/>
        <w:left w:val="none" w:sz="0" w:space="0" w:color="auto"/>
        <w:bottom w:val="none" w:sz="0" w:space="0" w:color="auto"/>
        <w:right w:val="none" w:sz="0" w:space="0" w:color="auto"/>
      </w:divBdr>
    </w:div>
    <w:div w:id="1278484345">
      <w:bodyDiv w:val="1"/>
      <w:marLeft w:val="0"/>
      <w:marRight w:val="0"/>
      <w:marTop w:val="0"/>
      <w:marBottom w:val="0"/>
      <w:divBdr>
        <w:top w:val="none" w:sz="0" w:space="0" w:color="auto"/>
        <w:left w:val="none" w:sz="0" w:space="0" w:color="auto"/>
        <w:bottom w:val="none" w:sz="0" w:space="0" w:color="auto"/>
        <w:right w:val="none" w:sz="0" w:space="0" w:color="auto"/>
      </w:divBdr>
      <w:divsChild>
        <w:div w:id="1811946140">
          <w:marLeft w:val="0"/>
          <w:marRight w:val="0"/>
          <w:marTop w:val="0"/>
          <w:marBottom w:val="0"/>
          <w:divBdr>
            <w:top w:val="none" w:sz="0" w:space="0" w:color="auto"/>
            <w:left w:val="none" w:sz="0" w:space="0" w:color="auto"/>
            <w:bottom w:val="none" w:sz="0" w:space="0" w:color="auto"/>
            <w:right w:val="none" w:sz="0" w:space="0" w:color="auto"/>
          </w:divBdr>
        </w:div>
        <w:div w:id="2068647604">
          <w:marLeft w:val="0"/>
          <w:marRight w:val="0"/>
          <w:marTop w:val="0"/>
          <w:marBottom w:val="0"/>
          <w:divBdr>
            <w:top w:val="none" w:sz="0" w:space="0" w:color="auto"/>
            <w:left w:val="none" w:sz="0" w:space="0" w:color="auto"/>
            <w:bottom w:val="none" w:sz="0" w:space="0" w:color="auto"/>
            <w:right w:val="none" w:sz="0" w:space="0" w:color="auto"/>
          </w:divBdr>
        </w:div>
        <w:div w:id="782725255">
          <w:marLeft w:val="0"/>
          <w:marRight w:val="0"/>
          <w:marTop w:val="0"/>
          <w:marBottom w:val="0"/>
          <w:divBdr>
            <w:top w:val="none" w:sz="0" w:space="0" w:color="auto"/>
            <w:left w:val="none" w:sz="0" w:space="0" w:color="auto"/>
            <w:bottom w:val="none" w:sz="0" w:space="0" w:color="auto"/>
            <w:right w:val="none" w:sz="0" w:space="0" w:color="auto"/>
          </w:divBdr>
        </w:div>
        <w:div w:id="181864319">
          <w:marLeft w:val="0"/>
          <w:marRight w:val="0"/>
          <w:marTop w:val="0"/>
          <w:marBottom w:val="0"/>
          <w:divBdr>
            <w:top w:val="none" w:sz="0" w:space="0" w:color="auto"/>
            <w:left w:val="none" w:sz="0" w:space="0" w:color="auto"/>
            <w:bottom w:val="none" w:sz="0" w:space="0" w:color="auto"/>
            <w:right w:val="none" w:sz="0" w:space="0" w:color="auto"/>
          </w:divBdr>
        </w:div>
        <w:div w:id="493885630">
          <w:marLeft w:val="0"/>
          <w:marRight w:val="0"/>
          <w:marTop w:val="0"/>
          <w:marBottom w:val="0"/>
          <w:divBdr>
            <w:top w:val="none" w:sz="0" w:space="0" w:color="auto"/>
            <w:left w:val="none" w:sz="0" w:space="0" w:color="auto"/>
            <w:bottom w:val="none" w:sz="0" w:space="0" w:color="auto"/>
            <w:right w:val="none" w:sz="0" w:space="0" w:color="auto"/>
          </w:divBdr>
        </w:div>
      </w:divsChild>
    </w:div>
    <w:div w:id="1339118924">
      <w:bodyDiv w:val="1"/>
      <w:marLeft w:val="0"/>
      <w:marRight w:val="0"/>
      <w:marTop w:val="0"/>
      <w:marBottom w:val="0"/>
      <w:divBdr>
        <w:top w:val="none" w:sz="0" w:space="0" w:color="auto"/>
        <w:left w:val="none" w:sz="0" w:space="0" w:color="auto"/>
        <w:bottom w:val="none" w:sz="0" w:space="0" w:color="auto"/>
        <w:right w:val="none" w:sz="0" w:space="0" w:color="auto"/>
      </w:divBdr>
    </w:div>
    <w:div w:id="1414083808">
      <w:bodyDiv w:val="1"/>
      <w:marLeft w:val="0"/>
      <w:marRight w:val="0"/>
      <w:marTop w:val="0"/>
      <w:marBottom w:val="0"/>
      <w:divBdr>
        <w:top w:val="none" w:sz="0" w:space="0" w:color="auto"/>
        <w:left w:val="none" w:sz="0" w:space="0" w:color="auto"/>
        <w:bottom w:val="none" w:sz="0" w:space="0" w:color="auto"/>
        <w:right w:val="none" w:sz="0" w:space="0" w:color="auto"/>
      </w:divBdr>
    </w:div>
    <w:div w:id="1617641916">
      <w:bodyDiv w:val="1"/>
      <w:marLeft w:val="0"/>
      <w:marRight w:val="0"/>
      <w:marTop w:val="0"/>
      <w:marBottom w:val="0"/>
      <w:divBdr>
        <w:top w:val="none" w:sz="0" w:space="0" w:color="auto"/>
        <w:left w:val="none" w:sz="0" w:space="0" w:color="auto"/>
        <w:bottom w:val="none" w:sz="0" w:space="0" w:color="auto"/>
        <w:right w:val="none" w:sz="0" w:space="0" w:color="auto"/>
      </w:divBdr>
    </w:div>
    <w:div w:id="18849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Stroh@ferc.gov"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ferc.gov" TargetMode="Externa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public.referenceroom@ferc.gov" TargetMode="External"/><Relationship Id="rId5" Type="http://schemas.openxmlformats.org/officeDocument/2006/relationships/numbering" Target="numbering.xml"/><Relationship Id="rId15" Type="http://schemas.openxmlformats.org/officeDocument/2006/relationships/hyperlink" Target="mailto:Darrell.Piatt@ferc.gov" TargetMode="External"/><Relationship Id="rId23" Type="http://schemas.openxmlformats.org/officeDocument/2006/relationships/hyperlink" Target="mailto:ferconlinesupport@ferc.gov"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ugene.Blick@ferc.gov" TargetMode="External"/><Relationship Id="rId22" Type="http://schemas.openxmlformats.org/officeDocument/2006/relationships/hyperlink" Target="http://www.ferc.gov" TargetMode="External"/><Relationship Id="rId27"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3_221000.htm" TargetMode="External"/><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F1D1-98B3-48A8-8161-A8BBA996A1CF}">
  <ds:schemaRefs>
    <ds:schemaRef ds:uri="http://schemas.microsoft.com/office/2006/metadata/properties"/>
  </ds:schemaRefs>
</ds:datastoreItem>
</file>

<file path=customXml/itemProps2.xml><?xml version="1.0" encoding="utf-8"?>
<ds:datastoreItem xmlns:ds="http://schemas.openxmlformats.org/officeDocument/2006/customXml" ds:itemID="{A41CF0D3-541A-41E0-A394-BC1FA29E65D9}">
  <ds:schemaRefs>
    <ds:schemaRef ds:uri="http://schemas.microsoft.com/sharepoint/v3/contenttype/forms"/>
  </ds:schemaRefs>
</ds:datastoreItem>
</file>

<file path=customXml/itemProps3.xml><?xml version="1.0" encoding="utf-8"?>
<ds:datastoreItem xmlns:ds="http://schemas.openxmlformats.org/officeDocument/2006/customXml" ds:itemID="{2D1A02F0-929A-4850-A879-B6CC97FCA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D612FF-5116-4B9C-A495-CFFB1AFB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12801</Words>
  <Characters>73352</Characters>
  <Application>Microsoft Office Word</Application>
  <DocSecurity>0</DocSecurity>
  <Lines>1496</Lines>
  <Paragraphs>538</Paragraphs>
  <ScaleCrop>false</ScaleCrop>
  <HeadingPairs>
    <vt:vector size="2" baseType="variant">
      <vt:variant>
        <vt:lpstr>Title</vt:lpstr>
      </vt:variant>
      <vt:variant>
        <vt:i4>1</vt:i4>
      </vt:variant>
    </vt:vector>
  </HeadingPairs>
  <TitlesOfParts>
    <vt:vector size="1" baseType="lpstr">
      <vt:lpstr>Commission Order</vt:lpstr>
    </vt:vector>
  </TitlesOfParts>
  <LinksUpToDate>false</LinksUpToDate>
  <CharactersWithSpaces>85615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Order</dc:title>
  <dc:creator/>
  <cp:lastModifiedBy/>
  <cp:revision>1</cp:revision>
  <dcterms:created xsi:type="dcterms:W3CDTF">2015-07-30T15:56:00Z</dcterms:created>
  <dcterms:modified xsi:type="dcterms:W3CDTF">2015-07-30T15:56:00Z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0x01010045DD5B81388B9B44B6E43689F613E80D</vt:lpwstr>
  </property>
</Properties>
</file>