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EA289" w14:textId="77777777" w:rsidR="00ED6128" w:rsidRPr="00F717FF" w:rsidRDefault="00ED6128" w:rsidP="008F4F57">
      <w:pPr>
        <w:spacing w:after="0" w:line="240" w:lineRule="auto"/>
        <w:jc w:val="center"/>
        <w:rPr>
          <w:rFonts w:ascii="Times New Roman" w:hAnsi="Times New Roman"/>
          <w:sz w:val="26"/>
          <w:szCs w:val="26"/>
        </w:rPr>
      </w:pPr>
      <w:r w:rsidRPr="00F717FF">
        <w:rPr>
          <w:rFonts w:ascii="Times New Roman" w:hAnsi="Times New Roman"/>
          <w:sz w:val="26"/>
          <w:szCs w:val="26"/>
        </w:rPr>
        <w:t>Supporting Statement</w:t>
      </w:r>
    </w:p>
    <w:p w14:paraId="5064E2EC" w14:textId="190846B5" w:rsidR="003D4104" w:rsidRPr="00F717FF" w:rsidRDefault="00913660" w:rsidP="008F4F57">
      <w:pPr>
        <w:spacing w:after="0" w:line="240" w:lineRule="auto"/>
        <w:jc w:val="center"/>
        <w:rPr>
          <w:rFonts w:ascii="Times New Roman" w:hAnsi="Times New Roman"/>
          <w:b/>
          <w:sz w:val="26"/>
          <w:szCs w:val="26"/>
        </w:rPr>
      </w:pPr>
      <w:r w:rsidRPr="00F717FF">
        <w:rPr>
          <w:rFonts w:ascii="Times New Roman" w:hAnsi="Times New Roman"/>
          <w:b/>
          <w:sz w:val="26"/>
          <w:szCs w:val="26"/>
        </w:rPr>
        <w:t>FERC-537 (Gas Pipeline Certificates: Construction, Acquisition and Abandonment),</w:t>
      </w:r>
      <w:r w:rsidR="00D159C5" w:rsidRPr="00F717FF">
        <w:rPr>
          <w:rStyle w:val="FootnoteReference"/>
          <w:rFonts w:ascii="Times New Roman" w:hAnsi="Times New Roman"/>
          <w:sz w:val="26"/>
          <w:szCs w:val="26"/>
          <w:vertAlign w:val="superscript"/>
        </w:rPr>
        <w:footnoteReference w:id="2"/>
      </w:r>
      <w:r w:rsidRPr="00F717FF">
        <w:rPr>
          <w:rFonts w:ascii="Times New Roman" w:hAnsi="Times New Roman"/>
          <w:sz w:val="26"/>
          <w:szCs w:val="26"/>
          <w:vertAlign w:val="superscript"/>
        </w:rPr>
        <w:t xml:space="preserve"> </w:t>
      </w:r>
    </w:p>
    <w:p w14:paraId="178EA28B" w14:textId="291B5B16" w:rsidR="00ED6128" w:rsidRPr="00F717FF" w:rsidRDefault="00913660" w:rsidP="008F4F57">
      <w:pPr>
        <w:spacing w:after="0" w:line="240" w:lineRule="auto"/>
        <w:jc w:val="center"/>
        <w:rPr>
          <w:rFonts w:ascii="Times New Roman" w:hAnsi="Times New Roman"/>
          <w:b/>
          <w:sz w:val="26"/>
          <w:szCs w:val="26"/>
        </w:rPr>
      </w:pPr>
      <w:proofErr w:type="gramStart"/>
      <w:r w:rsidRPr="00F717FF">
        <w:rPr>
          <w:rFonts w:ascii="Times New Roman" w:hAnsi="Times New Roman"/>
          <w:b/>
          <w:sz w:val="26"/>
          <w:szCs w:val="26"/>
        </w:rPr>
        <w:t>as</w:t>
      </w:r>
      <w:proofErr w:type="gramEnd"/>
      <w:r w:rsidRPr="00F717FF">
        <w:rPr>
          <w:rFonts w:ascii="Times New Roman" w:hAnsi="Times New Roman"/>
          <w:b/>
          <w:sz w:val="26"/>
          <w:szCs w:val="26"/>
        </w:rPr>
        <w:t xml:space="preserve"> modified by the </w:t>
      </w:r>
      <w:r w:rsidR="005F4FDF" w:rsidRPr="00F717FF">
        <w:rPr>
          <w:rFonts w:ascii="Times New Roman" w:hAnsi="Times New Roman"/>
          <w:b/>
          <w:sz w:val="26"/>
          <w:szCs w:val="26"/>
        </w:rPr>
        <w:t xml:space="preserve">Final </w:t>
      </w:r>
      <w:r w:rsidR="00255D94" w:rsidRPr="00F717FF">
        <w:rPr>
          <w:rFonts w:ascii="Times New Roman" w:hAnsi="Times New Roman"/>
          <w:b/>
          <w:sz w:val="26"/>
          <w:szCs w:val="26"/>
        </w:rPr>
        <w:t>R</w:t>
      </w:r>
      <w:r w:rsidR="005F4FDF" w:rsidRPr="00F717FF">
        <w:rPr>
          <w:rFonts w:ascii="Times New Roman" w:hAnsi="Times New Roman"/>
          <w:b/>
          <w:sz w:val="26"/>
          <w:szCs w:val="26"/>
        </w:rPr>
        <w:t>ule in Docket Number</w:t>
      </w:r>
      <w:r w:rsidR="00ED6128" w:rsidRPr="00F717FF">
        <w:rPr>
          <w:rFonts w:ascii="Times New Roman" w:hAnsi="Times New Roman"/>
          <w:b/>
          <w:sz w:val="26"/>
          <w:szCs w:val="26"/>
        </w:rPr>
        <w:t xml:space="preserve"> RM12-11-00</w:t>
      </w:r>
      <w:r w:rsidR="00216D3B" w:rsidRPr="00F717FF">
        <w:rPr>
          <w:rFonts w:ascii="Times New Roman" w:hAnsi="Times New Roman"/>
          <w:b/>
          <w:sz w:val="26"/>
          <w:szCs w:val="26"/>
        </w:rPr>
        <w:t>3</w:t>
      </w:r>
    </w:p>
    <w:p w14:paraId="178EA28C" w14:textId="77777777" w:rsidR="00ED6128" w:rsidRPr="00F717FF" w:rsidRDefault="00ED6128" w:rsidP="008F4F57">
      <w:pPr>
        <w:spacing w:after="0" w:line="240" w:lineRule="auto"/>
        <w:jc w:val="center"/>
        <w:rPr>
          <w:rFonts w:ascii="Times New Roman" w:hAnsi="Times New Roman"/>
          <w:sz w:val="26"/>
          <w:szCs w:val="26"/>
        </w:rPr>
      </w:pPr>
    </w:p>
    <w:p w14:paraId="178EA28D" w14:textId="6DD637D3" w:rsidR="00ED6128" w:rsidRPr="00F717FF" w:rsidRDefault="00ED6128" w:rsidP="008F4F57">
      <w:pPr>
        <w:spacing w:after="0" w:line="240" w:lineRule="auto"/>
        <w:rPr>
          <w:rFonts w:ascii="Times New Roman" w:hAnsi="Times New Roman"/>
          <w:sz w:val="26"/>
          <w:szCs w:val="26"/>
        </w:rPr>
      </w:pPr>
      <w:r w:rsidRPr="00F717FF">
        <w:rPr>
          <w:rFonts w:ascii="Times New Roman" w:hAnsi="Times New Roman"/>
          <w:sz w:val="26"/>
          <w:szCs w:val="26"/>
        </w:rPr>
        <w:t>The Federal Energy Regulatory Commission (Commission or FERC</w:t>
      </w:r>
      <w:r w:rsidR="009A6C2C" w:rsidRPr="00F717FF">
        <w:rPr>
          <w:rFonts w:ascii="Times New Roman" w:hAnsi="Times New Roman"/>
          <w:sz w:val="26"/>
          <w:szCs w:val="26"/>
        </w:rPr>
        <w:t>)</w:t>
      </w:r>
      <w:r w:rsidRPr="00F717FF">
        <w:rPr>
          <w:rFonts w:ascii="Times New Roman" w:hAnsi="Times New Roman"/>
          <w:sz w:val="26"/>
          <w:szCs w:val="26"/>
        </w:rPr>
        <w:t xml:space="preserve"> requests that the Office of Management and Budget (OMB) review </w:t>
      </w:r>
      <w:r w:rsidR="009A6C2C" w:rsidRPr="00F717FF">
        <w:rPr>
          <w:rFonts w:ascii="Times New Roman" w:hAnsi="Times New Roman"/>
          <w:sz w:val="26"/>
          <w:szCs w:val="26"/>
        </w:rPr>
        <w:t xml:space="preserve">and approve </w:t>
      </w:r>
      <w:r w:rsidR="00913660" w:rsidRPr="00F717FF">
        <w:rPr>
          <w:rFonts w:ascii="Times New Roman" w:hAnsi="Times New Roman"/>
          <w:sz w:val="26"/>
          <w:szCs w:val="26"/>
        </w:rPr>
        <w:t>FERC-537</w:t>
      </w:r>
      <w:r w:rsidR="00B62644" w:rsidRPr="00F717FF">
        <w:rPr>
          <w:rFonts w:ascii="Times New Roman" w:hAnsi="Times New Roman"/>
          <w:sz w:val="26"/>
          <w:szCs w:val="26"/>
        </w:rPr>
        <w:t xml:space="preserve"> for three years</w:t>
      </w:r>
      <w:r w:rsidR="00913660" w:rsidRPr="00F717FF">
        <w:rPr>
          <w:rFonts w:ascii="Times New Roman" w:hAnsi="Times New Roman"/>
          <w:sz w:val="26"/>
          <w:szCs w:val="26"/>
        </w:rPr>
        <w:t xml:space="preserve">, </w:t>
      </w:r>
      <w:r w:rsidR="00D55210" w:rsidRPr="00F717FF">
        <w:rPr>
          <w:rFonts w:ascii="Times New Roman" w:hAnsi="Times New Roman"/>
          <w:sz w:val="26"/>
          <w:szCs w:val="26"/>
        </w:rPr>
        <w:t>as modified by</w:t>
      </w:r>
      <w:r w:rsidRPr="00F717FF">
        <w:rPr>
          <w:rFonts w:ascii="Times New Roman" w:hAnsi="Times New Roman"/>
          <w:sz w:val="26"/>
          <w:szCs w:val="26"/>
        </w:rPr>
        <w:t xml:space="preserve"> the </w:t>
      </w:r>
      <w:r w:rsidR="008268FC">
        <w:rPr>
          <w:rFonts w:ascii="Times New Roman" w:hAnsi="Times New Roman"/>
          <w:sz w:val="26"/>
          <w:szCs w:val="26"/>
        </w:rPr>
        <w:t>F</w:t>
      </w:r>
      <w:r w:rsidR="005F4FDF" w:rsidRPr="00F717FF">
        <w:rPr>
          <w:rFonts w:ascii="Times New Roman" w:hAnsi="Times New Roman"/>
          <w:sz w:val="26"/>
          <w:szCs w:val="26"/>
        </w:rPr>
        <w:t xml:space="preserve">inal </w:t>
      </w:r>
      <w:r w:rsidR="008268FC">
        <w:rPr>
          <w:rFonts w:ascii="Times New Roman" w:hAnsi="Times New Roman"/>
          <w:sz w:val="26"/>
          <w:szCs w:val="26"/>
        </w:rPr>
        <w:t>R</w:t>
      </w:r>
      <w:r w:rsidR="005F4FDF" w:rsidRPr="00F717FF">
        <w:rPr>
          <w:rFonts w:ascii="Times New Roman" w:hAnsi="Times New Roman"/>
          <w:sz w:val="26"/>
          <w:szCs w:val="26"/>
        </w:rPr>
        <w:t>ule</w:t>
      </w:r>
      <w:r w:rsidRPr="00F717FF">
        <w:rPr>
          <w:rFonts w:ascii="Times New Roman" w:hAnsi="Times New Roman"/>
          <w:sz w:val="26"/>
          <w:szCs w:val="26"/>
        </w:rPr>
        <w:t xml:space="preserve"> </w:t>
      </w:r>
      <w:r w:rsidR="00D55210" w:rsidRPr="00F717FF">
        <w:rPr>
          <w:rFonts w:ascii="Times New Roman" w:hAnsi="Times New Roman"/>
          <w:sz w:val="26"/>
          <w:szCs w:val="26"/>
        </w:rPr>
        <w:t xml:space="preserve">(Order 790-B) </w:t>
      </w:r>
      <w:r w:rsidRPr="00F717FF">
        <w:rPr>
          <w:rFonts w:ascii="Times New Roman" w:hAnsi="Times New Roman"/>
          <w:sz w:val="26"/>
          <w:szCs w:val="26"/>
        </w:rPr>
        <w:t>in Docket N</w:t>
      </w:r>
      <w:r w:rsidR="005F4FDF" w:rsidRPr="00F717FF">
        <w:rPr>
          <w:rFonts w:ascii="Times New Roman" w:hAnsi="Times New Roman"/>
          <w:sz w:val="26"/>
          <w:szCs w:val="26"/>
        </w:rPr>
        <w:t>umber</w:t>
      </w:r>
      <w:r w:rsidRPr="00F717FF">
        <w:rPr>
          <w:rFonts w:ascii="Times New Roman" w:hAnsi="Times New Roman"/>
          <w:sz w:val="26"/>
          <w:szCs w:val="26"/>
        </w:rPr>
        <w:t xml:space="preserve"> RM12-11</w:t>
      </w:r>
      <w:r w:rsidR="00216D3B" w:rsidRPr="00F717FF">
        <w:rPr>
          <w:rFonts w:ascii="Times New Roman" w:hAnsi="Times New Roman"/>
          <w:sz w:val="26"/>
          <w:szCs w:val="26"/>
        </w:rPr>
        <w:t>-003</w:t>
      </w:r>
      <w:r w:rsidRPr="00F717FF">
        <w:rPr>
          <w:rFonts w:ascii="Times New Roman" w:hAnsi="Times New Roman"/>
          <w:sz w:val="26"/>
          <w:szCs w:val="26"/>
        </w:rPr>
        <w:t>.</w:t>
      </w:r>
    </w:p>
    <w:p w14:paraId="178EA28E" w14:textId="77777777" w:rsidR="00ED6128" w:rsidRPr="00F717FF" w:rsidRDefault="00ED6128" w:rsidP="008F4F57">
      <w:pPr>
        <w:spacing w:after="0" w:line="240" w:lineRule="auto"/>
        <w:rPr>
          <w:rFonts w:ascii="Times New Roman" w:hAnsi="Times New Roman"/>
          <w:sz w:val="26"/>
          <w:szCs w:val="26"/>
        </w:rPr>
      </w:pPr>
    </w:p>
    <w:p w14:paraId="178EA28F"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CIRCUMSTANCES THAT MAKE THE COLLECTION OF INFORMATION NECESSARY</w:t>
      </w:r>
    </w:p>
    <w:p w14:paraId="55BE3425" w14:textId="77777777" w:rsidR="00D55210" w:rsidRPr="00F717FF" w:rsidRDefault="00D55210" w:rsidP="008F4F57">
      <w:pPr>
        <w:spacing w:after="0" w:line="240" w:lineRule="auto"/>
        <w:rPr>
          <w:rFonts w:ascii="Times New Roman" w:hAnsi="Times New Roman"/>
          <w:sz w:val="26"/>
          <w:szCs w:val="26"/>
        </w:rPr>
      </w:pPr>
    </w:p>
    <w:p w14:paraId="178EA296" w14:textId="159AC66F" w:rsidR="00ED6128" w:rsidRPr="00F717FF" w:rsidRDefault="00035FC4" w:rsidP="008F4F57">
      <w:pPr>
        <w:spacing w:after="0" w:line="240" w:lineRule="auto"/>
        <w:rPr>
          <w:rFonts w:ascii="Times New Roman" w:hAnsi="Times New Roman"/>
          <w:sz w:val="26"/>
          <w:szCs w:val="26"/>
        </w:rPr>
      </w:pPr>
      <w:r w:rsidRPr="00F717FF">
        <w:rPr>
          <w:rFonts w:ascii="Times New Roman" w:hAnsi="Times New Roman"/>
          <w:sz w:val="26"/>
          <w:szCs w:val="26"/>
        </w:rPr>
        <w:t xml:space="preserve">Under the Natural Gas Act (NGA) (Public Law 75-688) (15 U.S.C. 717-717w) a natural gas company must obtain FERC authorization to engage in the transportation of natural gas in interstate commerce, to undertake the construction or extension of any facilities, or to acquire or operate any such facilities or extensions in accordance with Section 7(c) of the NGA.  A natural gas company must also obtain FERC approval under Section 7(b) of the NGA prior to abandoning any jurisdictional facility or service.  Under the Natural Gas Policy Act (NGPA) (Public Law 96-621) interstate pipelines must also obtain FERC authorization for certain transportation arrangements.  If a certificate is granted, the natural gas company can engage in the interstate transportation of natural gas and construct, acquire, or operate facilities.  Conversely, approval of an abandonment application permits the pipeline to cease service and discontinue the operation of such facilities. </w:t>
      </w:r>
      <w:r w:rsidR="00146F76" w:rsidRPr="00F717FF">
        <w:rPr>
          <w:rFonts w:ascii="Times New Roman" w:hAnsi="Times New Roman"/>
          <w:sz w:val="26"/>
          <w:szCs w:val="26"/>
        </w:rPr>
        <w:t>(This order in RM12-11-003 is simplifying and clarifying the abandonment requirements.</w:t>
      </w:r>
      <w:r w:rsidR="00D54AD5" w:rsidRPr="00F717FF">
        <w:rPr>
          <w:rFonts w:ascii="Times New Roman" w:hAnsi="Times New Roman"/>
          <w:sz w:val="26"/>
          <w:szCs w:val="26"/>
        </w:rPr>
        <w:t xml:space="preserve">) </w:t>
      </w:r>
      <w:r w:rsidR="00146F76" w:rsidRPr="00F717FF">
        <w:rPr>
          <w:rFonts w:ascii="Times New Roman" w:hAnsi="Times New Roman"/>
          <w:sz w:val="26"/>
          <w:szCs w:val="26"/>
        </w:rPr>
        <w:t xml:space="preserve"> </w:t>
      </w:r>
      <w:r w:rsidRPr="00F717FF">
        <w:rPr>
          <w:rFonts w:ascii="Times New Roman" w:hAnsi="Times New Roman"/>
          <w:sz w:val="26"/>
          <w:szCs w:val="26"/>
        </w:rPr>
        <w:t xml:space="preserve"> Authorization under NGPA Section 311(a) allows the interstate or intrastate pipeline applicants to render certain transportation services. </w:t>
      </w:r>
    </w:p>
    <w:p w14:paraId="6E0277C8" w14:textId="77777777" w:rsidR="00867218" w:rsidRPr="00F717FF" w:rsidRDefault="00867218" w:rsidP="008F4F57">
      <w:pPr>
        <w:spacing w:after="0" w:line="240" w:lineRule="auto"/>
        <w:rPr>
          <w:rFonts w:ascii="Times New Roman" w:hAnsi="Times New Roman"/>
          <w:sz w:val="26"/>
          <w:szCs w:val="26"/>
        </w:rPr>
      </w:pPr>
    </w:p>
    <w:p w14:paraId="178EA297"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HOW, BY WHOM, AND FOR WHAT PURPOSE THE INFORMATION IS TO BE USED AND THE CONSEQUENCES OF NOT COLLECTING THE INFORMATION</w:t>
      </w:r>
    </w:p>
    <w:p w14:paraId="178EA298" w14:textId="77777777" w:rsidR="00ED6128" w:rsidRPr="00F717FF" w:rsidRDefault="00ED6128" w:rsidP="008F4F57">
      <w:pPr>
        <w:spacing w:after="0" w:line="240" w:lineRule="auto"/>
        <w:rPr>
          <w:rFonts w:ascii="Times New Roman" w:hAnsi="Times New Roman"/>
          <w:sz w:val="26"/>
          <w:szCs w:val="26"/>
        </w:rPr>
      </w:pPr>
    </w:p>
    <w:p w14:paraId="0CF1E2FB" w14:textId="77777777" w:rsidR="00146F76" w:rsidRPr="00F717FF" w:rsidRDefault="00146F76" w:rsidP="00146F76">
      <w:pPr>
        <w:spacing w:after="0" w:line="240" w:lineRule="auto"/>
        <w:rPr>
          <w:rFonts w:ascii="Times New Roman" w:hAnsi="Times New Roman"/>
          <w:sz w:val="26"/>
          <w:szCs w:val="26"/>
        </w:rPr>
      </w:pPr>
      <w:r w:rsidRPr="00F717FF">
        <w:rPr>
          <w:rFonts w:ascii="Times New Roman" w:hAnsi="Times New Roman"/>
          <w:b/>
          <w:sz w:val="26"/>
          <w:szCs w:val="26"/>
        </w:rPr>
        <w:t xml:space="preserve">Order 790-B in Docket RM12-11-003.  </w:t>
      </w:r>
      <w:r w:rsidRPr="00F717FF">
        <w:rPr>
          <w:rFonts w:ascii="Times New Roman" w:hAnsi="Times New Roman"/>
          <w:sz w:val="26"/>
          <w:szCs w:val="26"/>
        </w:rPr>
        <w:t xml:space="preserve">Order 790-B is revising the requirements to:  (1) provide pre-granted authority under new subsection 2.55(a)(3) to abandon or replace auxiliary facilities, subject to certain conditions; (2) permit auxiliary facilities that cannot meet the conditions for the pre-granted abandonment authority in new subsection 2.55(a)(3) to be abandoned under section 157.216 of the blanket certificate regulations, subject to those regulations’ requirements; and (3) permit replacement facilities constructed under section 2.55(b) of the regulations to be abandoned under section </w:t>
      </w:r>
      <w:r w:rsidRPr="00F717FF">
        <w:rPr>
          <w:rFonts w:ascii="Times New Roman" w:hAnsi="Times New Roman"/>
          <w:sz w:val="26"/>
          <w:szCs w:val="26"/>
        </w:rPr>
        <w:lastRenderedPageBreak/>
        <w:t>157.216 of the Part 157, Subpart F, blanket certificate regulations, subject to those regulations’ requirements.</w:t>
      </w:r>
    </w:p>
    <w:p w14:paraId="178EA29C" w14:textId="77777777" w:rsidR="00ED6128" w:rsidRPr="00F717FF" w:rsidRDefault="00ED6128" w:rsidP="008F4F57">
      <w:pPr>
        <w:spacing w:after="0" w:line="240" w:lineRule="auto"/>
        <w:rPr>
          <w:rFonts w:ascii="Times New Roman" w:hAnsi="Times New Roman"/>
          <w:sz w:val="26"/>
          <w:szCs w:val="26"/>
        </w:rPr>
      </w:pPr>
    </w:p>
    <w:p w14:paraId="4241E652" w14:textId="6126ECB3" w:rsidR="00146F76" w:rsidRPr="00F717FF" w:rsidRDefault="00DA70DC" w:rsidP="00DA70DC">
      <w:pPr>
        <w:spacing w:after="0" w:line="240" w:lineRule="auto"/>
        <w:rPr>
          <w:rFonts w:ascii="Times New Roman" w:hAnsi="Times New Roman"/>
          <w:sz w:val="26"/>
          <w:szCs w:val="26"/>
        </w:rPr>
      </w:pPr>
      <w:proofErr w:type="gramStart"/>
      <w:r w:rsidRPr="00F717FF">
        <w:rPr>
          <w:rFonts w:ascii="Times New Roman" w:hAnsi="Times New Roman"/>
          <w:b/>
          <w:sz w:val="26"/>
          <w:szCs w:val="26"/>
        </w:rPr>
        <w:t>FERC-537</w:t>
      </w:r>
      <w:r w:rsidR="00146F76" w:rsidRPr="00F717FF">
        <w:rPr>
          <w:rFonts w:ascii="Times New Roman" w:hAnsi="Times New Roman"/>
          <w:b/>
          <w:sz w:val="26"/>
          <w:szCs w:val="26"/>
        </w:rPr>
        <w:t>, in general</w:t>
      </w:r>
      <w:r w:rsidRPr="00F717FF">
        <w:rPr>
          <w:rFonts w:ascii="Times New Roman" w:hAnsi="Times New Roman"/>
          <w:b/>
          <w:sz w:val="26"/>
          <w:szCs w:val="26"/>
        </w:rPr>
        <w:t>.</w:t>
      </w:r>
      <w:proofErr w:type="gramEnd"/>
      <w:r w:rsidRPr="00F717FF">
        <w:rPr>
          <w:rFonts w:ascii="Times New Roman" w:hAnsi="Times New Roman"/>
          <w:b/>
          <w:sz w:val="26"/>
          <w:szCs w:val="26"/>
        </w:rPr>
        <w:t xml:space="preserve">  </w:t>
      </w:r>
      <w:r w:rsidRPr="00F717FF">
        <w:rPr>
          <w:rFonts w:ascii="Times New Roman" w:hAnsi="Times New Roman"/>
          <w:sz w:val="26"/>
          <w:szCs w:val="26"/>
        </w:rPr>
        <w:t xml:space="preserve">The natural gas companies file the necessary information with FERC so that the Commission can determine from the data if the requested certificate should be authorized.  The data required to be submitted in a normal certificate filing </w:t>
      </w:r>
      <w:r w:rsidR="00146F76" w:rsidRPr="00F717FF">
        <w:rPr>
          <w:rFonts w:ascii="Times New Roman" w:hAnsi="Times New Roman"/>
          <w:sz w:val="26"/>
          <w:szCs w:val="26"/>
        </w:rPr>
        <w:t>may include (depending on the circumstances and application):</w:t>
      </w:r>
      <w:r w:rsidRPr="00F717FF">
        <w:rPr>
          <w:rFonts w:ascii="Times New Roman" w:hAnsi="Times New Roman"/>
          <w:sz w:val="26"/>
          <w:szCs w:val="26"/>
        </w:rPr>
        <w:t xml:space="preserve"> </w:t>
      </w:r>
    </w:p>
    <w:p w14:paraId="75AAF7A8" w14:textId="77777777" w:rsidR="00146F76" w:rsidRPr="00F717FF" w:rsidRDefault="00146F76" w:rsidP="00DA70DC">
      <w:pPr>
        <w:spacing w:after="0" w:line="240" w:lineRule="auto"/>
        <w:rPr>
          <w:rFonts w:ascii="Times New Roman" w:hAnsi="Times New Roman"/>
          <w:sz w:val="26"/>
          <w:szCs w:val="26"/>
        </w:rPr>
      </w:pPr>
    </w:p>
    <w:p w14:paraId="5571BC04" w14:textId="77777777" w:rsidR="00146F76" w:rsidRPr="00F717FF" w:rsidRDefault="00DA70DC" w:rsidP="006B197F">
      <w:pPr>
        <w:pStyle w:val="ListParagraph"/>
        <w:numPr>
          <w:ilvl w:val="0"/>
          <w:numId w:val="10"/>
        </w:numPr>
        <w:spacing w:after="0" w:line="240" w:lineRule="auto"/>
        <w:rPr>
          <w:rFonts w:ascii="Times New Roman" w:hAnsi="Times New Roman"/>
          <w:sz w:val="26"/>
          <w:szCs w:val="26"/>
        </w:rPr>
      </w:pPr>
      <w:r w:rsidRPr="00F717FF">
        <w:rPr>
          <w:rFonts w:ascii="Times New Roman" w:hAnsi="Times New Roman"/>
          <w:sz w:val="26"/>
          <w:szCs w:val="26"/>
        </w:rPr>
        <w:t>identification of the company and responsible officials</w:t>
      </w:r>
    </w:p>
    <w:p w14:paraId="2650E15F" w14:textId="028E62FB" w:rsidR="00DA70DC" w:rsidRPr="00F717FF" w:rsidRDefault="00DA70DC" w:rsidP="006B197F">
      <w:pPr>
        <w:pStyle w:val="ListParagraph"/>
        <w:numPr>
          <w:ilvl w:val="0"/>
          <w:numId w:val="10"/>
        </w:numPr>
        <w:spacing w:after="0" w:line="240" w:lineRule="auto"/>
        <w:rPr>
          <w:rFonts w:ascii="Times New Roman" w:hAnsi="Times New Roman"/>
          <w:sz w:val="26"/>
          <w:szCs w:val="26"/>
        </w:rPr>
      </w:pPr>
      <w:r w:rsidRPr="00F717FF">
        <w:rPr>
          <w:rFonts w:ascii="Times New Roman" w:hAnsi="Times New Roman"/>
          <w:sz w:val="26"/>
          <w:szCs w:val="26"/>
        </w:rPr>
        <w:t>factors considered in the location of the facilities and the impact on the area for environmental considerations</w:t>
      </w:r>
    </w:p>
    <w:p w14:paraId="07E2D30E" w14:textId="77777777" w:rsidR="00DA70DC" w:rsidRPr="00F717FF" w:rsidRDefault="00DA70DC" w:rsidP="00DA70DC">
      <w:pPr>
        <w:pStyle w:val="ListParagraph"/>
        <w:numPr>
          <w:ilvl w:val="0"/>
          <w:numId w:val="10"/>
        </w:numPr>
        <w:spacing w:after="0" w:line="240" w:lineRule="auto"/>
        <w:rPr>
          <w:rFonts w:ascii="Times New Roman" w:hAnsi="Times New Roman"/>
          <w:sz w:val="26"/>
          <w:szCs w:val="26"/>
        </w:rPr>
      </w:pPr>
      <w:r w:rsidRPr="00F717FF">
        <w:rPr>
          <w:rFonts w:ascii="Times New Roman" w:hAnsi="Times New Roman"/>
          <w:sz w:val="26"/>
          <w:szCs w:val="26"/>
        </w:rPr>
        <w:t>Flow diagrams showing the design capacity for engineering design verification and safety determination;</w:t>
      </w:r>
    </w:p>
    <w:p w14:paraId="23C775E3" w14:textId="77777777" w:rsidR="00DA70DC" w:rsidRPr="00F717FF" w:rsidRDefault="00DA70DC" w:rsidP="00DA70DC">
      <w:pPr>
        <w:pStyle w:val="ListParagraph"/>
        <w:numPr>
          <w:ilvl w:val="0"/>
          <w:numId w:val="10"/>
        </w:numPr>
        <w:spacing w:after="0" w:line="240" w:lineRule="auto"/>
        <w:rPr>
          <w:rFonts w:ascii="Times New Roman" w:hAnsi="Times New Roman"/>
          <w:sz w:val="26"/>
          <w:szCs w:val="26"/>
        </w:rPr>
      </w:pPr>
      <w:r w:rsidRPr="00F717FF">
        <w:rPr>
          <w:rFonts w:ascii="Times New Roman" w:hAnsi="Times New Roman"/>
          <w:sz w:val="26"/>
          <w:szCs w:val="26"/>
        </w:rPr>
        <w:t>Cost of proposed facilities, plans for financing, and estimated revenues and expenses related to the proposed facility for accounting and financial evaluation.</w:t>
      </w:r>
    </w:p>
    <w:p w14:paraId="360248FA" w14:textId="77777777" w:rsidR="00DA70DC" w:rsidRPr="00F717FF" w:rsidRDefault="00DA70DC" w:rsidP="00DA70DC">
      <w:pPr>
        <w:pStyle w:val="ListParagraph"/>
        <w:numPr>
          <w:ilvl w:val="0"/>
          <w:numId w:val="10"/>
        </w:numPr>
        <w:spacing w:after="0" w:line="240" w:lineRule="auto"/>
        <w:rPr>
          <w:rFonts w:ascii="Times New Roman" w:hAnsi="Times New Roman"/>
          <w:sz w:val="26"/>
          <w:szCs w:val="26"/>
        </w:rPr>
      </w:pPr>
      <w:r w:rsidRPr="00F717FF">
        <w:rPr>
          <w:rFonts w:ascii="Times New Roman" w:hAnsi="Times New Roman"/>
          <w:sz w:val="26"/>
          <w:szCs w:val="26"/>
        </w:rPr>
        <w:t>Existing and proposed storage capacity and pressures and reservoir engineering studies for requests to increase storage capacity;</w:t>
      </w:r>
    </w:p>
    <w:p w14:paraId="21083E3B" w14:textId="5D5CEAEA" w:rsidR="00146F76" w:rsidRPr="00F717FF" w:rsidRDefault="00146F76" w:rsidP="00DA70DC">
      <w:pPr>
        <w:pStyle w:val="ListParagraph"/>
        <w:numPr>
          <w:ilvl w:val="0"/>
          <w:numId w:val="10"/>
        </w:numPr>
        <w:spacing w:after="0" w:line="240" w:lineRule="auto"/>
        <w:rPr>
          <w:rFonts w:ascii="Times New Roman" w:hAnsi="Times New Roman"/>
          <w:sz w:val="26"/>
          <w:szCs w:val="26"/>
        </w:rPr>
      </w:pPr>
      <w:r w:rsidRPr="00F717FF">
        <w:rPr>
          <w:rFonts w:ascii="Times New Roman" w:hAnsi="Times New Roman"/>
          <w:sz w:val="26"/>
          <w:szCs w:val="26"/>
        </w:rPr>
        <w:t>Engineering drawings;</w:t>
      </w:r>
    </w:p>
    <w:p w14:paraId="10B66B8D" w14:textId="77777777" w:rsidR="00DA70DC" w:rsidRPr="00F717FF" w:rsidRDefault="00DA70DC" w:rsidP="00DA70DC">
      <w:pPr>
        <w:pStyle w:val="ListParagraph"/>
        <w:numPr>
          <w:ilvl w:val="0"/>
          <w:numId w:val="10"/>
        </w:numPr>
        <w:spacing w:after="0" w:line="240" w:lineRule="auto"/>
        <w:rPr>
          <w:rFonts w:ascii="Times New Roman" w:hAnsi="Times New Roman"/>
          <w:sz w:val="26"/>
          <w:szCs w:val="26"/>
        </w:rPr>
      </w:pPr>
      <w:r w:rsidRPr="00F717FF">
        <w:rPr>
          <w:rFonts w:ascii="Times New Roman" w:hAnsi="Times New Roman"/>
          <w:sz w:val="26"/>
          <w:szCs w:val="26"/>
        </w:rPr>
        <w:t>An affidavit showing the consent of existing customers for abandonment of service requests.</w:t>
      </w:r>
    </w:p>
    <w:p w14:paraId="4148B3B3" w14:textId="77777777" w:rsidR="00DA70DC" w:rsidRPr="00F717FF" w:rsidRDefault="00DA70DC" w:rsidP="00DA70DC">
      <w:pPr>
        <w:pStyle w:val="ListParagraph"/>
        <w:spacing w:after="0" w:line="240" w:lineRule="auto"/>
        <w:rPr>
          <w:rFonts w:ascii="Times New Roman" w:hAnsi="Times New Roman"/>
          <w:sz w:val="26"/>
          <w:szCs w:val="26"/>
        </w:rPr>
      </w:pPr>
    </w:p>
    <w:p w14:paraId="1D22ABB4" w14:textId="77777777" w:rsidR="00DA70DC" w:rsidRPr="00F717FF" w:rsidRDefault="00DA70DC" w:rsidP="00DA70DC">
      <w:pPr>
        <w:spacing w:after="0" w:line="240" w:lineRule="auto"/>
        <w:rPr>
          <w:rFonts w:ascii="Times New Roman" w:hAnsi="Times New Roman"/>
          <w:sz w:val="26"/>
          <w:szCs w:val="26"/>
        </w:rPr>
      </w:pPr>
      <w:r w:rsidRPr="00F717FF">
        <w:rPr>
          <w:rFonts w:ascii="Times New Roman" w:hAnsi="Times New Roman"/>
          <w:sz w:val="26"/>
          <w:szCs w:val="26"/>
        </w:rPr>
        <w:t>In addition, requests for an increase of pipeline capacity must include a statement that demonstrates compliance with the Commission’s Certificate Policy Statement by making a showing that the cost of the expansion will not be subsidized by existing customers and that there will not be adverse economic impacts to existing customers, competing pipelines or their customers, or to landowners and surrounding communities.</w:t>
      </w:r>
    </w:p>
    <w:p w14:paraId="203F5101" w14:textId="77777777" w:rsidR="00DA70DC" w:rsidRPr="00F717FF" w:rsidRDefault="00DA70DC" w:rsidP="00DA70DC">
      <w:pPr>
        <w:spacing w:after="0" w:line="240" w:lineRule="auto"/>
        <w:rPr>
          <w:rFonts w:ascii="Times New Roman" w:hAnsi="Times New Roman"/>
          <w:sz w:val="26"/>
          <w:szCs w:val="26"/>
        </w:rPr>
      </w:pPr>
    </w:p>
    <w:p w14:paraId="5621CB6A" w14:textId="77777777" w:rsidR="00DA70DC" w:rsidRPr="00F717FF" w:rsidRDefault="00DA70DC" w:rsidP="00DA70DC">
      <w:pPr>
        <w:spacing w:after="0" w:line="240" w:lineRule="auto"/>
        <w:rPr>
          <w:rFonts w:ascii="Times New Roman" w:hAnsi="Times New Roman"/>
          <w:sz w:val="26"/>
          <w:szCs w:val="26"/>
        </w:rPr>
      </w:pPr>
      <w:r w:rsidRPr="00F717FF">
        <w:rPr>
          <w:rFonts w:ascii="Times New Roman" w:hAnsi="Times New Roman"/>
          <w:sz w:val="26"/>
          <w:szCs w:val="26"/>
        </w:rPr>
        <w:t xml:space="preserve">Because of the greater demand for natural gas as seen in rapidly evolving market conditions, FERC established in FY ’99 a performance plan to process cases as efficiently as possible.  The Commission grouped certificate applications by the level of effort required to respond to the applications and established clear targets for the time it should take to process each type of application.  </w:t>
      </w:r>
    </w:p>
    <w:p w14:paraId="178EA2A4" w14:textId="4A597EB4" w:rsidR="00ED6128" w:rsidRPr="00F717FF" w:rsidRDefault="00ED6128" w:rsidP="008F4F57">
      <w:pPr>
        <w:spacing w:after="0" w:line="240" w:lineRule="auto"/>
        <w:rPr>
          <w:rFonts w:ascii="Times New Roman" w:hAnsi="Times New Roman"/>
          <w:sz w:val="26"/>
          <w:szCs w:val="26"/>
        </w:rPr>
      </w:pPr>
    </w:p>
    <w:p w14:paraId="178EA2A5"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DESCRIBE ANY CONSIDERATION OF THE USE OF IMPROVED INFORMATION TECHNOLOGY TO REDUCE THE BURDEN AND TECHNICAL OR LEGAL OBSTACLES TO REDUCING BURDEN</w:t>
      </w:r>
    </w:p>
    <w:p w14:paraId="178EA2A6" w14:textId="77777777" w:rsidR="00ED6128" w:rsidRPr="00F717FF" w:rsidRDefault="00ED6128" w:rsidP="008F4F57">
      <w:pPr>
        <w:spacing w:after="0" w:line="240" w:lineRule="auto"/>
        <w:rPr>
          <w:rFonts w:ascii="Times New Roman" w:hAnsi="Times New Roman"/>
          <w:sz w:val="26"/>
          <w:szCs w:val="26"/>
        </w:rPr>
      </w:pPr>
    </w:p>
    <w:p w14:paraId="178EA2A7" w14:textId="4D8C8E53" w:rsidR="00ED6128" w:rsidRPr="00F717FF" w:rsidRDefault="00ED6128" w:rsidP="008F4F57">
      <w:pPr>
        <w:spacing w:after="0" w:line="240" w:lineRule="auto"/>
        <w:rPr>
          <w:rFonts w:ascii="Times New Roman" w:hAnsi="Times New Roman"/>
          <w:sz w:val="26"/>
          <w:szCs w:val="26"/>
        </w:rPr>
      </w:pPr>
      <w:r w:rsidRPr="00F717FF">
        <w:rPr>
          <w:rFonts w:ascii="Times New Roman" w:hAnsi="Times New Roman"/>
          <w:sz w:val="26"/>
          <w:szCs w:val="26"/>
        </w:rPr>
        <w:t xml:space="preserve">There is an ongoing </w:t>
      </w:r>
      <w:r w:rsidR="00156BF8" w:rsidRPr="00F717FF">
        <w:rPr>
          <w:rFonts w:ascii="Times New Roman" w:hAnsi="Times New Roman"/>
          <w:sz w:val="26"/>
          <w:szCs w:val="26"/>
        </w:rPr>
        <w:t xml:space="preserve">FERC </w:t>
      </w:r>
      <w:r w:rsidRPr="00F717FF">
        <w:rPr>
          <w:rFonts w:ascii="Times New Roman" w:hAnsi="Times New Roman"/>
          <w:sz w:val="26"/>
          <w:szCs w:val="26"/>
        </w:rPr>
        <w:t xml:space="preserve">effort to increase the use of improved information technology </w:t>
      </w:r>
      <w:r w:rsidR="00251F59" w:rsidRPr="00F717FF">
        <w:rPr>
          <w:rFonts w:ascii="Times New Roman" w:hAnsi="Times New Roman"/>
          <w:sz w:val="26"/>
          <w:szCs w:val="26"/>
        </w:rPr>
        <w:t xml:space="preserve">in order </w:t>
      </w:r>
      <w:r w:rsidRPr="00F717FF">
        <w:rPr>
          <w:rFonts w:ascii="Times New Roman" w:hAnsi="Times New Roman"/>
          <w:sz w:val="26"/>
          <w:szCs w:val="26"/>
        </w:rPr>
        <w:t xml:space="preserve">to reduce the compliance burden.  The </w:t>
      </w:r>
      <w:r w:rsidR="00CC468A" w:rsidRPr="00F717FF">
        <w:rPr>
          <w:rFonts w:ascii="Times New Roman" w:hAnsi="Times New Roman"/>
          <w:sz w:val="26"/>
          <w:szCs w:val="26"/>
        </w:rPr>
        <w:t xml:space="preserve">FERC-537 </w:t>
      </w:r>
      <w:r w:rsidRPr="00F717FF">
        <w:rPr>
          <w:rFonts w:ascii="Times New Roman" w:hAnsi="Times New Roman"/>
          <w:sz w:val="26"/>
          <w:szCs w:val="26"/>
        </w:rPr>
        <w:t xml:space="preserve">materials may be </w:t>
      </w:r>
      <w:proofErr w:type="spellStart"/>
      <w:r w:rsidRPr="00F717FF">
        <w:rPr>
          <w:rFonts w:ascii="Times New Roman" w:hAnsi="Times New Roman"/>
          <w:sz w:val="26"/>
          <w:szCs w:val="26"/>
        </w:rPr>
        <w:t>eFiled</w:t>
      </w:r>
      <w:proofErr w:type="spellEnd"/>
      <w:r w:rsidRPr="00F717FF">
        <w:rPr>
          <w:rFonts w:ascii="Times New Roman" w:hAnsi="Times New Roman"/>
          <w:sz w:val="26"/>
          <w:szCs w:val="26"/>
        </w:rPr>
        <w:t xml:space="preserve"> </w:t>
      </w:r>
      <w:r w:rsidRPr="00F717FF">
        <w:rPr>
          <w:rFonts w:ascii="Times New Roman" w:hAnsi="Times New Roman"/>
          <w:sz w:val="26"/>
          <w:szCs w:val="26"/>
        </w:rPr>
        <w:lastRenderedPageBreak/>
        <w:t xml:space="preserve">through FERC’s </w:t>
      </w:r>
      <w:proofErr w:type="spellStart"/>
      <w:r w:rsidRPr="00F717FF">
        <w:rPr>
          <w:rFonts w:ascii="Times New Roman" w:hAnsi="Times New Roman"/>
          <w:sz w:val="26"/>
          <w:szCs w:val="26"/>
        </w:rPr>
        <w:t>eFiling</w:t>
      </w:r>
      <w:proofErr w:type="spellEnd"/>
      <w:r w:rsidRPr="00F717FF">
        <w:rPr>
          <w:rFonts w:ascii="Times New Roman" w:hAnsi="Times New Roman"/>
          <w:sz w:val="26"/>
          <w:szCs w:val="26"/>
        </w:rPr>
        <w:t xml:space="preserve"> system.  [See </w:t>
      </w:r>
      <w:hyperlink r:id="rId13" w:history="1">
        <w:r w:rsidRPr="00F717FF">
          <w:rPr>
            <w:rStyle w:val="Hyperlink"/>
            <w:rFonts w:ascii="Times New Roman" w:hAnsi="Times New Roman"/>
            <w:sz w:val="26"/>
            <w:szCs w:val="26"/>
          </w:rPr>
          <w:t>http://www.ferc.gov/docs-filing/efiling/filing.pdf</w:t>
        </w:r>
      </w:hyperlink>
      <w:r w:rsidRPr="00F717FF">
        <w:rPr>
          <w:rFonts w:ascii="Times New Roman" w:hAnsi="Times New Roman"/>
          <w:sz w:val="26"/>
          <w:szCs w:val="26"/>
        </w:rPr>
        <w:t xml:space="preserve"> for more information.]</w:t>
      </w:r>
    </w:p>
    <w:p w14:paraId="178EA2A8" w14:textId="77777777" w:rsidR="00ED6128" w:rsidRPr="00F717FF" w:rsidRDefault="00ED6128" w:rsidP="008F4F57">
      <w:pPr>
        <w:spacing w:after="0" w:line="240" w:lineRule="auto"/>
        <w:rPr>
          <w:rFonts w:ascii="Times New Roman" w:hAnsi="Times New Roman"/>
          <w:sz w:val="26"/>
          <w:szCs w:val="26"/>
        </w:rPr>
      </w:pPr>
    </w:p>
    <w:p w14:paraId="178EA2A9" w14:textId="3078E20F" w:rsidR="00ED6128" w:rsidRPr="00F717FF" w:rsidRDefault="00DF1822" w:rsidP="008F4F57">
      <w:pPr>
        <w:spacing w:after="0" w:line="240" w:lineRule="auto"/>
        <w:rPr>
          <w:rFonts w:ascii="Times New Roman" w:hAnsi="Times New Roman"/>
          <w:sz w:val="26"/>
          <w:szCs w:val="26"/>
        </w:rPr>
      </w:pPr>
      <w:r w:rsidRPr="00F717FF">
        <w:rPr>
          <w:rFonts w:ascii="Times New Roman" w:hAnsi="Times New Roman"/>
          <w:sz w:val="26"/>
          <w:szCs w:val="26"/>
        </w:rPr>
        <w:t>The</w:t>
      </w:r>
      <w:r w:rsidR="00ED6128" w:rsidRPr="00F717FF">
        <w:rPr>
          <w:rFonts w:ascii="Times New Roman" w:hAnsi="Times New Roman"/>
          <w:sz w:val="26"/>
          <w:szCs w:val="26"/>
        </w:rPr>
        <w:t xml:space="preserve"> majority of the application filings made in accordance with sections 7(</w:t>
      </w:r>
      <w:r w:rsidR="00601CDD">
        <w:rPr>
          <w:rFonts w:ascii="Times New Roman" w:hAnsi="Times New Roman"/>
          <w:sz w:val="26"/>
          <w:szCs w:val="26"/>
        </w:rPr>
        <w:t>b</w:t>
      </w:r>
      <w:r w:rsidR="00ED6128" w:rsidRPr="00F717FF">
        <w:rPr>
          <w:rFonts w:ascii="Times New Roman" w:hAnsi="Times New Roman"/>
          <w:sz w:val="26"/>
          <w:szCs w:val="26"/>
        </w:rPr>
        <w:t>) and 7(c) are filed electronically.  However, due to the complexity of the exhibits, maps, and projects</w:t>
      </w:r>
      <w:r w:rsidR="00D54AD5" w:rsidRPr="00F717FF">
        <w:rPr>
          <w:rFonts w:ascii="Times New Roman" w:hAnsi="Times New Roman"/>
          <w:sz w:val="26"/>
          <w:szCs w:val="26"/>
        </w:rPr>
        <w:t xml:space="preserve"> and distances covered by the project</w:t>
      </w:r>
      <w:r w:rsidR="00ED6128" w:rsidRPr="00F717FF">
        <w:rPr>
          <w:rFonts w:ascii="Times New Roman" w:hAnsi="Times New Roman"/>
          <w:sz w:val="26"/>
          <w:szCs w:val="26"/>
        </w:rPr>
        <w:t>, for some of the filings, up to three additional paper copies may be required for staff review, processing, and collaboration.  As additional uses of information technology (including geospatial information systems) are implemented, FERC may be able to reduce or eliminate the need for the additional paper copies.</w:t>
      </w:r>
    </w:p>
    <w:p w14:paraId="178EA2AA" w14:textId="77777777" w:rsidR="00ED6128" w:rsidRPr="00F717FF" w:rsidRDefault="00ED6128" w:rsidP="008F4F57">
      <w:pPr>
        <w:spacing w:after="0" w:line="240" w:lineRule="auto"/>
        <w:rPr>
          <w:rFonts w:ascii="Times New Roman" w:hAnsi="Times New Roman"/>
          <w:sz w:val="26"/>
          <w:szCs w:val="26"/>
        </w:rPr>
      </w:pPr>
    </w:p>
    <w:p w14:paraId="178EA2AC" w14:textId="4AC5C616" w:rsidR="00ED6128" w:rsidRPr="00F717FF" w:rsidRDefault="00D54AD5" w:rsidP="008F4F57">
      <w:pPr>
        <w:spacing w:after="0" w:line="240" w:lineRule="auto"/>
        <w:rPr>
          <w:rFonts w:ascii="Times New Roman" w:hAnsi="Times New Roman"/>
          <w:sz w:val="26"/>
          <w:szCs w:val="26"/>
        </w:rPr>
      </w:pPr>
      <w:r w:rsidRPr="00F717FF">
        <w:rPr>
          <w:rFonts w:ascii="Times New Roman" w:hAnsi="Times New Roman"/>
          <w:sz w:val="26"/>
          <w:szCs w:val="26"/>
        </w:rPr>
        <w:t>Order 790-B is simplifying the reporting requirements and corresponding burden.</w:t>
      </w:r>
    </w:p>
    <w:p w14:paraId="3CA7535D" w14:textId="77777777" w:rsidR="00E84DB1" w:rsidRPr="00F717FF" w:rsidRDefault="00E84DB1" w:rsidP="008F4F57">
      <w:pPr>
        <w:spacing w:after="0" w:line="240" w:lineRule="auto"/>
        <w:rPr>
          <w:rFonts w:ascii="Times New Roman" w:hAnsi="Times New Roman"/>
          <w:sz w:val="26"/>
          <w:szCs w:val="26"/>
        </w:rPr>
      </w:pPr>
    </w:p>
    <w:p w14:paraId="178EA2AD" w14:textId="7A35861A"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DESCRIBE EFFORTS TO IDENTIF</w:t>
      </w:r>
      <w:r w:rsidR="000D780E" w:rsidRPr="00F717FF">
        <w:rPr>
          <w:rFonts w:ascii="Times New Roman" w:hAnsi="Times New Roman"/>
          <w:b/>
          <w:sz w:val="26"/>
          <w:szCs w:val="26"/>
        </w:rPr>
        <w:t>Y</w:t>
      </w:r>
      <w:r w:rsidRPr="00F717FF">
        <w:rPr>
          <w:rFonts w:ascii="Times New Roman" w:hAnsi="Times New Roman"/>
          <w:b/>
          <w:sz w:val="26"/>
          <w:szCs w:val="26"/>
        </w:rPr>
        <w:t xml:space="preserve"> DUPLICATION AND SHOW SPECIFICALLY WHY ANY SIMILAR INFORMATION ALREADY AVAILABLE CANNOT BE USED OR MODIFIED FOR USE FOR THE PURPOSE(S) DESCRIBED IN INSTRUCTION NO. 2</w:t>
      </w:r>
    </w:p>
    <w:p w14:paraId="178EA2AE" w14:textId="77777777" w:rsidR="00ED6128" w:rsidRPr="00F717FF" w:rsidRDefault="00ED6128" w:rsidP="008F4F57">
      <w:pPr>
        <w:spacing w:after="0" w:line="240" w:lineRule="auto"/>
        <w:rPr>
          <w:rFonts w:ascii="Times New Roman" w:hAnsi="Times New Roman"/>
          <w:sz w:val="26"/>
          <w:szCs w:val="26"/>
        </w:rPr>
      </w:pPr>
    </w:p>
    <w:p w14:paraId="178EA2AF" w14:textId="767157F1" w:rsidR="00ED6128" w:rsidRPr="00F717FF" w:rsidRDefault="00ED6128" w:rsidP="008F4F57">
      <w:pPr>
        <w:spacing w:after="0" w:line="240" w:lineRule="auto"/>
        <w:rPr>
          <w:rFonts w:ascii="Times New Roman" w:hAnsi="Times New Roman"/>
          <w:sz w:val="26"/>
          <w:szCs w:val="26"/>
        </w:rPr>
      </w:pPr>
      <w:r w:rsidRPr="00F717FF">
        <w:rPr>
          <w:rFonts w:ascii="Times New Roman" w:hAnsi="Times New Roman"/>
          <w:sz w:val="26"/>
          <w:szCs w:val="26"/>
        </w:rPr>
        <w:t xml:space="preserve">Filing requirements are periodically reviewed as information collection expiration dates arise or as the Commission may deem necessary in carrying out its regulatory responsibilities under the NGA in an effort to alleviate duplication.  All Commission information collections are subject to analysis by Commission staff and are examined for redundancy.  There is no other source of this information.  </w:t>
      </w:r>
    </w:p>
    <w:p w14:paraId="178EA2B0" w14:textId="77777777" w:rsidR="00ED6128" w:rsidRPr="00F717FF" w:rsidRDefault="00ED6128" w:rsidP="008F4F57">
      <w:pPr>
        <w:spacing w:after="0" w:line="240" w:lineRule="auto"/>
        <w:rPr>
          <w:rFonts w:ascii="Times New Roman" w:hAnsi="Times New Roman"/>
          <w:sz w:val="26"/>
          <w:szCs w:val="26"/>
        </w:rPr>
      </w:pPr>
    </w:p>
    <w:p w14:paraId="178EA2B1"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METHODS USED TO MINIMIZE THE BURDEN IN COLLECTION OF INFORMATION INVOLVING SMALL ENTITIES</w:t>
      </w:r>
    </w:p>
    <w:p w14:paraId="178EA2B2" w14:textId="77777777" w:rsidR="00ED6128" w:rsidRPr="00F717FF" w:rsidRDefault="00ED6128" w:rsidP="008F4F57">
      <w:pPr>
        <w:spacing w:after="0" w:line="240" w:lineRule="auto"/>
        <w:rPr>
          <w:rFonts w:ascii="Times New Roman" w:hAnsi="Times New Roman"/>
          <w:sz w:val="26"/>
          <w:szCs w:val="26"/>
        </w:rPr>
      </w:pPr>
    </w:p>
    <w:p w14:paraId="178EA2B3" w14:textId="336E1927" w:rsidR="00ED6128" w:rsidRPr="00F717FF" w:rsidRDefault="00ED6128" w:rsidP="008F4F57">
      <w:pPr>
        <w:spacing w:after="0" w:line="240" w:lineRule="auto"/>
        <w:rPr>
          <w:rFonts w:ascii="Times New Roman" w:hAnsi="Times New Roman"/>
          <w:sz w:val="26"/>
          <w:szCs w:val="26"/>
        </w:rPr>
      </w:pPr>
      <w:r w:rsidRPr="00F717FF">
        <w:rPr>
          <w:rFonts w:ascii="Times New Roman" w:hAnsi="Times New Roman"/>
          <w:sz w:val="26"/>
          <w:szCs w:val="26"/>
        </w:rPr>
        <w:t xml:space="preserve">There are no special provisions or methods for reducing burden on any small entities.  </w:t>
      </w:r>
      <w:r w:rsidR="006B197F" w:rsidRPr="00F717FF">
        <w:rPr>
          <w:rFonts w:ascii="Times New Roman" w:hAnsi="Times New Roman"/>
          <w:sz w:val="26"/>
          <w:szCs w:val="26"/>
        </w:rPr>
        <w:t xml:space="preserve"> </w:t>
      </w:r>
      <w:r w:rsidR="00E84DB1" w:rsidRPr="00F717FF">
        <w:rPr>
          <w:rFonts w:ascii="Times New Roman" w:hAnsi="Times New Roman"/>
          <w:sz w:val="26"/>
          <w:szCs w:val="26"/>
        </w:rPr>
        <w:t xml:space="preserve">For natural gas companies of all sizes, </w:t>
      </w:r>
      <w:r w:rsidR="006B197F" w:rsidRPr="00F717FF">
        <w:rPr>
          <w:rFonts w:ascii="Times New Roman" w:hAnsi="Times New Roman"/>
          <w:sz w:val="26"/>
          <w:szCs w:val="26"/>
        </w:rPr>
        <w:t xml:space="preserve">Order 790-B is simplifying the requirements associated with </w:t>
      </w:r>
      <w:r w:rsidR="00E84DB1" w:rsidRPr="00F717FF">
        <w:rPr>
          <w:rFonts w:ascii="Times New Roman" w:hAnsi="Times New Roman"/>
          <w:sz w:val="26"/>
          <w:szCs w:val="26"/>
        </w:rPr>
        <w:t xml:space="preserve">certain </w:t>
      </w:r>
      <w:r w:rsidR="006B197F" w:rsidRPr="00F717FF">
        <w:rPr>
          <w:rFonts w:ascii="Times New Roman" w:hAnsi="Times New Roman"/>
          <w:sz w:val="26"/>
          <w:szCs w:val="26"/>
        </w:rPr>
        <w:t xml:space="preserve">applications </w:t>
      </w:r>
      <w:r w:rsidR="00E84DB1" w:rsidRPr="00F717FF">
        <w:rPr>
          <w:rFonts w:ascii="Times New Roman" w:hAnsi="Times New Roman"/>
          <w:sz w:val="26"/>
          <w:szCs w:val="26"/>
        </w:rPr>
        <w:t>for abandonment</w:t>
      </w:r>
      <w:r w:rsidR="00035F72">
        <w:rPr>
          <w:rFonts w:ascii="Times New Roman" w:hAnsi="Times New Roman"/>
          <w:sz w:val="26"/>
          <w:szCs w:val="26"/>
        </w:rPr>
        <w:t xml:space="preserve"> activities</w:t>
      </w:r>
      <w:r w:rsidR="00E84DB1" w:rsidRPr="00F717FF">
        <w:rPr>
          <w:rFonts w:ascii="Times New Roman" w:hAnsi="Times New Roman"/>
          <w:sz w:val="26"/>
          <w:szCs w:val="26"/>
        </w:rPr>
        <w:t xml:space="preserve">. </w:t>
      </w:r>
    </w:p>
    <w:p w14:paraId="178EA2B4" w14:textId="77777777" w:rsidR="00ED6128" w:rsidRPr="00F717FF" w:rsidRDefault="00ED6128" w:rsidP="008F4F57">
      <w:pPr>
        <w:spacing w:after="0" w:line="240" w:lineRule="auto"/>
        <w:rPr>
          <w:rFonts w:ascii="Times New Roman" w:hAnsi="Times New Roman"/>
          <w:sz w:val="26"/>
          <w:szCs w:val="26"/>
        </w:rPr>
      </w:pPr>
    </w:p>
    <w:p w14:paraId="178EA2B5"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CONSEQUENCE TO FEDERAL PROGRAM IF COLLECTION WERE CONDUCTED LESS FREQUENTLY</w:t>
      </w:r>
    </w:p>
    <w:p w14:paraId="178EA2B6" w14:textId="77777777" w:rsidR="00ED6128" w:rsidRPr="00F717FF" w:rsidRDefault="00ED6128" w:rsidP="008F4F57">
      <w:pPr>
        <w:spacing w:after="0" w:line="240" w:lineRule="auto"/>
        <w:rPr>
          <w:rFonts w:ascii="Times New Roman" w:hAnsi="Times New Roman"/>
          <w:sz w:val="26"/>
          <w:szCs w:val="26"/>
        </w:rPr>
      </w:pPr>
    </w:p>
    <w:p w14:paraId="178EA2BB" w14:textId="19CDA54A" w:rsidR="00ED6128" w:rsidRPr="00F717FF" w:rsidRDefault="006B197F" w:rsidP="008F4F57">
      <w:pPr>
        <w:spacing w:after="0" w:line="240" w:lineRule="auto"/>
        <w:rPr>
          <w:rFonts w:ascii="Times New Roman" w:hAnsi="Times New Roman"/>
          <w:sz w:val="26"/>
          <w:szCs w:val="26"/>
        </w:rPr>
      </w:pPr>
      <w:r w:rsidRPr="00F717FF">
        <w:rPr>
          <w:rFonts w:ascii="Times New Roman" w:hAnsi="Times New Roman"/>
          <w:sz w:val="26"/>
          <w:szCs w:val="26"/>
        </w:rPr>
        <w:t>This order is reducing the requirements and instituting pre-granted abandonments in some situations.</w:t>
      </w:r>
    </w:p>
    <w:p w14:paraId="178EA2BC" w14:textId="77777777" w:rsidR="00ED6128" w:rsidRPr="00F717FF" w:rsidRDefault="00ED6128" w:rsidP="008F4F57">
      <w:pPr>
        <w:spacing w:after="0" w:line="240" w:lineRule="auto"/>
        <w:rPr>
          <w:rFonts w:ascii="Times New Roman" w:hAnsi="Times New Roman"/>
          <w:sz w:val="26"/>
          <w:szCs w:val="26"/>
        </w:rPr>
      </w:pPr>
    </w:p>
    <w:p w14:paraId="178EA2BD"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EXPLAIN ANY SPECIAL CIRCUMSTANCES RELATING TO THE INFORMATION COLLECTION</w:t>
      </w:r>
    </w:p>
    <w:p w14:paraId="178EA2BE" w14:textId="77777777" w:rsidR="00ED6128" w:rsidRPr="00F717FF" w:rsidRDefault="00ED6128" w:rsidP="008F4F57">
      <w:pPr>
        <w:spacing w:after="0" w:line="240" w:lineRule="auto"/>
        <w:rPr>
          <w:rFonts w:ascii="Times New Roman" w:hAnsi="Times New Roman"/>
          <w:sz w:val="26"/>
          <w:szCs w:val="26"/>
        </w:rPr>
      </w:pPr>
    </w:p>
    <w:p w14:paraId="178EA2C1" w14:textId="5D1F1E20" w:rsidR="00ED6128" w:rsidRPr="00F717FF" w:rsidRDefault="00ED6128" w:rsidP="008F4F57">
      <w:pPr>
        <w:spacing w:after="0" w:line="240" w:lineRule="auto"/>
        <w:rPr>
          <w:rFonts w:ascii="Times New Roman" w:hAnsi="Times New Roman"/>
          <w:sz w:val="26"/>
          <w:szCs w:val="26"/>
        </w:rPr>
      </w:pPr>
      <w:r w:rsidRPr="00F717FF">
        <w:rPr>
          <w:rFonts w:ascii="Times New Roman" w:hAnsi="Times New Roman"/>
          <w:sz w:val="26"/>
          <w:szCs w:val="26"/>
        </w:rPr>
        <w:lastRenderedPageBreak/>
        <w:t>For the existing requirements related to th</w:t>
      </w:r>
      <w:r w:rsidR="00045BBE" w:rsidRPr="00F717FF">
        <w:rPr>
          <w:rFonts w:ascii="Times New Roman" w:hAnsi="Times New Roman"/>
          <w:sz w:val="26"/>
          <w:szCs w:val="26"/>
        </w:rPr>
        <w:t>e</w:t>
      </w:r>
      <w:r w:rsidRPr="00F717FF">
        <w:rPr>
          <w:rFonts w:ascii="Times New Roman" w:hAnsi="Times New Roman"/>
          <w:sz w:val="26"/>
          <w:szCs w:val="26"/>
        </w:rPr>
        <w:t xml:space="preserve"> collection (requirements </w:t>
      </w:r>
      <w:r w:rsidRPr="00F717FF">
        <w:rPr>
          <w:rFonts w:ascii="Times New Roman" w:hAnsi="Times New Roman"/>
          <w:b/>
          <w:sz w:val="26"/>
          <w:szCs w:val="26"/>
        </w:rPr>
        <w:t>not</w:t>
      </w:r>
      <w:r w:rsidRPr="00F717FF">
        <w:rPr>
          <w:rFonts w:ascii="Times New Roman" w:hAnsi="Times New Roman"/>
          <w:sz w:val="26"/>
          <w:szCs w:val="26"/>
        </w:rPr>
        <w:t xml:space="preserve"> changed by th</w:t>
      </w:r>
      <w:r w:rsidR="00650206" w:rsidRPr="00F717FF">
        <w:rPr>
          <w:rFonts w:ascii="Times New Roman" w:hAnsi="Times New Roman"/>
          <w:sz w:val="26"/>
          <w:szCs w:val="26"/>
        </w:rPr>
        <w:t>e final</w:t>
      </w:r>
      <w:r w:rsidRPr="00F717FF">
        <w:rPr>
          <w:rFonts w:ascii="Times New Roman" w:hAnsi="Times New Roman"/>
          <w:sz w:val="26"/>
          <w:szCs w:val="26"/>
        </w:rPr>
        <w:t xml:space="preserve"> rule</w:t>
      </w:r>
      <w:r w:rsidR="00045BBE" w:rsidRPr="00F717FF">
        <w:rPr>
          <w:rFonts w:ascii="Times New Roman" w:hAnsi="Times New Roman"/>
          <w:sz w:val="26"/>
          <w:szCs w:val="26"/>
        </w:rPr>
        <w:t xml:space="preserve"> in RM12-11-003</w:t>
      </w:r>
      <w:r w:rsidRPr="00F717FF">
        <w:rPr>
          <w:rFonts w:ascii="Times New Roman" w:hAnsi="Times New Roman"/>
          <w:sz w:val="26"/>
          <w:szCs w:val="26"/>
        </w:rPr>
        <w:t>) up to three paper copies may be required</w:t>
      </w:r>
      <w:r w:rsidR="00400F07" w:rsidRPr="00F717FF">
        <w:rPr>
          <w:rFonts w:ascii="Times New Roman" w:hAnsi="Times New Roman"/>
          <w:sz w:val="26"/>
          <w:szCs w:val="26"/>
        </w:rPr>
        <w:t>, depending on the item filed,</w:t>
      </w:r>
      <w:r w:rsidRPr="00F717FF">
        <w:rPr>
          <w:rFonts w:ascii="Times New Roman" w:hAnsi="Times New Roman"/>
          <w:sz w:val="26"/>
          <w:szCs w:val="26"/>
        </w:rPr>
        <w:t xml:space="preserve"> for staff review, processing, and collaboration.</w:t>
      </w:r>
      <w:r w:rsidR="00045BBE" w:rsidRPr="00F717FF">
        <w:rPr>
          <w:rStyle w:val="FootnoteReference"/>
          <w:rFonts w:ascii="Times New Roman" w:hAnsi="Times New Roman"/>
          <w:sz w:val="26"/>
          <w:szCs w:val="26"/>
          <w:vertAlign w:val="superscript"/>
        </w:rPr>
        <w:footnoteReference w:id="3"/>
      </w:r>
    </w:p>
    <w:p w14:paraId="178EA2C2" w14:textId="77777777" w:rsidR="00ED6128" w:rsidRPr="00F717FF" w:rsidRDefault="00ED6128" w:rsidP="008F4F57">
      <w:pPr>
        <w:spacing w:after="0" w:line="240" w:lineRule="auto"/>
        <w:rPr>
          <w:rFonts w:ascii="Times New Roman" w:hAnsi="Times New Roman"/>
          <w:sz w:val="26"/>
          <w:szCs w:val="26"/>
        </w:rPr>
      </w:pPr>
    </w:p>
    <w:p w14:paraId="178EA2C3"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DESCRIBE EFFORTS TO CONSULT OUTSIDE THE AGENCY: SUMMARIZE PUBLIC COMMENTS AND THE AGENCY’S RESPONSE</w:t>
      </w:r>
    </w:p>
    <w:p w14:paraId="178EA2C4" w14:textId="77777777" w:rsidR="00ED6128" w:rsidRPr="00F717FF" w:rsidRDefault="00ED6128" w:rsidP="008F4F57">
      <w:pPr>
        <w:spacing w:after="0" w:line="240" w:lineRule="auto"/>
        <w:rPr>
          <w:rFonts w:ascii="Times New Roman" w:hAnsi="Times New Roman"/>
          <w:sz w:val="26"/>
          <w:szCs w:val="26"/>
        </w:rPr>
      </w:pPr>
    </w:p>
    <w:p w14:paraId="178EA2C5" w14:textId="34CDC02D" w:rsidR="00ED6128" w:rsidRPr="00F717FF" w:rsidRDefault="00ED6128" w:rsidP="008F4F57">
      <w:pPr>
        <w:spacing w:after="0" w:line="240" w:lineRule="auto"/>
        <w:rPr>
          <w:rFonts w:ascii="Times New Roman" w:hAnsi="Times New Roman"/>
          <w:sz w:val="26"/>
          <w:szCs w:val="26"/>
          <w:vertAlign w:val="superscript"/>
        </w:rPr>
      </w:pPr>
      <w:r w:rsidRPr="00F717FF">
        <w:rPr>
          <w:rFonts w:ascii="Times New Roman" w:hAnsi="Times New Roman"/>
          <w:sz w:val="26"/>
          <w:szCs w:val="26"/>
        </w:rPr>
        <w:t xml:space="preserve">Each FERC rulemaking (both proposed and final rules) is published in the </w:t>
      </w:r>
      <w:r w:rsidRPr="00F717FF">
        <w:rPr>
          <w:rFonts w:ascii="Times New Roman" w:hAnsi="Times New Roman"/>
          <w:sz w:val="26"/>
          <w:szCs w:val="26"/>
          <w:u w:val="single"/>
        </w:rPr>
        <w:t>Federal Register,</w:t>
      </w:r>
      <w:r w:rsidRPr="00F717FF">
        <w:rPr>
          <w:rFonts w:ascii="Times New Roman" w:hAnsi="Times New Roman"/>
          <w:sz w:val="26"/>
          <w:szCs w:val="26"/>
        </w:rPr>
        <w:t xml:space="preserve"> thereby providing public utilities and licensees, state commissions, Federal agencies, and other interested parties an opportunity to submit data, views, comments or suggestions concerning the proposed collection of data.  The NOPR in Docket RM12-11</w:t>
      </w:r>
      <w:r w:rsidR="005C4BE9" w:rsidRPr="00F717FF">
        <w:rPr>
          <w:rStyle w:val="FootnoteReference"/>
          <w:rFonts w:ascii="Times New Roman" w:hAnsi="Times New Roman"/>
          <w:sz w:val="26"/>
          <w:szCs w:val="26"/>
          <w:vertAlign w:val="superscript"/>
        </w:rPr>
        <w:footnoteReference w:id="4"/>
      </w:r>
      <w:r w:rsidRPr="00F717FF">
        <w:rPr>
          <w:rFonts w:ascii="Times New Roman" w:hAnsi="Times New Roman"/>
          <w:sz w:val="26"/>
          <w:szCs w:val="26"/>
          <w:vertAlign w:val="superscript"/>
        </w:rPr>
        <w:t xml:space="preserve"> </w:t>
      </w:r>
      <w:r w:rsidRPr="00F717FF">
        <w:rPr>
          <w:rFonts w:ascii="Times New Roman" w:hAnsi="Times New Roman"/>
          <w:sz w:val="26"/>
          <w:szCs w:val="26"/>
        </w:rPr>
        <w:t xml:space="preserve">was published in the Federal Register on January 4, 2013 (78 FR 679), and </w:t>
      </w:r>
      <w:r w:rsidR="005C4BE9" w:rsidRPr="00F717FF">
        <w:rPr>
          <w:rFonts w:ascii="Times New Roman" w:hAnsi="Times New Roman"/>
          <w:sz w:val="26"/>
          <w:szCs w:val="26"/>
        </w:rPr>
        <w:t xml:space="preserve">requested </w:t>
      </w:r>
      <w:r w:rsidRPr="00F717FF">
        <w:rPr>
          <w:rFonts w:ascii="Times New Roman" w:hAnsi="Times New Roman"/>
          <w:sz w:val="26"/>
          <w:szCs w:val="26"/>
        </w:rPr>
        <w:t>public comments.</w:t>
      </w:r>
      <w:r w:rsidR="005C4BE9" w:rsidRPr="00F717FF">
        <w:rPr>
          <w:rFonts w:ascii="Times New Roman" w:hAnsi="Times New Roman"/>
          <w:sz w:val="26"/>
          <w:szCs w:val="26"/>
        </w:rPr>
        <w:t xml:space="preserve">  FERC addressed the comments in Order 790, issued </w:t>
      </w:r>
      <w:r w:rsidR="002649B7" w:rsidRPr="00F717FF">
        <w:rPr>
          <w:rFonts w:ascii="Times New Roman" w:hAnsi="Times New Roman"/>
          <w:sz w:val="26"/>
          <w:szCs w:val="26"/>
        </w:rPr>
        <w:t xml:space="preserve">11/22/2013. </w:t>
      </w:r>
      <w:r w:rsidR="002649B7" w:rsidRPr="00F717FF">
        <w:rPr>
          <w:rStyle w:val="FootnoteReference"/>
          <w:rFonts w:ascii="Times New Roman" w:hAnsi="Times New Roman"/>
          <w:sz w:val="26"/>
          <w:szCs w:val="26"/>
          <w:vertAlign w:val="superscript"/>
        </w:rPr>
        <w:footnoteReference w:id="5"/>
      </w:r>
    </w:p>
    <w:p w14:paraId="72642D1B" w14:textId="45FEF867" w:rsidR="00A31E84" w:rsidRPr="00F717FF" w:rsidRDefault="00A31E84" w:rsidP="008F4F57">
      <w:pPr>
        <w:spacing w:after="0" w:line="240" w:lineRule="auto"/>
        <w:rPr>
          <w:rFonts w:ascii="Times New Roman" w:hAnsi="Times New Roman"/>
          <w:sz w:val="26"/>
          <w:szCs w:val="26"/>
        </w:rPr>
      </w:pPr>
    </w:p>
    <w:p w14:paraId="3FED3FD7" w14:textId="2E7EC698" w:rsidR="00F968C7" w:rsidRPr="00F717FF" w:rsidRDefault="00A31E84" w:rsidP="008F4F57">
      <w:pPr>
        <w:spacing w:after="0" w:line="240" w:lineRule="auto"/>
        <w:rPr>
          <w:rFonts w:ascii="Times New Roman" w:hAnsi="Times New Roman"/>
          <w:sz w:val="26"/>
          <w:szCs w:val="26"/>
          <w:vertAlign w:val="superscript"/>
        </w:rPr>
      </w:pPr>
      <w:r w:rsidRPr="00F717FF">
        <w:rPr>
          <w:rFonts w:ascii="Times New Roman" w:hAnsi="Times New Roman"/>
          <w:sz w:val="26"/>
          <w:szCs w:val="26"/>
        </w:rPr>
        <w:t>Order 79</w:t>
      </w:r>
      <w:r w:rsidR="00186A5C" w:rsidRPr="00F717FF">
        <w:rPr>
          <w:rFonts w:ascii="Times New Roman" w:hAnsi="Times New Roman"/>
          <w:sz w:val="26"/>
          <w:szCs w:val="26"/>
        </w:rPr>
        <w:t>0</w:t>
      </w:r>
      <w:r w:rsidRPr="00F717FF">
        <w:rPr>
          <w:rFonts w:ascii="Times New Roman" w:hAnsi="Times New Roman"/>
          <w:sz w:val="26"/>
          <w:szCs w:val="26"/>
        </w:rPr>
        <w:t>-A</w:t>
      </w:r>
      <w:r w:rsidR="00F968C7" w:rsidRPr="00F717FF">
        <w:rPr>
          <w:rStyle w:val="FootnoteReference"/>
          <w:rFonts w:ascii="Times New Roman" w:hAnsi="Times New Roman"/>
          <w:sz w:val="26"/>
          <w:szCs w:val="26"/>
          <w:vertAlign w:val="superscript"/>
        </w:rPr>
        <w:footnoteReference w:id="6"/>
      </w:r>
      <w:r w:rsidR="00F968C7" w:rsidRPr="00F717FF">
        <w:rPr>
          <w:rFonts w:ascii="Times New Roman" w:hAnsi="Times New Roman"/>
          <w:sz w:val="26"/>
          <w:szCs w:val="26"/>
          <w:vertAlign w:val="superscript"/>
        </w:rPr>
        <w:t xml:space="preserve">  </w:t>
      </w:r>
      <w:r w:rsidRPr="00F717FF">
        <w:rPr>
          <w:rFonts w:ascii="Times New Roman" w:hAnsi="Times New Roman"/>
          <w:sz w:val="26"/>
          <w:szCs w:val="26"/>
        </w:rPr>
        <w:t xml:space="preserve"> </w:t>
      </w:r>
      <w:r w:rsidR="00186A5C" w:rsidRPr="00F717FF">
        <w:rPr>
          <w:rFonts w:ascii="Times New Roman" w:hAnsi="Times New Roman"/>
          <w:sz w:val="26"/>
          <w:szCs w:val="26"/>
        </w:rPr>
        <w:t>(Revisions to Auxiliary Installations, Replacement Facilities, and Siting and Maintenance Regulations</w:t>
      </w:r>
      <w:r w:rsidR="00F968C7" w:rsidRPr="00F717FF">
        <w:rPr>
          <w:rFonts w:ascii="Times New Roman" w:hAnsi="Times New Roman"/>
          <w:sz w:val="26"/>
          <w:szCs w:val="26"/>
        </w:rPr>
        <w:t>, in Docket RM12-11-002</w:t>
      </w:r>
      <w:r w:rsidR="00186A5C" w:rsidRPr="00F717FF">
        <w:rPr>
          <w:rFonts w:ascii="Times New Roman" w:hAnsi="Times New Roman"/>
          <w:sz w:val="26"/>
          <w:szCs w:val="26"/>
        </w:rPr>
        <w:t xml:space="preserve">) </w:t>
      </w:r>
      <w:r w:rsidRPr="00F717FF">
        <w:rPr>
          <w:rFonts w:ascii="Times New Roman" w:hAnsi="Times New Roman"/>
          <w:sz w:val="26"/>
          <w:szCs w:val="26"/>
        </w:rPr>
        <w:t>was issued on 11/20/2014</w:t>
      </w:r>
      <w:r w:rsidR="00186A5C" w:rsidRPr="00F717FF">
        <w:rPr>
          <w:rFonts w:ascii="Times New Roman" w:hAnsi="Times New Roman"/>
          <w:sz w:val="26"/>
          <w:szCs w:val="26"/>
        </w:rPr>
        <w:t xml:space="preserve"> to clarify and modify certain aspects of Order 790</w:t>
      </w:r>
      <w:r w:rsidR="00F968C7" w:rsidRPr="00F717FF">
        <w:rPr>
          <w:rFonts w:ascii="Times New Roman" w:hAnsi="Times New Roman"/>
          <w:sz w:val="26"/>
          <w:szCs w:val="26"/>
        </w:rPr>
        <w:t>.</w:t>
      </w:r>
    </w:p>
    <w:p w14:paraId="070A80A1" w14:textId="77777777" w:rsidR="00F968C7" w:rsidRPr="00F717FF" w:rsidRDefault="00F968C7" w:rsidP="008F4F57">
      <w:pPr>
        <w:spacing w:after="0" w:line="240" w:lineRule="auto"/>
        <w:rPr>
          <w:rFonts w:ascii="Times New Roman" w:hAnsi="Times New Roman"/>
          <w:sz w:val="26"/>
          <w:szCs w:val="26"/>
          <w:vertAlign w:val="superscript"/>
        </w:rPr>
      </w:pPr>
    </w:p>
    <w:p w14:paraId="7751E202" w14:textId="77D56397" w:rsidR="00186A5C" w:rsidRPr="00F717FF" w:rsidRDefault="00186A5C" w:rsidP="008F4F57">
      <w:pPr>
        <w:spacing w:after="0" w:line="240" w:lineRule="auto"/>
        <w:rPr>
          <w:rFonts w:ascii="Times New Roman" w:hAnsi="Times New Roman"/>
          <w:sz w:val="26"/>
          <w:szCs w:val="26"/>
          <w:vertAlign w:val="superscript"/>
        </w:rPr>
      </w:pPr>
      <w:r w:rsidRPr="00F717FF">
        <w:rPr>
          <w:rFonts w:ascii="Times New Roman" w:hAnsi="Times New Roman"/>
          <w:sz w:val="26"/>
          <w:szCs w:val="26"/>
        </w:rPr>
        <w:t>FERC received a request for clarification.  Order 790-B</w:t>
      </w:r>
      <w:r w:rsidR="00B8680F" w:rsidRPr="0020540C">
        <w:rPr>
          <w:rStyle w:val="FootnoteReference"/>
          <w:rFonts w:ascii="Times New Roman" w:hAnsi="Times New Roman"/>
          <w:sz w:val="26"/>
          <w:szCs w:val="26"/>
          <w:vertAlign w:val="superscript"/>
        </w:rPr>
        <w:footnoteReference w:id="7"/>
      </w:r>
      <w:r w:rsidR="0020540C">
        <w:rPr>
          <w:rFonts w:ascii="Times New Roman" w:hAnsi="Times New Roman"/>
          <w:sz w:val="26"/>
          <w:szCs w:val="26"/>
        </w:rPr>
        <w:t xml:space="preserve"> </w:t>
      </w:r>
      <w:r w:rsidRPr="00F717FF">
        <w:rPr>
          <w:rFonts w:ascii="Times New Roman" w:hAnsi="Times New Roman"/>
          <w:sz w:val="26"/>
          <w:szCs w:val="26"/>
        </w:rPr>
        <w:t xml:space="preserve">(discussed in this supporting statement) addresses </w:t>
      </w:r>
      <w:r w:rsidR="00F968C7" w:rsidRPr="00F717FF">
        <w:rPr>
          <w:rFonts w:ascii="Times New Roman" w:hAnsi="Times New Roman"/>
          <w:sz w:val="26"/>
          <w:szCs w:val="26"/>
        </w:rPr>
        <w:t>the</w:t>
      </w:r>
      <w:r w:rsidRPr="00F717FF">
        <w:rPr>
          <w:rFonts w:ascii="Times New Roman" w:hAnsi="Times New Roman"/>
          <w:sz w:val="26"/>
          <w:szCs w:val="26"/>
        </w:rPr>
        <w:t xml:space="preserve"> request for clarification and makes further clarifications and simplifications to the requirements.  </w:t>
      </w:r>
      <w:r w:rsidR="00F968C7" w:rsidRPr="00F717FF">
        <w:rPr>
          <w:rFonts w:ascii="Times New Roman" w:hAnsi="Times New Roman"/>
          <w:sz w:val="26"/>
          <w:szCs w:val="26"/>
        </w:rPr>
        <w:t>(</w:t>
      </w:r>
      <w:r w:rsidRPr="00F717FF">
        <w:rPr>
          <w:rFonts w:ascii="Times New Roman" w:hAnsi="Times New Roman"/>
          <w:sz w:val="26"/>
          <w:szCs w:val="26"/>
        </w:rPr>
        <w:t xml:space="preserve">See the Order for FERC’s response to the </w:t>
      </w:r>
      <w:r w:rsidR="00035F72">
        <w:rPr>
          <w:rFonts w:ascii="Times New Roman" w:hAnsi="Times New Roman"/>
          <w:sz w:val="26"/>
          <w:szCs w:val="26"/>
        </w:rPr>
        <w:t>r</w:t>
      </w:r>
      <w:r w:rsidR="008268FC">
        <w:rPr>
          <w:rFonts w:ascii="Times New Roman" w:hAnsi="Times New Roman"/>
          <w:sz w:val="26"/>
          <w:szCs w:val="26"/>
        </w:rPr>
        <w:t>equest for clarification</w:t>
      </w:r>
      <w:r w:rsidRPr="00F717FF">
        <w:rPr>
          <w:rFonts w:ascii="Times New Roman" w:hAnsi="Times New Roman"/>
          <w:sz w:val="26"/>
          <w:szCs w:val="26"/>
        </w:rPr>
        <w:t>.</w:t>
      </w:r>
      <w:r w:rsidR="00F968C7" w:rsidRPr="00F717FF">
        <w:rPr>
          <w:rFonts w:ascii="Times New Roman" w:hAnsi="Times New Roman"/>
          <w:sz w:val="26"/>
          <w:szCs w:val="26"/>
        </w:rPr>
        <w:t>)  These additional changes are reducing burden as indicated in #12 and 15.</w:t>
      </w:r>
      <w:r w:rsidRPr="00F717FF">
        <w:rPr>
          <w:rFonts w:ascii="Times New Roman" w:hAnsi="Times New Roman"/>
          <w:sz w:val="26"/>
          <w:szCs w:val="26"/>
        </w:rPr>
        <w:t xml:space="preserve"> </w:t>
      </w:r>
    </w:p>
    <w:p w14:paraId="178EA2C8" w14:textId="255734F1" w:rsidR="00ED6128" w:rsidRPr="00F717FF" w:rsidRDefault="00ED6128" w:rsidP="008F4F57">
      <w:pPr>
        <w:spacing w:after="0" w:line="240" w:lineRule="auto"/>
        <w:rPr>
          <w:rFonts w:ascii="Times New Roman" w:hAnsi="Times New Roman"/>
          <w:sz w:val="26"/>
          <w:szCs w:val="26"/>
        </w:rPr>
      </w:pPr>
      <w:r w:rsidRPr="00F717FF">
        <w:rPr>
          <w:rFonts w:ascii="Times New Roman" w:hAnsi="Times New Roman"/>
          <w:sz w:val="26"/>
          <w:szCs w:val="26"/>
        </w:rPr>
        <w:t xml:space="preserve">  </w:t>
      </w:r>
    </w:p>
    <w:p w14:paraId="178EA2C9"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EXPLAIN ANY PAYMENT OR GIFTS TO RESPONDENTS</w:t>
      </w:r>
    </w:p>
    <w:p w14:paraId="178EA2CA" w14:textId="77777777" w:rsidR="00ED6128" w:rsidRPr="00F717FF" w:rsidRDefault="00ED6128" w:rsidP="008F4F57">
      <w:pPr>
        <w:spacing w:after="0" w:line="240" w:lineRule="auto"/>
        <w:rPr>
          <w:rFonts w:ascii="Times New Roman" w:hAnsi="Times New Roman"/>
          <w:sz w:val="26"/>
          <w:szCs w:val="26"/>
        </w:rPr>
      </w:pPr>
    </w:p>
    <w:p w14:paraId="178EA2CB" w14:textId="77777777" w:rsidR="00ED6128" w:rsidRPr="00F717FF" w:rsidRDefault="00ED6128" w:rsidP="008F4F57">
      <w:pPr>
        <w:spacing w:after="0" w:line="240" w:lineRule="auto"/>
        <w:rPr>
          <w:rFonts w:ascii="Times New Roman" w:hAnsi="Times New Roman"/>
          <w:sz w:val="26"/>
          <w:szCs w:val="26"/>
        </w:rPr>
      </w:pPr>
      <w:r w:rsidRPr="00F717FF">
        <w:rPr>
          <w:rFonts w:ascii="Times New Roman" w:hAnsi="Times New Roman"/>
          <w:sz w:val="26"/>
          <w:szCs w:val="26"/>
        </w:rPr>
        <w:t>There are no payments or gifts to respondents.</w:t>
      </w:r>
    </w:p>
    <w:p w14:paraId="178EA2CC" w14:textId="77777777" w:rsidR="00ED6128" w:rsidRPr="00F717FF" w:rsidRDefault="00ED6128" w:rsidP="008F4F57">
      <w:pPr>
        <w:spacing w:after="0" w:line="240" w:lineRule="auto"/>
        <w:rPr>
          <w:rFonts w:ascii="Times New Roman" w:hAnsi="Times New Roman"/>
          <w:sz w:val="26"/>
          <w:szCs w:val="26"/>
        </w:rPr>
      </w:pPr>
    </w:p>
    <w:p w14:paraId="178EA2CD"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DESCRIBE ANY ASSURANCE OF CONFIDENTIALITY PROVIDED TO RESPONDENTS</w:t>
      </w:r>
    </w:p>
    <w:p w14:paraId="178EA2CE" w14:textId="77777777" w:rsidR="00ED6128" w:rsidRPr="00F717FF" w:rsidRDefault="00ED6128" w:rsidP="008F4F57">
      <w:pPr>
        <w:spacing w:after="0" w:line="240" w:lineRule="auto"/>
        <w:rPr>
          <w:rFonts w:ascii="Times New Roman" w:hAnsi="Times New Roman"/>
          <w:sz w:val="26"/>
          <w:szCs w:val="26"/>
        </w:rPr>
      </w:pPr>
    </w:p>
    <w:p w14:paraId="178EA2CF" w14:textId="371EEBBF" w:rsidR="00ED6128" w:rsidRPr="00F717FF" w:rsidRDefault="00ED6128" w:rsidP="008F4F57">
      <w:pPr>
        <w:spacing w:after="0" w:line="240" w:lineRule="auto"/>
        <w:rPr>
          <w:rFonts w:ascii="Times New Roman" w:hAnsi="Times New Roman"/>
          <w:sz w:val="26"/>
          <w:szCs w:val="26"/>
        </w:rPr>
      </w:pPr>
      <w:r w:rsidRPr="00F717FF">
        <w:rPr>
          <w:rFonts w:ascii="Times New Roman" w:hAnsi="Times New Roman"/>
          <w:sz w:val="26"/>
          <w:szCs w:val="26"/>
        </w:rPr>
        <w:t xml:space="preserve">The Commission does not consider the information to be confidential.  However, the Commission has encouraged applicants to indicate information which may be Critical Energy Infrastructure Information (CEII), or privileged.  CEII as defined in Section </w:t>
      </w:r>
      <w:r w:rsidR="009F7CC9">
        <w:rPr>
          <w:rFonts w:ascii="Times New Roman" w:hAnsi="Times New Roman"/>
          <w:sz w:val="26"/>
          <w:szCs w:val="26"/>
        </w:rPr>
        <w:t xml:space="preserve">18 CFR </w:t>
      </w:r>
      <w:r w:rsidRPr="00F717FF">
        <w:rPr>
          <w:rFonts w:ascii="Times New Roman" w:hAnsi="Times New Roman"/>
          <w:sz w:val="26"/>
          <w:szCs w:val="26"/>
        </w:rPr>
        <w:t xml:space="preserve">388.113 includes information about proposed or existing natural gas facilities that </w:t>
      </w:r>
      <w:r w:rsidRPr="00F717FF">
        <w:rPr>
          <w:rFonts w:ascii="Times New Roman" w:hAnsi="Times New Roman"/>
          <w:sz w:val="26"/>
          <w:szCs w:val="26"/>
        </w:rPr>
        <w:lastRenderedPageBreak/>
        <w:t>could be used by a person planning an attack on cr</w:t>
      </w:r>
      <w:r w:rsidR="00355046" w:rsidRPr="00F717FF">
        <w:rPr>
          <w:rFonts w:ascii="Times New Roman" w:hAnsi="Times New Roman"/>
          <w:sz w:val="26"/>
          <w:szCs w:val="26"/>
        </w:rPr>
        <w:t xml:space="preserve">itical energy infrastructure.  </w:t>
      </w:r>
      <w:r w:rsidRPr="00F717FF">
        <w:rPr>
          <w:rFonts w:ascii="Times New Roman" w:hAnsi="Times New Roman"/>
          <w:sz w:val="26"/>
          <w:szCs w:val="26"/>
        </w:rPr>
        <w:t xml:space="preserve">More information about CEII and privileged security levels of information are posted at </w:t>
      </w:r>
      <w:hyperlink r:id="rId14" w:history="1">
        <w:r w:rsidRPr="00F717FF">
          <w:rPr>
            <w:rStyle w:val="Hyperlink"/>
            <w:rFonts w:ascii="Times New Roman" w:hAnsi="Times New Roman"/>
            <w:sz w:val="26"/>
            <w:szCs w:val="26"/>
          </w:rPr>
          <w:t>http://www.ferc.gov/legal/ceii-foia/ceii.asp</w:t>
        </w:r>
      </w:hyperlink>
      <w:r w:rsidRPr="00F717FF">
        <w:rPr>
          <w:rFonts w:ascii="Times New Roman" w:hAnsi="Times New Roman"/>
          <w:sz w:val="26"/>
          <w:szCs w:val="26"/>
        </w:rPr>
        <w:t xml:space="preserve"> and </w:t>
      </w:r>
      <w:hyperlink r:id="rId15" w:history="1">
        <w:r w:rsidRPr="00F717FF">
          <w:rPr>
            <w:rStyle w:val="Hyperlink"/>
            <w:rFonts w:ascii="Times New Roman" w:hAnsi="Times New Roman"/>
            <w:sz w:val="26"/>
            <w:szCs w:val="26"/>
          </w:rPr>
          <w:t>http://www.ferc.gov/legal/ceii-foia/ceii/classes.asp</w:t>
        </w:r>
      </w:hyperlink>
      <w:r w:rsidRPr="00F717FF">
        <w:rPr>
          <w:rFonts w:ascii="Times New Roman" w:hAnsi="Times New Roman"/>
          <w:sz w:val="26"/>
          <w:szCs w:val="26"/>
        </w:rPr>
        <w:t xml:space="preserve">.  The Commission’s procedures in Part 388 are designed to ensure that CEII and privileged material </w:t>
      </w:r>
      <w:r w:rsidR="009F7CC9">
        <w:rPr>
          <w:rFonts w:ascii="Times New Roman" w:hAnsi="Times New Roman"/>
          <w:sz w:val="26"/>
          <w:szCs w:val="26"/>
        </w:rPr>
        <w:t>are</w:t>
      </w:r>
      <w:r w:rsidRPr="00F717FF">
        <w:rPr>
          <w:rFonts w:ascii="Times New Roman" w:hAnsi="Times New Roman"/>
          <w:sz w:val="26"/>
          <w:szCs w:val="26"/>
        </w:rPr>
        <w:t xml:space="preserve"> not placed in the Commission’s public records.</w:t>
      </w:r>
    </w:p>
    <w:p w14:paraId="178EA2D0" w14:textId="77777777" w:rsidR="00ED6128" w:rsidRPr="00F717FF" w:rsidRDefault="00ED6128" w:rsidP="008F4F57">
      <w:pPr>
        <w:spacing w:after="0" w:line="240" w:lineRule="auto"/>
        <w:rPr>
          <w:rFonts w:ascii="Times New Roman" w:hAnsi="Times New Roman"/>
          <w:sz w:val="26"/>
          <w:szCs w:val="26"/>
        </w:rPr>
      </w:pPr>
    </w:p>
    <w:p w14:paraId="178EA2D2" w14:textId="798D6A87" w:rsidR="00ED6128" w:rsidRPr="00F717FF" w:rsidRDefault="00A57517" w:rsidP="00454FE1">
      <w:pPr>
        <w:pStyle w:val="ListParagraph"/>
        <w:numPr>
          <w:ilvl w:val="0"/>
          <w:numId w:val="1"/>
        </w:numPr>
        <w:spacing w:after="0" w:line="240" w:lineRule="auto"/>
        <w:rPr>
          <w:rFonts w:ascii="Times New Roman" w:hAnsi="Times New Roman"/>
          <w:sz w:val="26"/>
          <w:szCs w:val="26"/>
        </w:rPr>
      </w:pPr>
      <w:r w:rsidRPr="00F717FF">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14:paraId="6193AE2A" w14:textId="77777777" w:rsidR="00454FE1" w:rsidRPr="00F717FF" w:rsidRDefault="00454FE1" w:rsidP="00454FE1">
      <w:pPr>
        <w:pStyle w:val="ListParagraph"/>
        <w:spacing w:after="0" w:line="240" w:lineRule="auto"/>
        <w:rPr>
          <w:rFonts w:ascii="Times New Roman" w:hAnsi="Times New Roman"/>
          <w:sz w:val="26"/>
          <w:szCs w:val="26"/>
        </w:rPr>
      </w:pPr>
    </w:p>
    <w:p w14:paraId="178EA2D3" w14:textId="48344779" w:rsidR="00ED6128" w:rsidRPr="009F7CC9" w:rsidRDefault="00ED6128" w:rsidP="008F4F57">
      <w:pPr>
        <w:spacing w:after="0" w:line="240" w:lineRule="auto"/>
        <w:rPr>
          <w:rFonts w:ascii="Times New Roman" w:hAnsi="Times New Roman"/>
          <w:sz w:val="26"/>
          <w:szCs w:val="26"/>
        </w:rPr>
      </w:pPr>
      <w:r w:rsidRPr="009F7CC9">
        <w:rPr>
          <w:rFonts w:ascii="Times New Roman" w:hAnsi="Times New Roman"/>
          <w:sz w:val="26"/>
          <w:szCs w:val="26"/>
        </w:rPr>
        <w:t xml:space="preserve">There are no questions of sensitive nature </w:t>
      </w:r>
      <w:r w:rsidR="00A57517" w:rsidRPr="009F7CC9">
        <w:rPr>
          <w:rFonts w:ascii="Times New Roman" w:hAnsi="Times New Roman"/>
          <w:sz w:val="26"/>
          <w:szCs w:val="26"/>
        </w:rPr>
        <w:t>in the information collection</w:t>
      </w:r>
      <w:r w:rsidRPr="009F7CC9">
        <w:rPr>
          <w:rFonts w:ascii="Times New Roman" w:hAnsi="Times New Roman"/>
          <w:sz w:val="26"/>
          <w:szCs w:val="26"/>
        </w:rPr>
        <w:t>.</w:t>
      </w:r>
    </w:p>
    <w:p w14:paraId="178EA2D4" w14:textId="77777777" w:rsidR="00ED6128" w:rsidRPr="009F7CC9" w:rsidRDefault="00ED6128" w:rsidP="008F4F57">
      <w:pPr>
        <w:spacing w:after="0" w:line="240" w:lineRule="auto"/>
        <w:rPr>
          <w:rFonts w:ascii="Times New Roman" w:hAnsi="Times New Roman"/>
          <w:sz w:val="26"/>
          <w:szCs w:val="26"/>
        </w:rPr>
      </w:pPr>
    </w:p>
    <w:p w14:paraId="178EA2D5" w14:textId="77777777" w:rsidR="00ED6128" w:rsidRPr="009F7CC9" w:rsidRDefault="00ED6128" w:rsidP="008F4F57">
      <w:pPr>
        <w:pStyle w:val="ListParagraph"/>
        <w:numPr>
          <w:ilvl w:val="0"/>
          <w:numId w:val="1"/>
        </w:numPr>
        <w:spacing w:after="0" w:line="240" w:lineRule="auto"/>
        <w:rPr>
          <w:rFonts w:ascii="Times New Roman" w:hAnsi="Times New Roman"/>
          <w:b/>
          <w:sz w:val="26"/>
          <w:szCs w:val="26"/>
        </w:rPr>
      </w:pPr>
      <w:r w:rsidRPr="009F7CC9">
        <w:rPr>
          <w:rFonts w:ascii="Times New Roman" w:hAnsi="Times New Roman"/>
          <w:b/>
          <w:sz w:val="26"/>
          <w:szCs w:val="26"/>
        </w:rPr>
        <w:t>ESTIMATED BURDEN OF COLLECTION OF INFORMATION</w:t>
      </w:r>
    </w:p>
    <w:p w14:paraId="178EA2D6" w14:textId="77777777" w:rsidR="00ED6128" w:rsidRPr="00F717FF" w:rsidRDefault="00ED6128" w:rsidP="008F4F57">
      <w:pPr>
        <w:spacing w:after="0" w:line="240" w:lineRule="auto"/>
        <w:rPr>
          <w:rFonts w:ascii="Times New Roman" w:hAnsi="Times New Roman"/>
          <w:sz w:val="26"/>
          <w:szCs w:val="26"/>
        </w:rPr>
      </w:pPr>
    </w:p>
    <w:p w14:paraId="4FB2BA8B" w14:textId="501710FE" w:rsidR="00E96E94" w:rsidRDefault="00E96E94" w:rsidP="009F7CC9">
      <w:pPr>
        <w:tabs>
          <w:tab w:val="left" w:pos="720"/>
        </w:tabs>
        <w:spacing w:after="0" w:line="240" w:lineRule="auto"/>
        <w:rPr>
          <w:rFonts w:ascii="Times New Roman" w:eastAsia="Times New Roman" w:hAnsi="Times New Roman"/>
          <w:sz w:val="26"/>
          <w:szCs w:val="26"/>
        </w:rPr>
      </w:pPr>
      <w:r w:rsidRPr="00F717FF">
        <w:rPr>
          <w:rFonts w:ascii="Times New Roman" w:eastAsia="Times New Roman" w:hAnsi="Times New Roman"/>
          <w:sz w:val="26"/>
          <w:szCs w:val="26"/>
        </w:rPr>
        <w:t xml:space="preserve">The estimated average annual burden </w:t>
      </w:r>
      <w:r w:rsidR="00FF00E8">
        <w:rPr>
          <w:rFonts w:ascii="Times New Roman" w:eastAsia="Times New Roman" w:hAnsi="Times New Roman"/>
          <w:sz w:val="26"/>
          <w:szCs w:val="26"/>
        </w:rPr>
        <w:t xml:space="preserve">as modified by </w:t>
      </w:r>
      <w:r w:rsidR="00FF00E8" w:rsidRPr="00FF00E8">
        <w:rPr>
          <w:rFonts w:ascii="Times New Roman" w:eastAsia="Times New Roman" w:hAnsi="Times New Roman"/>
          <w:sz w:val="26"/>
          <w:szCs w:val="26"/>
        </w:rPr>
        <w:t>Final Rule (Order 790-B</w:t>
      </w:r>
      <w:proofErr w:type="gramStart"/>
      <w:r w:rsidR="00FF00E8" w:rsidRPr="00FF00E8">
        <w:rPr>
          <w:rFonts w:ascii="Times New Roman" w:eastAsia="Times New Roman" w:hAnsi="Times New Roman"/>
          <w:sz w:val="26"/>
          <w:szCs w:val="26"/>
        </w:rPr>
        <w:t>)</w:t>
      </w:r>
      <w:r w:rsidRPr="00F717FF">
        <w:rPr>
          <w:rFonts w:ascii="Times New Roman" w:eastAsia="Times New Roman" w:hAnsi="Times New Roman"/>
          <w:sz w:val="26"/>
          <w:szCs w:val="26"/>
        </w:rPr>
        <w:t>in</w:t>
      </w:r>
      <w:proofErr w:type="gramEnd"/>
      <w:r w:rsidRPr="00F717FF">
        <w:rPr>
          <w:rFonts w:ascii="Times New Roman" w:eastAsia="Times New Roman" w:hAnsi="Times New Roman"/>
          <w:sz w:val="26"/>
          <w:szCs w:val="26"/>
        </w:rPr>
        <w:t xml:space="preserve"> Docket RM12-11-003 </w:t>
      </w:r>
      <w:r w:rsidR="00CB1D21">
        <w:rPr>
          <w:rFonts w:ascii="Times New Roman" w:eastAsia="Times New Roman" w:hAnsi="Times New Roman"/>
          <w:sz w:val="26"/>
          <w:szCs w:val="26"/>
        </w:rPr>
        <w:t xml:space="preserve">will be </w:t>
      </w:r>
      <w:r w:rsidR="00F3467F">
        <w:rPr>
          <w:rFonts w:ascii="Times New Roman" w:eastAsia="Times New Roman" w:hAnsi="Times New Roman"/>
          <w:sz w:val="26"/>
          <w:szCs w:val="26"/>
        </w:rPr>
        <w:t>decreas</w:t>
      </w:r>
      <w:r w:rsidR="00CB1D21">
        <w:rPr>
          <w:rFonts w:ascii="Times New Roman" w:eastAsia="Times New Roman" w:hAnsi="Times New Roman"/>
          <w:sz w:val="26"/>
          <w:szCs w:val="26"/>
        </w:rPr>
        <w:t xml:space="preserve">ed by 330 hours to </w:t>
      </w:r>
      <w:r w:rsidR="00CB1D21" w:rsidRPr="00CB1D21">
        <w:rPr>
          <w:rFonts w:ascii="Times New Roman" w:eastAsia="Times New Roman" w:hAnsi="Times New Roman"/>
          <w:sz w:val="26"/>
          <w:szCs w:val="26"/>
        </w:rPr>
        <w:t>66,538</w:t>
      </w:r>
      <w:r w:rsidR="00CB1D21">
        <w:rPr>
          <w:rFonts w:ascii="Times New Roman" w:eastAsia="Times New Roman" w:hAnsi="Times New Roman"/>
          <w:sz w:val="26"/>
          <w:szCs w:val="26"/>
        </w:rPr>
        <w:t xml:space="preserve"> hours (from </w:t>
      </w:r>
      <w:r w:rsidR="00CB1D21" w:rsidRPr="00CB1D21">
        <w:rPr>
          <w:rFonts w:ascii="Times New Roman" w:eastAsia="Times New Roman" w:hAnsi="Times New Roman"/>
          <w:sz w:val="26"/>
          <w:szCs w:val="26"/>
        </w:rPr>
        <w:t>66,868</w:t>
      </w:r>
      <w:r w:rsidR="00CB1D21">
        <w:rPr>
          <w:rFonts w:ascii="Times New Roman" w:eastAsia="Times New Roman" w:hAnsi="Times New Roman"/>
          <w:sz w:val="26"/>
          <w:szCs w:val="26"/>
        </w:rPr>
        <w:t xml:space="preserve"> hours). Order 790-B affects the burden and cost </w:t>
      </w:r>
      <w:r w:rsidR="00FF00E8">
        <w:rPr>
          <w:rFonts w:ascii="Times New Roman" w:eastAsia="Times New Roman" w:hAnsi="Times New Roman"/>
          <w:sz w:val="26"/>
          <w:szCs w:val="26"/>
        </w:rPr>
        <w:t xml:space="preserve">as </w:t>
      </w:r>
      <w:r w:rsidRPr="00F717FF">
        <w:rPr>
          <w:rFonts w:ascii="Times New Roman" w:eastAsia="Times New Roman" w:hAnsi="Times New Roman"/>
          <w:sz w:val="26"/>
          <w:szCs w:val="26"/>
        </w:rPr>
        <w:t>follow</w:t>
      </w:r>
      <w:r w:rsidR="00FF00E8">
        <w:rPr>
          <w:rFonts w:ascii="Times New Roman" w:eastAsia="Times New Roman" w:hAnsi="Times New Roman"/>
          <w:sz w:val="26"/>
          <w:szCs w:val="26"/>
        </w:rPr>
        <w:t>s:</w:t>
      </w:r>
    </w:p>
    <w:p w14:paraId="1E15519C" w14:textId="77777777" w:rsidR="009F7CC9" w:rsidRPr="00F717FF" w:rsidRDefault="009F7CC9" w:rsidP="009F7CC9">
      <w:pPr>
        <w:tabs>
          <w:tab w:val="left" w:pos="720"/>
        </w:tabs>
        <w:spacing w:after="0" w:line="240" w:lineRule="auto"/>
        <w:rPr>
          <w:rFonts w:ascii="Times New Roman" w:eastAsia="Times New Roman" w:hAnsi="Times New Roman"/>
          <w:sz w:val="26"/>
          <w:szCs w:val="26"/>
        </w:rPr>
      </w:pPr>
    </w:p>
    <w:tbl>
      <w:tblPr>
        <w:tblW w:w="5000" w:type="pct"/>
        <w:tblCellMar>
          <w:left w:w="0" w:type="dxa"/>
          <w:right w:w="0" w:type="dxa"/>
        </w:tblCellMar>
        <w:tblLook w:val="04A0" w:firstRow="1" w:lastRow="0" w:firstColumn="1" w:lastColumn="0" w:noHBand="0" w:noVBand="1"/>
      </w:tblPr>
      <w:tblGrid>
        <w:gridCol w:w="1771"/>
        <w:gridCol w:w="1632"/>
        <w:gridCol w:w="1531"/>
        <w:gridCol w:w="45"/>
        <w:gridCol w:w="33"/>
        <w:gridCol w:w="1352"/>
        <w:gridCol w:w="34"/>
        <w:gridCol w:w="1523"/>
        <w:gridCol w:w="1655"/>
      </w:tblGrid>
      <w:tr w:rsidR="00E96E94" w:rsidRPr="00E96E94" w14:paraId="45BB534A" w14:textId="77777777" w:rsidTr="00146C9F">
        <w:trPr>
          <w:cantSplit/>
        </w:trPr>
        <w:tc>
          <w:tcPr>
            <w:tcW w:w="5000" w:type="pct"/>
            <w:gridSpan w:val="9"/>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14:paraId="16AB53D2" w14:textId="67E971A8" w:rsidR="00E96E94" w:rsidRPr="00E96E94" w:rsidRDefault="009F7CC9" w:rsidP="00FF00E8">
            <w:pPr>
              <w:widowControl w:val="0"/>
              <w:autoSpaceDE w:val="0"/>
              <w:autoSpaceDN w:val="0"/>
              <w:adjustRightInd w:val="0"/>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 xml:space="preserve">FERC-537, </w:t>
            </w:r>
            <w:r w:rsidR="00FF00E8">
              <w:rPr>
                <w:rFonts w:ascii="Times New Roman" w:eastAsia="Times New Roman" w:hAnsi="Times New Roman"/>
                <w:b/>
                <w:bCs/>
                <w:sz w:val="26"/>
                <w:szCs w:val="26"/>
              </w:rPr>
              <w:t>Annual Burden and Cost Estimates D</w:t>
            </w:r>
            <w:r>
              <w:rPr>
                <w:rFonts w:ascii="Times New Roman" w:eastAsia="Times New Roman" w:hAnsi="Times New Roman"/>
                <w:b/>
                <w:bCs/>
                <w:sz w:val="26"/>
                <w:szCs w:val="26"/>
              </w:rPr>
              <w:t xml:space="preserve">ue to Implementation of </w:t>
            </w:r>
            <w:r w:rsidRPr="00E96E94">
              <w:rPr>
                <w:rFonts w:ascii="Times New Roman" w:eastAsia="Times New Roman" w:hAnsi="Times New Roman"/>
                <w:b/>
                <w:bCs/>
                <w:sz w:val="26"/>
                <w:szCs w:val="26"/>
              </w:rPr>
              <w:t xml:space="preserve">Final Rule </w:t>
            </w:r>
            <w:r>
              <w:rPr>
                <w:rFonts w:ascii="Times New Roman" w:eastAsia="Times New Roman" w:hAnsi="Times New Roman"/>
                <w:b/>
                <w:bCs/>
                <w:sz w:val="26"/>
                <w:szCs w:val="26"/>
              </w:rPr>
              <w:t xml:space="preserve">in </w:t>
            </w:r>
            <w:r w:rsidR="00E96E94" w:rsidRPr="00E96E94">
              <w:rPr>
                <w:rFonts w:ascii="Times New Roman" w:eastAsia="Times New Roman" w:hAnsi="Times New Roman"/>
                <w:b/>
                <w:bCs/>
                <w:sz w:val="26"/>
                <w:szCs w:val="26"/>
              </w:rPr>
              <w:t xml:space="preserve">RM12-11-003 </w:t>
            </w:r>
          </w:p>
        </w:tc>
      </w:tr>
      <w:tr w:rsidR="00E96E94" w:rsidRPr="00E96E94" w14:paraId="1730C8A1" w14:textId="77777777" w:rsidTr="009F7CC9">
        <w:trPr>
          <w:cantSplit/>
        </w:trPr>
        <w:tc>
          <w:tcPr>
            <w:tcW w:w="92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3E7719F8" w14:textId="77777777" w:rsidR="00E96E94" w:rsidRPr="00E96E94" w:rsidRDefault="00E96E94" w:rsidP="00E96E94">
            <w:pPr>
              <w:widowControl w:val="0"/>
              <w:autoSpaceDE w:val="0"/>
              <w:autoSpaceDN w:val="0"/>
              <w:adjustRightInd w:val="0"/>
              <w:spacing w:after="0" w:line="240" w:lineRule="auto"/>
              <w:rPr>
                <w:rFonts w:ascii="Times New Roman" w:eastAsia="Times New Roman" w:hAnsi="Times New Roman"/>
                <w:b/>
                <w:bCs/>
                <w:sz w:val="26"/>
                <w:szCs w:val="26"/>
              </w:rPr>
            </w:pPr>
          </w:p>
        </w:tc>
        <w:tc>
          <w:tcPr>
            <w:tcW w:w="85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7A2C21FF" w14:textId="77777777" w:rsidR="00E96E94" w:rsidRPr="00E96E94" w:rsidRDefault="00E96E94" w:rsidP="00E96E94">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Number of Respondents (1)</w:t>
            </w:r>
          </w:p>
        </w:tc>
        <w:tc>
          <w:tcPr>
            <w:tcW w:w="79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0A212ADA" w14:textId="77777777" w:rsidR="00E96E94" w:rsidRPr="00E96E94" w:rsidRDefault="00E96E94" w:rsidP="00E96E94">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Number of Responses per Respondent</w:t>
            </w:r>
          </w:p>
          <w:p w14:paraId="3575A05F" w14:textId="77777777" w:rsidR="00E96E94" w:rsidRPr="00E96E94" w:rsidRDefault="00E96E94" w:rsidP="00E96E94">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(2)</w:t>
            </w:r>
          </w:p>
        </w:tc>
        <w:tc>
          <w:tcPr>
            <w:tcW w:w="747" w:type="pct"/>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7C9638AC" w14:textId="77777777" w:rsidR="00E96E94" w:rsidRPr="00E96E94" w:rsidRDefault="00E96E94" w:rsidP="00E96E94">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Average Burden Hours Per Response</w:t>
            </w:r>
          </w:p>
          <w:p w14:paraId="2A09085C" w14:textId="77777777" w:rsidR="00E96E94" w:rsidRPr="00E96E94" w:rsidRDefault="00E96E94" w:rsidP="00E96E94">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(3)</w:t>
            </w:r>
          </w:p>
        </w:tc>
        <w:tc>
          <w:tcPr>
            <w:tcW w:w="813" w:type="pct"/>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37927E39" w14:textId="77777777" w:rsidR="00E96E94" w:rsidRPr="00E96E94" w:rsidRDefault="00E96E94" w:rsidP="00E96E94">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Total Annual Burden Hours</w:t>
            </w:r>
          </w:p>
          <w:p w14:paraId="0A013185" w14:textId="77777777" w:rsidR="00E96E94" w:rsidRPr="00E96E94" w:rsidRDefault="00E96E94" w:rsidP="00E96E94">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(1)x(2)x(3)</w:t>
            </w:r>
          </w:p>
        </w:tc>
        <w:tc>
          <w:tcPr>
            <w:tcW w:w="864"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6AD56280" w14:textId="77777777" w:rsidR="00E96E94" w:rsidRPr="00E96E94" w:rsidRDefault="00E96E94" w:rsidP="00E96E94">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Total Annual Cost ($)</w:t>
            </w:r>
            <w:r w:rsidRPr="00F717FF">
              <w:rPr>
                <w:rFonts w:ascii="Times New Roman" w:eastAsia="Times New Roman" w:hAnsi="Times New Roman"/>
                <w:b/>
                <w:bCs/>
                <w:sz w:val="26"/>
                <w:szCs w:val="26"/>
                <w:vertAlign w:val="superscript"/>
              </w:rPr>
              <w:footnoteReference w:id="8"/>
            </w:r>
          </w:p>
        </w:tc>
      </w:tr>
      <w:tr w:rsidR="00E96E94" w:rsidRPr="00E96E94" w14:paraId="008E2230" w14:textId="77777777" w:rsidTr="009F7CC9">
        <w:trPr>
          <w:cantSplit/>
          <w:trHeight w:val="897"/>
        </w:trPr>
        <w:tc>
          <w:tcPr>
            <w:tcW w:w="9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FD76EA" w14:textId="77777777" w:rsidR="00E96E94" w:rsidRPr="00E96E94" w:rsidRDefault="00E96E94" w:rsidP="00E96E94">
            <w:pPr>
              <w:widowControl w:val="0"/>
              <w:autoSpaceDE w:val="0"/>
              <w:autoSpaceDN w:val="0"/>
              <w:adjustRightInd w:val="0"/>
              <w:spacing w:after="0" w:line="240" w:lineRule="auto"/>
              <w:rPr>
                <w:rFonts w:ascii="Times New Roman" w:eastAsia="Times New Roman" w:hAnsi="Times New Roman"/>
                <w:sz w:val="26"/>
                <w:szCs w:val="26"/>
              </w:rPr>
            </w:pPr>
            <w:r w:rsidRPr="00E96E94">
              <w:rPr>
                <w:rFonts w:ascii="Times New Roman" w:eastAsia="Times New Roman" w:hAnsi="Times New Roman"/>
                <w:sz w:val="26"/>
                <w:szCs w:val="26"/>
              </w:rPr>
              <w:t>Pre-Granted Auxiliary Approval  (18 CFR 2.55)</w:t>
            </w:r>
          </w:p>
        </w:tc>
        <w:tc>
          <w:tcPr>
            <w:tcW w:w="8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C7BE47"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3</w:t>
            </w:r>
          </w:p>
        </w:tc>
        <w:tc>
          <w:tcPr>
            <w:tcW w:w="840" w:type="pct"/>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DBB0BC"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1</w:t>
            </w:r>
          </w:p>
        </w:tc>
        <w:tc>
          <w:tcPr>
            <w:tcW w:w="70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D1821BE"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5</w:t>
            </w: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D36332"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15</w:t>
            </w:r>
          </w:p>
        </w:tc>
        <w:tc>
          <w:tcPr>
            <w:tcW w:w="864" w:type="pct"/>
            <w:tcBorders>
              <w:top w:val="nil"/>
              <w:left w:val="nil"/>
              <w:bottom w:val="single" w:sz="8" w:space="0" w:color="auto"/>
              <w:right w:val="single" w:sz="8" w:space="0" w:color="auto"/>
            </w:tcBorders>
            <w:tcMar>
              <w:top w:w="0" w:type="dxa"/>
              <w:left w:w="108" w:type="dxa"/>
              <w:bottom w:w="0" w:type="dxa"/>
              <w:right w:w="108" w:type="dxa"/>
            </w:tcMar>
            <w:vAlign w:val="bottom"/>
          </w:tcPr>
          <w:p w14:paraId="15914198"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 xml:space="preserve">              $1,080</w:t>
            </w:r>
          </w:p>
        </w:tc>
      </w:tr>
      <w:tr w:rsidR="00E96E94" w:rsidRPr="00E96E94" w14:paraId="1C9B55B3" w14:textId="77777777" w:rsidTr="009F7CC9">
        <w:trPr>
          <w:cantSplit/>
          <w:trHeight w:val="719"/>
        </w:trPr>
        <w:tc>
          <w:tcPr>
            <w:tcW w:w="9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C2473A" w14:textId="77777777" w:rsidR="00E96E94" w:rsidRPr="00E96E94" w:rsidRDefault="00E96E94" w:rsidP="00E96E94">
            <w:pPr>
              <w:widowControl w:val="0"/>
              <w:autoSpaceDE w:val="0"/>
              <w:autoSpaceDN w:val="0"/>
              <w:adjustRightInd w:val="0"/>
              <w:spacing w:after="0" w:line="240" w:lineRule="auto"/>
              <w:rPr>
                <w:rFonts w:ascii="Times New Roman" w:eastAsia="Times New Roman" w:hAnsi="Times New Roman"/>
                <w:sz w:val="26"/>
                <w:szCs w:val="26"/>
              </w:rPr>
            </w:pPr>
            <w:r w:rsidRPr="00E96E94">
              <w:rPr>
                <w:rFonts w:ascii="Times New Roman" w:eastAsia="Times New Roman" w:hAnsi="Times New Roman"/>
                <w:sz w:val="26"/>
                <w:szCs w:val="26"/>
              </w:rPr>
              <w:t>Additional Blanket Certificate Abandonment Applications</w:t>
            </w:r>
          </w:p>
        </w:tc>
        <w:tc>
          <w:tcPr>
            <w:tcW w:w="8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337A54"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2</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E8A9EF"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1</w:t>
            </w:r>
          </w:p>
        </w:tc>
        <w:tc>
          <w:tcPr>
            <w:tcW w:w="741" w:type="pct"/>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CBD8E4"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25</w:t>
            </w:r>
          </w:p>
        </w:tc>
        <w:tc>
          <w:tcPr>
            <w:tcW w:w="79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4C7CF8"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50</w:t>
            </w:r>
          </w:p>
        </w:tc>
        <w:tc>
          <w:tcPr>
            <w:tcW w:w="864" w:type="pct"/>
            <w:tcBorders>
              <w:top w:val="nil"/>
              <w:left w:val="nil"/>
              <w:bottom w:val="single" w:sz="8" w:space="0" w:color="auto"/>
              <w:right w:val="single" w:sz="8" w:space="0" w:color="auto"/>
            </w:tcBorders>
            <w:tcMar>
              <w:top w:w="0" w:type="dxa"/>
              <w:left w:w="108" w:type="dxa"/>
              <w:bottom w:w="0" w:type="dxa"/>
              <w:right w:w="108" w:type="dxa"/>
            </w:tcMar>
            <w:vAlign w:val="bottom"/>
          </w:tcPr>
          <w:p w14:paraId="1C62FD47"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 xml:space="preserve">             $3,600</w:t>
            </w:r>
          </w:p>
        </w:tc>
      </w:tr>
      <w:tr w:rsidR="00E96E94" w:rsidRPr="00E96E94" w14:paraId="54B101F1" w14:textId="77777777" w:rsidTr="009F7CC9">
        <w:trPr>
          <w:cantSplit/>
          <w:trHeight w:val="719"/>
        </w:trPr>
        <w:tc>
          <w:tcPr>
            <w:tcW w:w="9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383C1" w14:textId="77777777" w:rsidR="00E96E94" w:rsidRPr="00E96E94" w:rsidRDefault="00E96E94" w:rsidP="00E96E94">
            <w:pPr>
              <w:widowControl w:val="0"/>
              <w:autoSpaceDE w:val="0"/>
              <w:autoSpaceDN w:val="0"/>
              <w:adjustRightInd w:val="0"/>
              <w:spacing w:after="0" w:line="240" w:lineRule="auto"/>
              <w:rPr>
                <w:rFonts w:ascii="Times New Roman" w:eastAsia="Times New Roman" w:hAnsi="Times New Roman"/>
                <w:sz w:val="26"/>
                <w:szCs w:val="26"/>
              </w:rPr>
            </w:pPr>
            <w:r w:rsidRPr="00E96E94">
              <w:rPr>
                <w:rFonts w:ascii="Times New Roman" w:eastAsia="Times New Roman" w:hAnsi="Times New Roman"/>
                <w:sz w:val="26"/>
                <w:szCs w:val="26"/>
              </w:rPr>
              <w:lastRenderedPageBreak/>
              <w:t>Eliminated</w:t>
            </w:r>
          </w:p>
          <w:p w14:paraId="695240C7" w14:textId="77777777" w:rsidR="00E96E94" w:rsidRPr="00E96E94" w:rsidRDefault="00E96E94" w:rsidP="00E96E94">
            <w:pPr>
              <w:widowControl w:val="0"/>
              <w:autoSpaceDE w:val="0"/>
              <w:autoSpaceDN w:val="0"/>
              <w:adjustRightInd w:val="0"/>
              <w:spacing w:after="0" w:line="240" w:lineRule="auto"/>
              <w:rPr>
                <w:rFonts w:ascii="Times New Roman" w:eastAsia="Times New Roman" w:hAnsi="Times New Roman"/>
                <w:sz w:val="26"/>
                <w:szCs w:val="26"/>
              </w:rPr>
            </w:pPr>
            <w:r w:rsidRPr="00E96E94">
              <w:rPr>
                <w:rFonts w:ascii="Times New Roman" w:eastAsia="Times New Roman" w:hAnsi="Times New Roman"/>
                <w:sz w:val="26"/>
                <w:szCs w:val="26"/>
              </w:rPr>
              <w:t>Blanket Certificate Abandonment Applications</w:t>
            </w:r>
          </w:p>
        </w:tc>
        <w:tc>
          <w:tcPr>
            <w:tcW w:w="8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8BFEF1"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-3</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7CC0258F"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1</w:t>
            </w:r>
          </w:p>
        </w:tc>
        <w:tc>
          <w:tcPr>
            <w:tcW w:w="741" w:type="pct"/>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6DE01F"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25</w:t>
            </w:r>
          </w:p>
        </w:tc>
        <w:tc>
          <w:tcPr>
            <w:tcW w:w="79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C3C0B28"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 xml:space="preserve">                        -75</w:t>
            </w:r>
          </w:p>
        </w:tc>
        <w:tc>
          <w:tcPr>
            <w:tcW w:w="864" w:type="pct"/>
            <w:tcBorders>
              <w:top w:val="nil"/>
              <w:left w:val="nil"/>
              <w:bottom w:val="single" w:sz="8" w:space="0" w:color="auto"/>
              <w:right w:val="single" w:sz="8" w:space="0" w:color="auto"/>
            </w:tcBorders>
            <w:tcMar>
              <w:top w:w="0" w:type="dxa"/>
              <w:left w:w="108" w:type="dxa"/>
              <w:bottom w:w="0" w:type="dxa"/>
              <w:right w:w="108" w:type="dxa"/>
            </w:tcMar>
            <w:vAlign w:val="bottom"/>
          </w:tcPr>
          <w:p w14:paraId="2684EE26"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-$5,400</w:t>
            </w:r>
          </w:p>
        </w:tc>
      </w:tr>
      <w:tr w:rsidR="00E96E94" w:rsidRPr="00E96E94" w14:paraId="45FC5886" w14:textId="77777777" w:rsidTr="009F7CC9">
        <w:trPr>
          <w:cantSplit/>
          <w:trHeight w:val="719"/>
        </w:trPr>
        <w:tc>
          <w:tcPr>
            <w:tcW w:w="9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A46819" w14:textId="77777777" w:rsidR="00E96E94" w:rsidRPr="00E96E94" w:rsidRDefault="00E96E94" w:rsidP="00E96E94">
            <w:pPr>
              <w:widowControl w:val="0"/>
              <w:autoSpaceDE w:val="0"/>
              <w:autoSpaceDN w:val="0"/>
              <w:adjustRightInd w:val="0"/>
              <w:spacing w:after="0" w:line="240" w:lineRule="auto"/>
              <w:rPr>
                <w:rFonts w:ascii="Times New Roman" w:eastAsia="Times New Roman" w:hAnsi="Times New Roman"/>
                <w:sz w:val="26"/>
                <w:szCs w:val="26"/>
              </w:rPr>
            </w:pPr>
            <w:r w:rsidRPr="00E96E94">
              <w:rPr>
                <w:rFonts w:ascii="Times New Roman" w:eastAsia="Times New Roman" w:hAnsi="Times New Roman"/>
                <w:sz w:val="26"/>
                <w:szCs w:val="26"/>
              </w:rPr>
              <w:t>Eliminated Case-Specific Abandonment Applications</w:t>
            </w:r>
          </w:p>
        </w:tc>
        <w:tc>
          <w:tcPr>
            <w:tcW w:w="8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3A4FFD"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-2</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1B6CA2"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1</w:t>
            </w:r>
          </w:p>
        </w:tc>
        <w:tc>
          <w:tcPr>
            <w:tcW w:w="741" w:type="pct"/>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2366E2"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160</w:t>
            </w:r>
          </w:p>
        </w:tc>
        <w:tc>
          <w:tcPr>
            <w:tcW w:w="79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2EB275"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-320</w:t>
            </w:r>
          </w:p>
        </w:tc>
        <w:tc>
          <w:tcPr>
            <w:tcW w:w="864" w:type="pct"/>
            <w:tcBorders>
              <w:top w:val="nil"/>
              <w:left w:val="nil"/>
              <w:bottom w:val="single" w:sz="8" w:space="0" w:color="auto"/>
              <w:right w:val="single" w:sz="8" w:space="0" w:color="auto"/>
            </w:tcBorders>
            <w:tcMar>
              <w:top w:w="0" w:type="dxa"/>
              <w:left w:w="108" w:type="dxa"/>
              <w:bottom w:w="0" w:type="dxa"/>
              <w:right w:w="108" w:type="dxa"/>
            </w:tcMar>
            <w:vAlign w:val="bottom"/>
          </w:tcPr>
          <w:p w14:paraId="058121DA"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-$23,040</w:t>
            </w:r>
          </w:p>
        </w:tc>
      </w:tr>
      <w:tr w:rsidR="00E96E94" w:rsidRPr="00E96E94" w14:paraId="0FFC3F1E" w14:textId="77777777" w:rsidTr="009F7CC9">
        <w:trPr>
          <w:cantSplit/>
          <w:trHeight w:val="701"/>
        </w:trPr>
        <w:tc>
          <w:tcPr>
            <w:tcW w:w="9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DCEC96" w14:textId="77777777" w:rsidR="00E96E94" w:rsidRPr="00E96E94" w:rsidRDefault="00E96E94" w:rsidP="00E96E94">
            <w:pPr>
              <w:widowControl w:val="0"/>
              <w:autoSpaceDE w:val="0"/>
              <w:autoSpaceDN w:val="0"/>
              <w:adjustRightInd w:val="0"/>
              <w:spacing w:after="0" w:line="240" w:lineRule="auto"/>
              <w:rPr>
                <w:rFonts w:ascii="Times New Roman" w:eastAsia="Times New Roman" w:hAnsi="Times New Roman"/>
                <w:b/>
                <w:bCs/>
                <w:sz w:val="26"/>
                <w:szCs w:val="26"/>
              </w:rPr>
            </w:pPr>
            <w:r w:rsidRPr="00E96E94">
              <w:rPr>
                <w:rFonts w:ascii="Times New Roman" w:eastAsia="Times New Roman" w:hAnsi="Times New Roman"/>
                <w:b/>
                <w:bCs/>
                <w:sz w:val="26"/>
                <w:szCs w:val="26"/>
              </w:rPr>
              <w:t>Net Change due to RM12-11-003</w:t>
            </w:r>
          </w:p>
        </w:tc>
        <w:tc>
          <w:tcPr>
            <w:tcW w:w="852" w:type="pct"/>
            <w:tcBorders>
              <w:top w:val="nil"/>
              <w:left w:val="nil"/>
              <w:bottom w:val="single" w:sz="8" w:space="0" w:color="auto"/>
              <w:right w:val="single" w:sz="8" w:space="0" w:color="auto"/>
            </w:tcBorders>
            <w:shd w:val="clear" w:color="auto" w:fill="D2D2D2"/>
            <w:tcMar>
              <w:top w:w="0" w:type="dxa"/>
              <w:left w:w="108" w:type="dxa"/>
              <w:bottom w:w="0" w:type="dxa"/>
              <w:right w:w="108" w:type="dxa"/>
            </w:tcMar>
            <w:vAlign w:val="bottom"/>
          </w:tcPr>
          <w:p w14:paraId="426D2383"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p>
        </w:tc>
        <w:tc>
          <w:tcPr>
            <w:tcW w:w="823" w:type="pct"/>
            <w:gridSpan w:val="2"/>
            <w:tcBorders>
              <w:top w:val="nil"/>
              <w:left w:val="nil"/>
              <w:bottom w:val="single" w:sz="8" w:space="0" w:color="auto"/>
              <w:right w:val="single" w:sz="8" w:space="0" w:color="auto"/>
            </w:tcBorders>
            <w:shd w:val="clear" w:color="auto" w:fill="D2D2D2"/>
            <w:tcMar>
              <w:top w:w="0" w:type="dxa"/>
              <w:left w:w="108" w:type="dxa"/>
              <w:bottom w:w="0" w:type="dxa"/>
              <w:right w:w="108" w:type="dxa"/>
            </w:tcMar>
            <w:vAlign w:val="bottom"/>
          </w:tcPr>
          <w:p w14:paraId="6FF83D84"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p>
        </w:tc>
        <w:tc>
          <w:tcPr>
            <w:tcW w:w="741" w:type="pct"/>
            <w:gridSpan w:val="3"/>
            <w:tcBorders>
              <w:top w:val="nil"/>
              <w:left w:val="nil"/>
              <w:bottom w:val="single" w:sz="8" w:space="0" w:color="auto"/>
              <w:right w:val="single" w:sz="8" w:space="0" w:color="auto"/>
            </w:tcBorders>
            <w:shd w:val="clear" w:color="auto" w:fill="D2D2D2"/>
            <w:tcMar>
              <w:top w:w="0" w:type="dxa"/>
              <w:left w:w="108" w:type="dxa"/>
              <w:bottom w:w="0" w:type="dxa"/>
              <w:right w:w="108" w:type="dxa"/>
            </w:tcMar>
            <w:vAlign w:val="bottom"/>
          </w:tcPr>
          <w:p w14:paraId="215CE47F"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sz w:val="26"/>
                <w:szCs w:val="26"/>
              </w:rPr>
            </w:pPr>
          </w:p>
        </w:tc>
        <w:tc>
          <w:tcPr>
            <w:tcW w:w="79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B69310"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b/>
                <w:sz w:val="26"/>
                <w:szCs w:val="26"/>
              </w:rPr>
            </w:pPr>
            <w:r w:rsidRPr="00E96E94">
              <w:rPr>
                <w:rFonts w:ascii="Times New Roman" w:eastAsia="Times New Roman" w:hAnsi="Times New Roman"/>
                <w:b/>
                <w:sz w:val="26"/>
                <w:szCs w:val="26"/>
              </w:rPr>
              <w:t>-330</w:t>
            </w:r>
          </w:p>
        </w:tc>
        <w:tc>
          <w:tcPr>
            <w:tcW w:w="864" w:type="pct"/>
            <w:tcBorders>
              <w:top w:val="nil"/>
              <w:left w:val="nil"/>
              <w:bottom w:val="single" w:sz="8" w:space="0" w:color="auto"/>
              <w:right w:val="single" w:sz="8" w:space="0" w:color="auto"/>
            </w:tcBorders>
            <w:tcMar>
              <w:top w:w="0" w:type="dxa"/>
              <w:left w:w="108" w:type="dxa"/>
              <w:bottom w:w="0" w:type="dxa"/>
              <w:right w:w="108" w:type="dxa"/>
            </w:tcMar>
            <w:vAlign w:val="bottom"/>
          </w:tcPr>
          <w:p w14:paraId="0E3485C3" w14:textId="77777777" w:rsidR="00E96E94" w:rsidRPr="00E96E94" w:rsidRDefault="00E96E94" w:rsidP="00E96E94">
            <w:pPr>
              <w:widowControl w:val="0"/>
              <w:autoSpaceDE w:val="0"/>
              <w:autoSpaceDN w:val="0"/>
              <w:adjustRightInd w:val="0"/>
              <w:spacing w:after="0" w:line="240" w:lineRule="auto"/>
              <w:jc w:val="right"/>
              <w:rPr>
                <w:rFonts w:ascii="Times New Roman" w:eastAsia="Times New Roman" w:hAnsi="Times New Roman"/>
                <w:b/>
                <w:sz w:val="26"/>
                <w:szCs w:val="26"/>
              </w:rPr>
            </w:pPr>
            <w:r w:rsidRPr="00E96E94">
              <w:rPr>
                <w:rFonts w:ascii="Times New Roman" w:eastAsia="Times New Roman" w:hAnsi="Times New Roman"/>
                <w:b/>
                <w:sz w:val="26"/>
                <w:szCs w:val="26"/>
              </w:rPr>
              <w:t>-$23,760</w:t>
            </w:r>
          </w:p>
        </w:tc>
      </w:tr>
    </w:tbl>
    <w:p w14:paraId="173BC33D" w14:textId="77777777" w:rsidR="00CB1D21" w:rsidRDefault="00CB1D21" w:rsidP="008F4F57">
      <w:pPr>
        <w:spacing w:after="0" w:line="240" w:lineRule="auto"/>
        <w:rPr>
          <w:rFonts w:ascii="Times New Roman" w:hAnsi="Times New Roman"/>
          <w:sz w:val="26"/>
          <w:szCs w:val="26"/>
        </w:rPr>
      </w:pPr>
    </w:p>
    <w:p w14:paraId="7EBB5D3D" w14:textId="0BFAFCB5" w:rsidR="00E96E94" w:rsidRPr="00F717FF" w:rsidRDefault="00CB1D21" w:rsidP="008F4F57">
      <w:pPr>
        <w:spacing w:after="0" w:line="240" w:lineRule="auto"/>
        <w:rPr>
          <w:rFonts w:ascii="Times New Roman" w:hAnsi="Times New Roman"/>
          <w:sz w:val="26"/>
          <w:szCs w:val="26"/>
        </w:rPr>
      </w:pPr>
      <w:r w:rsidRPr="00CB1D21">
        <w:rPr>
          <w:rFonts w:ascii="Times New Roman" w:hAnsi="Times New Roman"/>
          <w:sz w:val="26"/>
          <w:szCs w:val="26"/>
        </w:rPr>
        <w:t>Additional details on the burden and cost are included in #15.</w:t>
      </w:r>
    </w:p>
    <w:p w14:paraId="178EA329" w14:textId="614811EB" w:rsidR="00ED6128" w:rsidRPr="00F717FF" w:rsidRDefault="00ED6128" w:rsidP="00D141FC">
      <w:pPr>
        <w:spacing w:after="0" w:line="240" w:lineRule="auto"/>
        <w:rPr>
          <w:rFonts w:ascii="Times New Roman" w:hAnsi="Times New Roman"/>
          <w:sz w:val="26"/>
          <w:szCs w:val="26"/>
        </w:rPr>
      </w:pPr>
    </w:p>
    <w:p w14:paraId="178EA32A"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ESTIMATE OF THE TOTAL ANNUAL COST BURDEN TO RESPONDENTS</w:t>
      </w:r>
    </w:p>
    <w:p w14:paraId="178EA32B" w14:textId="77777777" w:rsidR="00ED6128" w:rsidRPr="00F717FF" w:rsidRDefault="00ED6128" w:rsidP="008F4F57">
      <w:pPr>
        <w:spacing w:after="0" w:line="240" w:lineRule="auto"/>
        <w:rPr>
          <w:rFonts w:ascii="Times New Roman" w:hAnsi="Times New Roman"/>
          <w:sz w:val="26"/>
          <w:szCs w:val="26"/>
        </w:rPr>
      </w:pPr>
    </w:p>
    <w:p w14:paraId="178EA32C" w14:textId="02D0134B" w:rsidR="00ED6128" w:rsidRPr="00F717FF" w:rsidRDefault="00ED6128" w:rsidP="008F4F57">
      <w:pPr>
        <w:spacing w:after="0" w:line="240" w:lineRule="auto"/>
        <w:rPr>
          <w:rFonts w:ascii="Times New Roman" w:hAnsi="Times New Roman"/>
          <w:sz w:val="26"/>
          <w:szCs w:val="26"/>
        </w:rPr>
      </w:pPr>
      <w:r w:rsidRPr="00F717FF">
        <w:rPr>
          <w:rFonts w:ascii="Times New Roman" w:hAnsi="Times New Roman"/>
          <w:sz w:val="26"/>
          <w:szCs w:val="26"/>
        </w:rPr>
        <w:t>There are no non-labor costs</w:t>
      </w:r>
      <w:r w:rsidR="00454FE1" w:rsidRPr="00F717FF">
        <w:rPr>
          <w:rFonts w:ascii="Times New Roman" w:hAnsi="Times New Roman"/>
          <w:sz w:val="26"/>
          <w:szCs w:val="26"/>
        </w:rPr>
        <w:t>; all costs related to burden hours are described in #12 and 15</w:t>
      </w:r>
      <w:r w:rsidRPr="00F717FF">
        <w:rPr>
          <w:rFonts w:ascii="Times New Roman" w:hAnsi="Times New Roman"/>
          <w:sz w:val="26"/>
          <w:szCs w:val="26"/>
        </w:rPr>
        <w:t>.</w:t>
      </w:r>
    </w:p>
    <w:p w14:paraId="178EA32D" w14:textId="77777777" w:rsidR="00ED6128" w:rsidRPr="00F717FF" w:rsidRDefault="00ED6128" w:rsidP="008F4F57">
      <w:pPr>
        <w:spacing w:after="0" w:line="240" w:lineRule="auto"/>
        <w:rPr>
          <w:rFonts w:ascii="Times New Roman" w:hAnsi="Times New Roman"/>
          <w:sz w:val="26"/>
          <w:szCs w:val="26"/>
        </w:rPr>
      </w:pPr>
    </w:p>
    <w:p w14:paraId="178EA32E"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ESTIMATED ANNUALIZED COST TO FEDERAL GOVERNMENT</w:t>
      </w:r>
    </w:p>
    <w:p w14:paraId="178EA32F" w14:textId="77777777" w:rsidR="00ED6128" w:rsidRPr="00F717FF" w:rsidRDefault="00ED6128" w:rsidP="008F4F57">
      <w:pPr>
        <w:spacing w:after="0" w:line="240" w:lineRule="auto"/>
        <w:rPr>
          <w:rFonts w:ascii="Times New Roman" w:hAnsi="Times New Roman"/>
          <w:sz w:val="26"/>
          <w:szCs w:val="26"/>
        </w:rPr>
      </w:pPr>
    </w:p>
    <w:p w14:paraId="178EA331" w14:textId="77777777" w:rsidR="00ED6128" w:rsidRPr="00F717FF" w:rsidRDefault="00ED6128" w:rsidP="008F4F57">
      <w:pPr>
        <w:spacing w:after="0" w:line="240" w:lineRule="auto"/>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181"/>
        <w:gridCol w:w="3173"/>
      </w:tblGrid>
      <w:tr w:rsidR="00ED6128" w:rsidRPr="00F717FF" w14:paraId="178EA335" w14:textId="77777777" w:rsidTr="00F42A00">
        <w:tc>
          <w:tcPr>
            <w:tcW w:w="3222" w:type="dxa"/>
            <w:shd w:val="clear" w:color="auto" w:fill="CCCCCC"/>
            <w:vAlign w:val="bottom"/>
          </w:tcPr>
          <w:p w14:paraId="178EA332" w14:textId="77777777" w:rsidR="00ED6128" w:rsidRPr="00F717FF" w:rsidRDefault="00ED6128" w:rsidP="00412B66">
            <w:pPr>
              <w:spacing w:after="0" w:line="240" w:lineRule="auto"/>
              <w:rPr>
                <w:rFonts w:ascii="Times New Roman" w:hAnsi="Times New Roman"/>
                <w:b/>
                <w:sz w:val="26"/>
                <w:szCs w:val="26"/>
              </w:rPr>
            </w:pPr>
            <w:r w:rsidRPr="00F717FF">
              <w:rPr>
                <w:rFonts w:ascii="Times New Roman" w:hAnsi="Times New Roman"/>
                <w:b/>
                <w:sz w:val="26"/>
                <w:szCs w:val="26"/>
              </w:rPr>
              <w:t>Type of Cost</w:t>
            </w:r>
          </w:p>
        </w:tc>
        <w:tc>
          <w:tcPr>
            <w:tcW w:w="3181" w:type="dxa"/>
            <w:shd w:val="clear" w:color="auto" w:fill="CCCCCC"/>
          </w:tcPr>
          <w:p w14:paraId="178EA333" w14:textId="77777777" w:rsidR="00ED6128" w:rsidRPr="00F717FF" w:rsidRDefault="00ED6128" w:rsidP="00412B66">
            <w:pPr>
              <w:spacing w:after="0" w:line="240" w:lineRule="auto"/>
              <w:rPr>
                <w:rFonts w:ascii="Times New Roman" w:hAnsi="Times New Roman"/>
                <w:b/>
                <w:sz w:val="26"/>
                <w:szCs w:val="26"/>
              </w:rPr>
            </w:pPr>
            <w:r w:rsidRPr="00F717FF">
              <w:rPr>
                <w:rFonts w:ascii="Times New Roman" w:hAnsi="Times New Roman"/>
                <w:b/>
                <w:sz w:val="26"/>
                <w:szCs w:val="26"/>
              </w:rPr>
              <w:t>Number of Employees (FTEs)</w:t>
            </w:r>
          </w:p>
        </w:tc>
        <w:tc>
          <w:tcPr>
            <w:tcW w:w="3173" w:type="dxa"/>
            <w:shd w:val="clear" w:color="auto" w:fill="CCCCCC"/>
          </w:tcPr>
          <w:p w14:paraId="178EA334" w14:textId="77777777" w:rsidR="00ED6128" w:rsidRPr="00F717FF" w:rsidRDefault="00ED6128" w:rsidP="00412B66">
            <w:pPr>
              <w:spacing w:after="0" w:line="240" w:lineRule="auto"/>
              <w:rPr>
                <w:rFonts w:ascii="Times New Roman" w:hAnsi="Times New Roman"/>
                <w:b/>
                <w:sz w:val="26"/>
                <w:szCs w:val="26"/>
              </w:rPr>
            </w:pPr>
            <w:r w:rsidRPr="00F717FF">
              <w:rPr>
                <w:rFonts w:ascii="Times New Roman" w:hAnsi="Times New Roman"/>
                <w:b/>
                <w:sz w:val="26"/>
                <w:szCs w:val="26"/>
              </w:rPr>
              <w:t>Estimated Annual Federal Cost</w:t>
            </w:r>
            <w:r w:rsidRPr="00F717FF">
              <w:rPr>
                <w:rFonts w:ascii="Times New Roman" w:hAnsi="Times New Roman"/>
                <w:b/>
                <w:sz w:val="26"/>
                <w:szCs w:val="26"/>
                <w:vertAlign w:val="superscript"/>
              </w:rPr>
              <w:footnoteReference w:id="9"/>
            </w:r>
          </w:p>
        </w:tc>
      </w:tr>
      <w:tr w:rsidR="00ED6128" w:rsidRPr="003F2F66" w14:paraId="178EA339" w14:textId="77777777" w:rsidTr="00F42A00">
        <w:tc>
          <w:tcPr>
            <w:tcW w:w="3222" w:type="dxa"/>
          </w:tcPr>
          <w:p w14:paraId="178EA336" w14:textId="77777777" w:rsidR="00ED6128" w:rsidRPr="003F2F66" w:rsidRDefault="00ED6128" w:rsidP="00412B66">
            <w:pPr>
              <w:spacing w:after="0" w:line="240" w:lineRule="auto"/>
              <w:rPr>
                <w:rFonts w:ascii="Times New Roman" w:hAnsi="Times New Roman"/>
                <w:sz w:val="26"/>
                <w:szCs w:val="26"/>
              </w:rPr>
            </w:pPr>
            <w:r w:rsidRPr="003F2F66">
              <w:rPr>
                <w:rFonts w:ascii="Times New Roman" w:hAnsi="Times New Roman"/>
                <w:sz w:val="26"/>
                <w:szCs w:val="26"/>
              </w:rPr>
              <w:t>PRA Administration Cost</w:t>
            </w:r>
            <w:r w:rsidRPr="003F2F66">
              <w:rPr>
                <w:rFonts w:ascii="Times New Roman" w:hAnsi="Times New Roman"/>
                <w:sz w:val="26"/>
                <w:szCs w:val="26"/>
                <w:vertAlign w:val="superscript"/>
              </w:rPr>
              <w:footnoteReference w:id="10"/>
            </w:r>
          </w:p>
        </w:tc>
        <w:tc>
          <w:tcPr>
            <w:tcW w:w="3181" w:type="dxa"/>
            <w:vAlign w:val="bottom"/>
          </w:tcPr>
          <w:p w14:paraId="178EA337" w14:textId="77777777" w:rsidR="00ED6128" w:rsidRPr="003F2F66" w:rsidRDefault="00ED6128" w:rsidP="00412B66">
            <w:pPr>
              <w:spacing w:after="0" w:line="240" w:lineRule="auto"/>
              <w:jc w:val="right"/>
              <w:rPr>
                <w:rFonts w:ascii="Times New Roman" w:hAnsi="Times New Roman"/>
                <w:sz w:val="26"/>
                <w:szCs w:val="26"/>
              </w:rPr>
            </w:pPr>
          </w:p>
        </w:tc>
        <w:tc>
          <w:tcPr>
            <w:tcW w:w="3173" w:type="dxa"/>
            <w:vAlign w:val="bottom"/>
          </w:tcPr>
          <w:p w14:paraId="178EA338" w14:textId="6E75C9D0" w:rsidR="00ED6128" w:rsidRPr="003F2F66" w:rsidRDefault="00ED6128" w:rsidP="00F42A00">
            <w:pPr>
              <w:spacing w:after="0" w:line="240" w:lineRule="auto"/>
              <w:jc w:val="right"/>
              <w:rPr>
                <w:rFonts w:ascii="Times New Roman" w:hAnsi="Times New Roman"/>
                <w:sz w:val="26"/>
                <w:szCs w:val="26"/>
              </w:rPr>
            </w:pPr>
            <w:r w:rsidRPr="003F2F66">
              <w:rPr>
                <w:rFonts w:ascii="Times New Roman" w:hAnsi="Times New Roman"/>
                <w:sz w:val="26"/>
                <w:szCs w:val="26"/>
              </w:rPr>
              <w:t>$</w:t>
            </w:r>
            <w:r w:rsidR="00F42A00" w:rsidRPr="003F2F66">
              <w:rPr>
                <w:rFonts w:ascii="Times New Roman" w:hAnsi="Times New Roman"/>
                <w:sz w:val="26"/>
                <w:szCs w:val="26"/>
              </w:rPr>
              <w:t>5,193</w:t>
            </w:r>
          </w:p>
        </w:tc>
      </w:tr>
      <w:tr w:rsidR="00ED6128" w:rsidRPr="006C0814" w14:paraId="178EA33D" w14:textId="77777777" w:rsidTr="00F42A00">
        <w:tc>
          <w:tcPr>
            <w:tcW w:w="3222" w:type="dxa"/>
          </w:tcPr>
          <w:p w14:paraId="178EA33A" w14:textId="14F01DA5" w:rsidR="00ED6128" w:rsidRPr="003F2F66" w:rsidRDefault="00F42A00" w:rsidP="00412B66">
            <w:pPr>
              <w:spacing w:after="0" w:line="240" w:lineRule="auto"/>
              <w:rPr>
                <w:rFonts w:ascii="Times New Roman" w:hAnsi="Times New Roman"/>
                <w:sz w:val="26"/>
                <w:szCs w:val="26"/>
              </w:rPr>
            </w:pPr>
            <w:r w:rsidRPr="003F2F66">
              <w:rPr>
                <w:rFonts w:ascii="Times New Roman" w:hAnsi="Times New Roman"/>
                <w:sz w:val="26"/>
                <w:szCs w:val="26"/>
              </w:rPr>
              <w:t>Analysis and Processing of Filings</w:t>
            </w:r>
          </w:p>
        </w:tc>
        <w:tc>
          <w:tcPr>
            <w:tcW w:w="3181" w:type="dxa"/>
            <w:vAlign w:val="bottom"/>
          </w:tcPr>
          <w:p w14:paraId="178EA33B" w14:textId="2AE4ADBE" w:rsidR="00ED6128" w:rsidRPr="003F2F66" w:rsidRDefault="0055435F" w:rsidP="00412B66">
            <w:pPr>
              <w:spacing w:after="0" w:line="240" w:lineRule="auto"/>
              <w:jc w:val="right"/>
              <w:rPr>
                <w:rFonts w:ascii="Times New Roman" w:hAnsi="Times New Roman"/>
                <w:sz w:val="26"/>
                <w:szCs w:val="26"/>
              </w:rPr>
            </w:pPr>
            <w:r w:rsidRPr="006C0814">
              <w:rPr>
                <w:rFonts w:ascii="Times New Roman" w:hAnsi="Times New Roman"/>
                <w:sz w:val="26"/>
                <w:szCs w:val="26"/>
              </w:rPr>
              <w:t>41.91</w:t>
            </w:r>
          </w:p>
        </w:tc>
        <w:tc>
          <w:tcPr>
            <w:tcW w:w="3173" w:type="dxa"/>
            <w:vAlign w:val="bottom"/>
          </w:tcPr>
          <w:p w14:paraId="178EA33C" w14:textId="2E7C5C26" w:rsidR="00ED6128" w:rsidRPr="003F2F66" w:rsidRDefault="0055435F" w:rsidP="0055435F">
            <w:pPr>
              <w:spacing w:after="0" w:line="240" w:lineRule="auto"/>
              <w:jc w:val="right"/>
              <w:rPr>
                <w:rFonts w:ascii="Times New Roman" w:hAnsi="Times New Roman"/>
                <w:sz w:val="26"/>
                <w:szCs w:val="26"/>
              </w:rPr>
            </w:pPr>
            <w:r w:rsidRPr="003F2F66">
              <w:rPr>
                <w:rFonts w:ascii="Times New Roman" w:hAnsi="Times New Roman"/>
                <w:sz w:val="26"/>
                <w:szCs w:val="26"/>
              </w:rPr>
              <w:t>$</w:t>
            </w:r>
            <w:r w:rsidRPr="006C0814">
              <w:rPr>
                <w:rFonts w:ascii="Times New Roman" w:hAnsi="Times New Roman"/>
                <w:sz w:val="26"/>
                <w:szCs w:val="26"/>
              </w:rPr>
              <w:t>6,265,083.99</w:t>
            </w:r>
          </w:p>
        </w:tc>
      </w:tr>
      <w:tr w:rsidR="00ED6128" w:rsidRPr="006C0814" w14:paraId="178EA341" w14:textId="77777777" w:rsidTr="00F42A00">
        <w:tc>
          <w:tcPr>
            <w:tcW w:w="3222" w:type="dxa"/>
          </w:tcPr>
          <w:p w14:paraId="178EA33E" w14:textId="77777777" w:rsidR="00ED6128" w:rsidRPr="006C0814" w:rsidRDefault="00ED6128" w:rsidP="00412B66">
            <w:pPr>
              <w:spacing w:after="0" w:line="240" w:lineRule="auto"/>
              <w:rPr>
                <w:rFonts w:ascii="Times New Roman" w:hAnsi="Times New Roman"/>
                <w:b/>
                <w:sz w:val="26"/>
                <w:szCs w:val="26"/>
              </w:rPr>
            </w:pPr>
            <w:r w:rsidRPr="006C0814">
              <w:rPr>
                <w:rFonts w:ascii="Times New Roman" w:hAnsi="Times New Roman"/>
                <w:b/>
                <w:sz w:val="26"/>
                <w:szCs w:val="26"/>
              </w:rPr>
              <w:t>FERC Total</w:t>
            </w:r>
          </w:p>
        </w:tc>
        <w:tc>
          <w:tcPr>
            <w:tcW w:w="3181" w:type="dxa"/>
            <w:vAlign w:val="bottom"/>
          </w:tcPr>
          <w:p w14:paraId="178EA33F" w14:textId="77777777" w:rsidR="00ED6128" w:rsidRPr="006C0814" w:rsidRDefault="00ED6128" w:rsidP="00412B66">
            <w:pPr>
              <w:spacing w:after="0" w:line="240" w:lineRule="auto"/>
              <w:jc w:val="right"/>
              <w:rPr>
                <w:rFonts w:ascii="Times New Roman" w:hAnsi="Times New Roman"/>
                <w:sz w:val="26"/>
                <w:szCs w:val="26"/>
              </w:rPr>
            </w:pPr>
          </w:p>
        </w:tc>
        <w:tc>
          <w:tcPr>
            <w:tcW w:w="3173" w:type="dxa"/>
            <w:vAlign w:val="bottom"/>
          </w:tcPr>
          <w:p w14:paraId="178EA340" w14:textId="4E672CB6" w:rsidR="00ED6128" w:rsidRPr="003F2F66" w:rsidRDefault="00ED6128" w:rsidP="00330589">
            <w:pPr>
              <w:spacing w:after="0" w:line="240" w:lineRule="auto"/>
              <w:jc w:val="right"/>
              <w:rPr>
                <w:rFonts w:ascii="Times New Roman" w:hAnsi="Times New Roman"/>
                <w:sz w:val="26"/>
                <w:szCs w:val="26"/>
              </w:rPr>
            </w:pPr>
            <w:r w:rsidRPr="006C0814">
              <w:rPr>
                <w:rFonts w:ascii="Times New Roman" w:hAnsi="Times New Roman"/>
                <w:sz w:val="26"/>
                <w:szCs w:val="26"/>
              </w:rPr>
              <w:t>$</w:t>
            </w:r>
            <w:r w:rsidR="001449BA" w:rsidRPr="006C0814">
              <w:rPr>
                <w:rFonts w:ascii="Times New Roman" w:hAnsi="Times New Roman"/>
                <w:sz w:val="26"/>
                <w:szCs w:val="26"/>
              </w:rPr>
              <w:t>6,270,276.99</w:t>
            </w:r>
          </w:p>
        </w:tc>
      </w:tr>
    </w:tbl>
    <w:p w14:paraId="0712EB2D" w14:textId="77777777" w:rsidR="00F42A00" w:rsidRPr="006C0814" w:rsidRDefault="00F42A00" w:rsidP="00F42A00">
      <w:pPr>
        <w:spacing w:after="0" w:line="240" w:lineRule="auto"/>
        <w:rPr>
          <w:rFonts w:ascii="Times New Roman" w:hAnsi="Times New Roman"/>
          <w:sz w:val="26"/>
          <w:szCs w:val="26"/>
        </w:rPr>
      </w:pPr>
      <w:r w:rsidRPr="006C0814">
        <w:rPr>
          <w:rFonts w:ascii="Times New Roman" w:hAnsi="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04F52E6B" w14:textId="77777777" w:rsidR="00CC739F" w:rsidRPr="006C0814" w:rsidRDefault="00CC739F" w:rsidP="00F42A00">
      <w:pPr>
        <w:spacing w:after="0" w:line="240" w:lineRule="auto"/>
        <w:rPr>
          <w:rFonts w:ascii="Times New Roman" w:hAnsi="Times New Roman"/>
          <w:sz w:val="26"/>
          <w:szCs w:val="26"/>
        </w:rPr>
      </w:pPr>
    </w:p>
    <w:p w14:paraId="05063A34" w14:textId="77777777" w:rsidR="001449BA" w:rsidRPr="006C0814" w:rsidRDefault="00CC739F" w:rsidP="00F42A00">
      <w:pPr>
        <w:spacing w:after="0" w:line="240" w:lineRule="auto"/>
        <w:rPr>
          <w:rFonts w:ascii="Times New Roman" w:hAnsi="Times New Roman"/>
          <w:sz w:val="26"/>
          <w:szCs w:val="26"/>
        </w:rPr>
      </w:pPr>
      <w:proofErr w:type="gramStart"/>
      <w:r w:rsidRPr="006C0814">
        <w:rPr>
          <w:rFonts w:ascii="Times New Roman" w:hAnsi="Times New Roman"/>
          <w:b/>
          <w:sz w:val="26"/>
          <w:szCs w:val="26"/>
        </w:rPr>
        <w:lastRenderedPageBreak/>
        <w:t>RM12-11-003.</w:t>
      </w:r>
      <w:proofErr w:type="gramEnd"/>
      <w:r w:rsidRPr="006C0814">
        <w:rPr>
          <w:rFonts w:ascii="Times New Roman" w:hAnsi="Times New Roman"/>
          <w:b/>
          <w:sz w:val="26"/>
          <w:szCs w:val="26"/>
        </w:rPr>
        <w:t xml:space="preserve">  </w:t>
      </w:r>
      <w:r w:rsidRPr="006C0814">
        <w:rPr>
          <w:rFonts w:ascii="Times New Roman" w:hAnsi="Times New Roman"/>
          <w:sz w:val="26"/>
          <w:szCs w:val="26"/>
        </w:rPr>
        <w:t>Order 790-B</w:t>
      </w:r>
      <w:r w:rsidR="00DB653D" w:rsidRPr="006C0814">
        <w:rPr>
          <w:rFonts w:ascii="Times New Roman" w:hAnsi="Times New Roman"/>
          <w:sz w:val="26"/>
          <w:szCs w:val="26"/>
        </w:rPr>
        <w:t xml:space="preserve"> will affect only an estimated 5 industry filings per year with an </w:t>
      </w:r>
      <w:r w:rsidR="0055435F" w:rsidRPr="006C0814">
        <w:rPr>
          <w:rFonts w:ascii="Times New Roman" w:hAnsi="Times New Roman"/>
          <w:sz w:val="26"/>
          <w:szCs w:val="26"/>
        </w:rPr>
        <w:t xml:space="preserve">expected </w:t>
      </w:r>
      <w:r w:rsidR="001449BA" w:rsidRPr="006C0814">
        <w:rPr>
          <w:rFonts w:ascii="Times New Roman" w:hAnsi="Times New Roman"/>
          <w:sz w:val="26"/>
          <w:szCs w:val="26"/>
        </w:rPr>
        <w:t xml:space="preserve">total annual </w:t>
      </w:r>
      <w:r w:rsidR="0055435F" w:rsidRPr="006C0814">
        <w:rPr>
          <w:rFonts w:ascii="Times New Roman" w:hAnsi="Times New Roman"/>
          <w:sz w:val="26"/>
          <w:szCs w:val="26"/>
        </w:rPr>
        <w:t xml:space="preserve">savings for industry </w:t>
      </w:r>
      <w:r w:rsidR="001449BA" w:rsidRPr="006C0814">
        <w:rPr>
          <w:rFonts w:ascii="Times New Roman" w:hAnsi="Times New Roman"/>
          <w:sz w:val="26"/>
          <w:szCs w:val="26"/>
        </w:rPr>
        <w:t xml:space="preserve">of </w:t>
      </w:r>
      <w:r w:rsidR="00DB653D" w:rsidRPr="003F2F66">
        <w:rPr>
          <w:rFonts w:ascii="Times New Roman" w:hAnsi="Times New Roman"/>
          <w:sz w:val="26"/>
          <w:szCs w:val="26"/>
        </w:rPr>
        <w:t xml:space="preserve">330 hours per year.  </w:t>
      </w:r>
    </w:p>
    <w:p w14:paraId="2CACD5E8" w14:textId="7A687889" w:rsidR="00CC739F" w:rsidRPr="00F717FF" w:rsidRDefault="00DB653D" w:rsidP="00F42A00">
      <w:pPr>
        <w:spacing w:after="0" w:line="240" w:lineRule="auto"/>
        <w:rPr>
          <w:rFonts w:ascii="Times New Roman" w:hAnsi="Times New Roman"/>
          <w:sz w:val="26"/>
          <w:szCs w:val="26"/>
        </w:rPr>
      </w:pPr>
      <w:r w:rsidRPr="003F2F66">
        <w:rPr>
          <w:rFonts w:ascii="Times New Roman" w:hAnsi="Times New Roman"/>
          <w:sz w:val="26"/>
          <w:szCs w:val="26"/>
        </w:rPr>
        <w:t>Due to the limited effect of the Order, we estimate a similar limited effect on the number of federal FTE’s reviewing and processing the FERC-537 materials</w:t>
      </w:r>
      <w:r w:rsidR="00565C1F" w:rsidRPr="006C0814">
        <w:rPr>
          <w:rFonts w:ascii="Times New Roman" w:hAnsi="Times New Roman"/>
          <w:sz w:val="26"/>
          <w:szCs w:val="26"/>
        </w:rPr>
        <w:t>. For each of the 5 filings being reduced or avoided due to RM12-11-003, we</w:t>
      </w:r>
      <w:r w:rsidRPr="003F2F66">
        <w:rPr>
          <w:rFonts w:ascii="Times New Roman" w:hAnsi="Times New Roman"/>
          <w:sz w:val="26"/>
          <w:szCs w:val="26"/>
        </w:rPr>
        <w:t xml:space="preserve"> expect </w:t>
      </w:r>
      <w:r w:rsidR="00565C1F" w:rsidRPr="006C0814">
        <w:rPr>
          <w:rFonts w:ascii="Times New Roman" w:hAnsi="Times New Roman"/>
          <w:sz w:val="26"/>
          <w:szCs w:val="26"/>
        </w:rPr>
        <w:t xml:space="preserve">the federal government to save one week of effort on average annually.  Therefore the total </w:t>
      </w:r>
      <w:r w:rsidR="001449BA" w:rsidRPr="006C0814">
        <w:rPr>
          <w:rFonts w:ascii="Times New Roman" w:hAnsi="Times New Roman"/>
          <w:sz w:val="26"/>
          <w:szCs w:val="26"/>
        </w:rPr>
        <w:t xml:space="preserve">federal </w:t>
      </w:r>
      <w:r w:rsidR="0055435F" w:rsidRPr="006C0814">
        <w:rPr>
          <w:rFonts w:ascii="Times New Roman" w:hAnsi="Times New Roman"/>
          <w:sz w:val="26"/>
          <w:szCs w:val="26"/>
        </w:rPr>
        <w:t xml:space="preserve">effect </w:t>
      </w:r>
      <w:r w:rsidR="00565C1F" w:rsidRPr="006C0814">
        <w:rPr>
          <w:rFonts w:ascii="Times New Roman" w:hAnsi="Times New Roman"/>
          <w:sz w:val="26"/>
          <w:szCs w:val="26"/>
        </w:rPr>
        <w:t xml:space="preserve">related to this rule would be </w:t>
      </w:r>
      <w:r w:rsidR="001449BA" w:rsidRPr="006C0814">
        <w:rPr>
          <w:rFonts w:ascii="Times New Roman" w:hAnsi="Times New Roman"/>
          <w:sz w:val="26"/>
          <w:szCs w:val="26"/>
        </w:rPr>
        <w:t xml:space="preserve">a savings of </w:t>
      </w:r>
      <w:r w:rsidR="00565C1F" w:rsidRPr="006C0814">
        <w:rPr>
          <w:rFonts w:ascii="Times New Roman" w:hAnsi="Times New Roman"/>
          <w:sz w:val="26"/>
          <w:szCs w:val="26"/>
        </w:rPr>
        <w:t xml:space="preserve">5 weeks (or </w:t>
      </w:r>
      <w:r w:rsidR="0055435F" w:rsidRPr="006C0814">
        <w:rPr>
          <w:rFonts w:ascii="Times New Roman" w:hAnsi="Times New Roman"/>
          <w:sz w:val="26"/>
          <w:szCs w:val="26"/>
        </w:rPr>
        <w:t xml:space="preserve">0.09 </w:t>
      </w:r>
      <w:r w:rsidR="00565C1F" w:rsidRPr="006C0814">
        <w:rPr>
          <w:rFonts w:ascii="Times New Roman" w:hAnsi="Times New Roman"/>
          <w:sz w:val="26"/>
          <w:szCs w:val="26"/>
        </w:rPr>
        <w:t>FTE)</w:t>
      </w:r>
      <w:r w:rsidR="0055435F" w:rsidRPr="006C0814">
        <w:rPr>
          <w:rFonts w:ascii="Times New Roman" w:hAnsi="Times New Roman"/>
          <w:sz w:val="26"/>
          <w:szCs w:val="26"/>
        </w:rPr>
        <w:t xml:space="preserve">.  [Those federal resources will be </w:t>
      </w:r>
      <w:r w:rsidR="003F2F66">
        <w:rPr>
          <w:rFonts w:ascii="Times New Roman" w:hAnsi="Times New Roman"/>
          <w:sz w:val="26"/>
          <w:szCs w:val="26"/>
        </w:rPr>
        <w:t xml:space="preserve">used </w:t>
      </w:r>
      <w:r w:rsidR="006C0814">
        <w:rPr>
          <w:rFonts w:ascii="Times New Roman" w:hAnsi="Times New Roman"/>
          <w:sz w:val="26"/>
          <w:szCs w:val="26"/>
        </w:rPr>
        <w:t>to process</w:t>
      </w:r>
      <w:r w:rsidR="0055435F" w:rsidRPr="006C0814">
        <w:rPr>
          <w:rFonts w:ascii="Times New Roman" w:hAnsi="Times New Roman"/>
          <w:sz w:val="26"/>
          <w:szCs w:val="26"/>
        </w:rPr>
        <w:t xml:space="preserve"> other </w:t>
      </w:r>
      <w:r w:rsidR="004975A0">
        <w:rPr>
          <w:rFonts w:ascii="Times New Roman" w:hAnsi="Times New Roman"/>
          <w:sz w:val="26"/>
          <w:szCs w:val="26"/>
        </w:rPr>
        <w:t xml:space="preserve">regulatory </w:t>
      </w:r>
      <w:r w:rsidR="0055435F" w:rsidRPr="006C0814">
        <w:rPr>
          <w:rFonts w:ascii="Times New Roman" w:hAnsi="Times New Roman"/>
          <w:sz w:val="26"/>
          <w:szCs w:val="26"/>
        </w:rPr>
        <w:t>casework.]</w:t>
      </w:r>
      <w:r w:rsidR="00565C1F" w:rsidRPr="006C0814">
        <w:rPr>
          <w:rFonts w:ascii="Times New Roman" w:hAnsi="Times New Roman"/>
          <w:sz w:val="26"/>
          <w:szCs w:val="26"/>
        </w:rPr>
        <w:t xml:space="preserve">  </w:t>
      </w:r>
    </w:p>
    <w:p w14:paraId="7D9702CA" w14:textId="77777777" w:rsidR="00CC739F" w:rsidRPr="00F717FF" w:rsidRDefault="00CC739F" w:rsidP="00F42A00">
      <w:pPr>
        <w:spacing w:after="0" w:line="240" w:lineRule="auto"/>
        <w:rPr>
          <w:rFonts w:ascii="Times New Roman" w:hAnsi="Times New Roman"/>
          <w:sz w:val="26"/>
          <w:szCs w:val="26"/>
        </w:rPr>
      </w:pPr>
    </w:p>
    <w:p w14:paraId="7BD4C2BC" w14:textId="77777777" w:rsidR="00F42A00" w:rsidRPr="00F717FF" w:rsidRDefault="00F42A00" w:rsidP="00F42A00">
      <w:pPr>
        <w:spacing w:after="0" w:line="240" w:lineRule="auto"/>
        <w:rPr>
          <w:rFonts w:ascii="Times New Roman" w:hAnsi="Times New Roman"/>
          <w:sz w:val="26"/>
          <w:szCs w:val="26"/>
        </w:rPr>
      </w:pPr>
    </w:p>
    <w:p w14:paraId="37B400A3" w14:textId="501CA2B2" w:rsidR="00136E4F" w:rsidRPr="00F717FF" w:rsidRDefault="00CC739F" w:rsidP="00CC739F">
      <w:pPr>
        <w:spacing w:after="0" w:line="240" w:lineRule="auto"/>
        <w:rPr>
          <w:rFonts w:ascii="Times New Roman" w:hAnsi="Times New Roman"/>
          <w:sz w:val="26"/>
          <w:szCs w:val="26"/>
        </w:rPr>
      </w:pPr>
      <w:proofErr w:type="gramStart"/>
      <w:r w:rsidRPr="00F717FF">
        <w:rPr>
          <w:rFonts w:ascii="Times New Roman" w:hAnsi="Times New Roman"/>
          <w:b/>
          <w:sz w:val="26"/>
          <w:szCs w:val="26"/>
        </w:rPr>
        <w:t>FERC-537 in general.</w:t>
      </w:r>
      <w:proofErr w:type="gramEnd"/>
      <w:r w:rsidRPr="00F717FF">
        <w:rPr>
          <w:rFonts w:ascii="Times New Roman" w:hAnsi="Times New Roman"/>
          <w:sz w:val="26"/>
          <w:szCs w:val="26"/>
        </w:rPr>
        <w:t xml:space="preserve">  </w:t>
      </w:r>
      <w:r w:rsidR="00FA321D">
        <w:rPr>
          <w:rFonts w:ascii="Times New Roman" w:hAnsi="Times New Roman"/>
          <w:sz w:val="26"/>
          <w:szCs w:val="26"/>
        </w:rPr>
        <w:t>The</w:t>
      </w:r>
      <w:r w:rsidR="00136E4F" w:rsidRPr="00F717FF">
        <w:rPr>
          <w:rFonts w:ascii="Times New Roman" w:hAnsi="Times New Roman"/>
          <w:sz w:val="26"/>
          <w:szCs w:val="26"/>
        </w:rPr>
        <w:t xml:space="preserve"> </w:t>
      </w:r>
      <w:r w:rsidR="00FA321D">
        <w:rPr>
          <w:rFonts w:ascii="Times New Roman" w:hAnsi="Times New Roman"/>
          <w:sz w:val="26"/>
          <w:szCs w:val="26"/>
        </w:rPr>
        <w:t>FERC-537 applications and data include</w:t>
      </w:r>
      <w:r w:rsidR="00F42A00" w:rsidRPr="00F717FF">
        <w:rPr>
          <w:rFonts w:ascii="Times New Roman" w:hAnsi="Times New Roman"/>
          <w:sz w:val="26"/>
          <w:szCs w:val="26"/>
        </w:rPr>
        <w:t xml:space="preserve"> a variety of </w:t>
      </w:r>
      <w:r w:rsidR="00FA321D">
        <w:rPr>
          <w:rFonts w:ascii="Times New Roman" w:hAnsi="Times New Roman"/>
          <w:sz w:val="26"/>
          <w:szCs w:val="26"/>
        </w:rPr>
        <w:t xml:space="preserve">highly </w:t>
      </w:r>
      <w:r w:rsidR="00F42A00" w:rsidRPr="00F717FF">
        <w:rPr>
          <w:rFonts w:ascii="Times New Roman" w:hAnsi="Times New Roman"/>
          <w:sz w:val="26"/>
          <w:szCs w:val="26"/>
        </w:rPr>
        <w:t>technical exhibits</w:t>
      </w:r>
      <w:r w:rsidR="00FA321D">
        <w:rPr>
          <w:rFonts w:ascii="Times New Roman" w:hAnsi="Times New Roman"/>
          <w:sz w:val="26"/>
          <w:szCs w:val="26"/>
        </w:rPr>
        <w:t>.  The federal staff analyzing and processing the data includes</w:t>
      </w:r>
      <w:r w:rsidR="00F42A00" w:rsidRPr="00F717FF">
        <w:rPr>
          <w:rFonts w:ascii="Times New Roman" w:hAnsi="Times New Roman"/>
          <w:sz w:val="26"/>
          <w:szCs w:val="26"/>
        </w:rPr>
        <w:t xml:space="preserve"> many types of </w:t>
      </w:r>
      <w:r w:rsidR="00136E4F" w:rsidRPr="00F717FF">
        <w:rPr>
          <w:rFonts w:ascii="Times New Roman" w:hAnsi="Times New Roman"/>
          <w:sz w:val="26"/>
          <w:szCs w:val="26"/>
        </w:rPr>
        <w:t xml:space="preserve">highly specialized and experienced </w:t>
      </w:r>
      <w:r w:rsidR="00F42A00" w:rsidRPr="00F717FF">
        <w:rPr>
          <w:rFonts w:ascii="Times New Roman" w:hAnsi="Times New Roman"/>
          <w:sz w:val="26"/>
          <w:szCs w:val="26"/>
        </w:rPr>
        <w:t>technical</w:t>
      </w:r>
      <w:r w:rsidR="00136E4F" w:rsidRPr="00F717FF">
        <w:rPr>
          <w:rFonts w:ascii="Times New Roman" w:hAnsi="Times New Roman"/>
          <w:sz w:val="26"/>
          <w:szCs w:val="26"/>
        </w:rPr>
        <w:t xml:space="preserve"> and </w:t>
      </w:r>
      <w:r w:rsidR="00F42A00" w:rsidRPr="00F717FF">
        <w:rPr>
          <w:rFonts w:ascii="Times New Roman" w:hAnsi="Times New Roman"/>
          <w:sz w:val="26"/>
          <w:szCs w:val="26"/>
        </w:rPr>
        <w:t xml:space="preserve">professional </w:t>
      </w:r>
      <w:r w:rsidR="00136E4F" w:rsidRPr="00F717FF">
        <w:rPr>
          <w:rFonts w:ascii="Times New Roman" w:hAnsi="Times New Roman"/>
          <w:sz w:val="26"/>
          <w:szCs w:val="26"/>
        </w:rPr>
        <w:t xml:space="preserve">staff members in </w:t>
      </w:r>
      <w:r w:rsidR="00FA321D">
        <w:rPr>
          <w:rFonts w:ascii="Times New Roman" w:hAnsi="Times New Roman"/>
          <w:sz w:val="26"/>
          <w:szCs w:val="26"/>
        </w:rPr>
        <w:t>a variety of</w:t>
      </w:r>
      <w:r w:rsidR="00136E4F" w:rsidRPr="00F717FF">
        <w:rPr>
          <w:rFonts w:ascii="Times New Roman" w:hAnsi="Times New Roman"/>
          <w:sz w:val="26"/>
          <w:szCs w:val="26"/>
        </w:rPr>
        <w:t xml:space="preserve"> fields</w:t>
      </w:r>
      <w:r w:rsidR="00F42A00" w:rsidRPr="00F717FF">
        <w:rPr>
          <w:rFonts w:ascii="Times New Roman" w:hAnsi="Times New Roman"/>
          <w:sz w:val="26"/>
          <w:szCs w:val="26"/>
        </w:rPr>
        <w:t xml:space="preserve">. </w:t>
      </w:r>
      <w:r w:rsidR="00FA321D" w:rsidRPr="00F717FF">
        <w:rPr>
          <w:rFonts w:ascii="Times New Roman" w:hAnsi="Times New Roman"/>
          <w:sz w:val="26"/>
          <w:szCs w:val="26"/>
        </w:rPr>
        <w:t xml:space="preserve">FERC-537 </w:t>
      </w:r>
      <w:r w:rsidR="00FA321D">
        <w:rPr>
          <w:rFonts w:ascii="Times New Roman" w:hAnsi="Times New Roman"/>
          <w:sz w:val="26"/>
          <w:szCs w:val="26"/>
        </w:rPr>
        <w:t xml:space="preserve">applications and related </w:t>
      </w:r>
      <w:r w:rsidR="00F42A00" w:rsidRPr="00F717FF">
        <w:rPr>
          <w:rFonts w:ascii="Times New Roman" w:hAnsi="Times New Roman"/>
          <w:sz w:val="26"/>
          <w:szCs w:val="26"/>
        </w:rPr>
        <w:t xml:space="preserve">exhibits </w:t>
      </w:r>
      <w:r w:rsidR="00136E4F" w:rsidRPr="00F717FF">
        <w:rPr>
          <w:rFonts w:ascii="Times New Roman" w:hAnsi="Times New Roman"/>
          <w:sz w:val="26"/>
          <w:szCs w:val="26"/>
        </w:rPr>
        <w:t>may</w:t>
      </w:r>
      <w:r w:rsidR="00F42A00" w:rsidRPr="00F717FF">
        <w:rPr>
          <w:rFonts w:ascii="Times New Roman" w:hAnsi="Times New Roman"/>
          <w:sz w:val="26"/>
          <w:szCs w:val="26"/>
        </w:rPr>
        <w:t xml:space="preserve"> include: </w:t>
      </w:r>
    </w:p>
    <w:p w14:paraId="74F8BDBA" w14:textId="2A63EA05" w:rsidR="00136E4F" w:rsidRPr="00F717FF" w:rsidRDefault="00136E4F" w:rsidP="00136E4F">
      <w:pPr>
        <w:pStyle w:val="ListParagraph"/>
        <w:numPr>
          <w:ilvl w:val="0"/>
          <w:numId w:val="15"/>
        </w:numPr>
        <w:spacing w:after="0" w:line="240" w:lineRule="auto"/>
        <w:rPr>
          <w:rFonts w:ascii="Times New Roman" w:hAnsi="Times New Roman"/>
          <w:sz w:val="26"/>
          <w:szCs w:val="26"/>
        </w:rPr>
      </w:pPr>
      <w:r w:rsidRPr="00F717FF">
        <w:rPr>
          <w:rFonts w:ascii="Times New Roman" w:hAnsi="Times New Roman"/>
          <w:sz w:val="26"/>
          <w:szCs w:val="26"/>
        </w:rPr>
        <w:t>for certificates</w:t>
      </w:r>
    </w:p>
    <w:p w14:paraId="4DA32BA1" w14:textId="114C8876" w:rsidR="00136E4F" w:rsidRPr="00F717FF" w:rsidRDefault="00136E4F" w:rsidP="00136E4F">
      <w:pPr>
        <w:pStyle w:val="ListParagraph"/>
        <w:numPr>
          <w:ilvl w:val="0"/>
          <w:numId w:val="13"/>
        </w:numPr>
        <w:spacing w:after="0" w:line="240" w:lineRule="auto"/>
        <w:rPr>
          <w:rFonts w:ascii="Times New Roman" w:hAnsi="Times New Roman"/>
          <w:sz w:val="26"/>
          <w:szCs w:val="26"/>
        </w:rPr>
      </w:pPr>
      <w:r w:rsidRPr="00F717FF">
        <w:rPr>
          <w:rFonts w:ascii="Times New Roman" w:hAnsi="Times New Roman"/>
          <w:sz w:val="26"/>
          <w:szCs w:val="26"/>
        </w:rPr>
        <w:t>Articles of incorporation</w:t>
      </w:r>
    </w:p>
    <w:p w14:paraId="1ECF8619" w14:textId="3F764B9A" w:rsidR="00F42A00" w:rsidRPr="00F717FF" w:rsidRDefault="00F42A00" w:rsidP="00136E4F">
      <w:pPr>
        <w:pStyle w:val="ListParagraph"/>
        <w:numPr>
          <w:ilvl w:val="0"/>
          <w:numId w:val="13"/>
        </w:numPr>
        <w:spacing w:after="0" w:line="240" w:lineRule="auto"/>
        <w:rPr>
          <w:rFonts w:ascii="Times New Roman" w:hAnsi="Times New Roman"/>
          <w:sz w:val="26"/>
          <w:szCs w:val="26"/>
        </w:rPr>
      </w:pPr>
      <w:r w:rsidRPr="00F717FF">
        <w:rPr>
          <w:rFonts w:ascii="Times New Roman" w:hAnsi="Times New Roman"/>
          <w:sz w:val="26"/>
          <w:szCs w:val="26"/>
        </w:rPr>
        <w:t xml:space="preserve">Flow diagrams </w:t>
      </w:r>
      <w:r w:rsidR="00136E4F" w:rsidRPr="00F717FF">
        <w:rPr>
          <w:rFonts w:ascii="Times New Roman" w:hAnsi="Times New Roman"/>
          <w:sz w:val="26"/>
          <w:szCs w:val="26"/>
        </w:rPr>
        <w:t>(</w:t>
      </w:r>
      <w:r w:rsidRPr="00F717FF">
        <w:rPr>
          <w:rFonts w:ascii="Times New Roman" w:hAnsi="Times New Roman"/>
          <w:sz w:val="26"/>
          <w:szCs w:val="26"/>
        </w:rPr>
        <w:t>showing daily design capacity and reflecting operation with and without proposed facilities, reflecting maximum capabilities, and data</w:t>
      </w:r>
      <w:r w:rsidR="00136E4F" w:rsidRPr="00F717FF">
        <w:rPr>
          <w:rFonts w:ascii="Times New Roman" w:hAnsi="Times New Roman"/>
          <w:sz w:val="26"/>
          <w:szCs w:val="26"/>
        </w:rPr>
        <w:t>)</w:t>
      </w:r>
      <w:r w:rsidRPr="00F717FF">
        <w:rPr>
          <w:rFonts w:ascii="Times New Roman" w:hAnsi="Times New Roman"/>
          <w:sz w:val="26"/>
          <w:szCs w:val="26"/>
        </w:rPr>
        <w:t xml:space="preserve"> </w:t>
      </w:r>
    </w:p>
    <w:p w14:paraId="1A58419B" w14:textId="07114DEB" w:rsidR="00F42A00" w:rsidRPr="00F717FF" w:rsidRDefault="00F42A00" w:rsidP="00136E4F">
      <w:pPr>
        <w:pStyle w:val="ListParagraph"/>
        <w:numPr>
          <w:ilvl w:val="0"/>
          <w:numId w:val="13"/>
        </w:numPr>
        <w:spacing w:after="0" w:line="240" w:lineRule="auto"/>
        <w:rPr>
          <w:rFonts w:ascii="Times New Roman" w:hAnsi="Times New Roman"/>
          <w:sz w:val="26"/>
          <w:szCs w:val="26"/>
        </w:rPr>
      </w:pPr>
      <w:r w:rsidRPr="00F717FF">
        <w:rPr>
          <w:rFonts w:ascii="Times New Roman" w:hAnsi="Times New Roman"/>
          <w:sz w:val="26"/>
          <w:szCs w:val="26"/>
        </w:rPr>
        <w:t xml:space="preserve">Total gas supply data </w:t>
      </w:r>
    </w:p>
    <w:p w14:paraId="46D98697" w14:textId="3DE6E199" w:rsidR="00F42A00" w:rsidRPr="00F717FF" w:rsidRDefault="00F42A00" w:rsidP="00136E4F">
      <w:pPr>
        <w:pStyle w:val="ListParagraph"/>
        <w:numPr>
          <w:ilvl w:val="0"/>
          <w:numId w:val="13"/>
        </w:numPr>
        <w:spacing w:after="0" w:line="240" w:lineRule="auto"/>
        <w:rPr>
          <w:rFonts w:ascii="Times New Roman" w:hAnsi="Times New Roman"/>
          <w:sz w:val="26"/>
          <w:szCs w:val="26"/>
        </w:rPr>
      </w:pPr>
      <w:r w:rsidRPr="00F717FF">
        <w:rPr>
          <w:rFonts w:ascii="Times New Roman" w:hAnsi="Times New Roman"/>
          <w:sz w:val="26"/>
          <w:szCs w:val="26"/>
        </w:rPr>
        <w:t xml:space="preserve">Market data </w:t>
      </w:r>
    </w:p>
    <w:p w14:paraId="220D19F0" w14:textId="5D699162" w:rsidR="00F42A00" w:rsidRPr="00F717FF" w:rsidRDefault="00F42A00" w:rsidP="00136E4F">
      <w:pPr>
        <w:pStyle w:val="ListParagraph"/>
        <w:numPr>
          <w:ilvl w:val="0"/>
          <w:numId w:val="13"/>
        </w:numPr>
        <w:spacing w:after="0" w:line="240" w:lineRule="auto"/>
        <w:rPr>
          <w:rFonts w:ascii="Times New Roman" w:hAnsi="Times New Roman"/>
          <w:sz w:val="26"/>
          <w:szCs w:val="26"/>
        </w:rPr>
      </w:pPr>
      <w:r w:rsidRPr="00F717FF">
        <w:rPr>
          <w:rFonts w:ascii="Times New Roman" w:hAnsi="Times New Roman"/>
          <w:sz w:val="26"/>
          <w:szCs w:val="26"/>
        </w:rPr>
        <w:t xml:space="preserve">Federal authorizations </w:t>
      </w:r>
    </w:p>
    <w:p w14:paraId="6BA8BFD0" w14:textId="35FB3E89" w:rsidR="00F42A00" w:rsidRPr="00F717FF" w:rsidRDefault="00F42A00" w:rsidP="00136E4F">
      <w:pPr>
        <w:pStyle w:val="ListParagraph"/>
        <w:numPr>
          <w:ilvl w:val="0"/>
          <w:numId w:val="13"/>
        </w:numPr>
        <w:spacing w:after="0" w:line="240" w:lineRule="auto"/>
        <w:rPr>
          <w:rFonts w:ascii="Times New Roman" w:hAnsi="Times New Roman"/>
          <w:sz w:val="26"/>
          <w:szCs w:val="26"/>
        </w:rPr>
      </w:pPr>
      <w:r w:rsidRPr="00F717FF">
        <w:rPr>
          <w:rFonts w:ascii="Times New Roman" w:hAnsi="Times New Roman"/>
          <w:sz w:val="26"/>
          <w:szCs w:val="26"/>
        </w:rPr>
        <w:t xml:space="preserve">Cost of facilities </w:t>
      </w:r>
    </w:p>
    <w:p w14:paraId="43D36E2C" w14:textId="029AD0C2" w:rsidR="00F42A00" w:rsidRPr="00F717FF" w:rsidRDefault="00F42A00" w:rsidP="00136E4F">
      <w:pPr>
        <w:pStyle w:val="ListParagraph"/>
        <w:numPr>
          <w:ilvl w:val="0"/>
          <w:numId w:val="13"/>
        </w:numPr>
        <w:spacing w:after="0" w:line="240" w:lineRule="auto"/>
        <w:rPr>
          <w:rFonts w:ascii="Times New Roman" w:hAnsi="Times New Roman"/>
          <w:sz w:val="26"/>
          <w:szCs w:val="26"/>
        </w:rPr>
      </w:pPr>
      <w:r w:rsidRPr="00F717FF">
        <w:rPr>
          <w:rFonts w:ascii="Times New Roman" w:hAnsi="Times New Roman"/>
          <w:sz w:val="26"/>
          <w:szCs w:val="26"/>
        </w:rPr>
        <w:t xml:space="preserve">Financing </w:t>
      </w:r>
    </w:p>
    <w:p w14:paraId="73E912B9" w14:textId="128E37A0" w:rsidR="00136E4F" w:rsidRPr="00F717FF" w:rsidRDefault="00136E4F" w:rsidP="00136E4F">
      <w:pPr>
        <w:pStyle w:val="ListParagraph"/>
        <w:numPr>
          <w:ilvl w:val="0"/>
          <w:numId w:val="13"/>
        </w:numPr>
        <w:spacing w:after="0" w:line="240" w:lineRule="auto"/>
        <w:rPr>
          <w:rFonts w:ascii="Times New Roman" w:hAnsi="Times New Roman"/>
          <w:sz w:val="26"/>
          <w:szCs w:val="26"/>
        </w:rPr>
      </w:pPr>
      <w:r w:rsidRPr="00F717FF">
        <w:rPr>
          <w:rFonts w:ascii="Times New Roman" w:hAnsi="Times New Roman"/>
          <w:sz w:val="26"/>
          <w:szCs w:val="26"/>
        </w:rPr>
        <w:t>Construction, operation, and management</w:t>
      </w:r>
    </w:p>
    <w:p w14:paraId="3DEC6A54" w14:textId="4F80431C" w:rsidR="00F42A00" w:rsidRPr="00F717FF" w:rsidRDefault="00F42A00" w:rsidP="00136E4F">
      <w:pPr>
        <w:pStyle w:val="ListParagraph"/>
        <w:numPr>
          <w:ilvl w:val="0"/>
          <w:numId w:val="13"/>
        </w:numPr>
        <w:spacing w:after="0" w:line="240" w:lineRule="auto"/>
        <w:rPr>
          <w:rFonts w:ascii="Times New Roman" w:hAnsi="Times New Roman"/>
          <w:sz w:val="26"/>
          <w:szCs w:val="26"/>
        </w:rPr>
      </w:pPr>
      <w:r w:rsidRPr="00F717FF">
        <w:rPr>
          <w:rFonts w:ascii="Times New Roman" w:hAnsi="Times New Roman"/>
          <w:sz w:val="26"/>
          <w:szCs w:val="26"/>
        </w:rPr>
        <w:t xml:space="preserve">Revenues, Expenses, and Income </w:t>
      </w:r>
    </w:p>
    <w:p w14:paraId="31B7DD3A" w14:textId="24A9E526" w:rsidR="00F42A00" w:rsidRPr="00F717FF" w:rsidRDefault="00136E4F" w:rsidP="00136E4F">
      <w:pPr>
        <w:pStyle w:val="ListParagraph"/>
        <w:numPr>
          <w:ilvl w:val="0"/>
          <w:numId w:val="13"/>
        </w:numPr>
        <w:spacing w:after="0" w:line="240" w:lineRule="auto"/>
        <w:rPr>
          <w:rFonts w:ascii="Times New Roman" w:hAnsi="Times New Roman"/>
          <w:sz w:val="26"/>
          <w:szCs w:val="26"/>
        </w:rPr>
      </w:pPr>
      <w:r w:rsidRPr="00F717FF">
        <w:rPr>
          <w:rFonts w:ascii="Times New Roman" w:hAnsi="Times New Roman"/>
          <w:sz w:val="26"/>
          <w:szCs w:val="26"/>
        </w:rPr>
        <w:t>Depreciation and depletion</w:t>
      </w:r>
    </w:p>
    <w:p w14:paraId="178EA343" w14:textId="10F3C7E7" w:rsidR="00ED6128" w:rsidRPr="00F717FF" w:rsidRDefault="00136E4F" w:rsidP="00136E4F">
      <w:pPr>
        <w:pStyle w:val="ListParagraph"/>
        <w:numPr>
          <w:ilvl w:val="0"/>
          <w:numId w:val="13"/>
        </w:numPr>
        <w:spacing w:after="0" w:line="240" w:lineRule="auto"/>
        <w:rPr>
          <w:rFonts w:ascii="Times New Roman" w:hAnsi="Times New Roman"/>
          <w:sz w:val="26"/>
          <w:szCs w:val="26"/>
        </w:rPr>
      </w:pPr>
      <w:r w:rsidRPr="00F717FF">
        <w:rPr>
          <w:rFonts w:ascii="Times New Roman" w:hAnsi="Times New Roman"/>
          <w:sz w:val="26"/>
          <w:szCs w:val="26"/>
        </w:rPr>
        <w:t>Tariffs</w:t>
      </w:r>
    </w:p>
    <w:p w14:paraId="561579F0" w14:textId="0B114F42" w:rsidR="00136E4F" w:rsidRPr="00F717FF" w:rsidRDefault="006437C5" w:rsidP="00136E4F">
      <w:pPr>
        <w:pStyle w:val="ListParagraph"/>
        <w:numPr>
          <w:ilvl w:val="0"/>
          <w:numId w:val="13"/>
        </w:numPr>
        <w:spacing w:after="0" w:line="240" w:lineRule="auto"/>
        <w:ind w:left="360"/>
        <w:rPr>
          <w:rFonts w:ascii="Times New Roman" w:hAnsi="Times New Roman"/>
          <w:sz w:val="26"/>
          <w:szCs w:val="26"/>
        </w:rPr>
      </w:pPr>
      <w:r w:rsidRPr="00F717FF">
        <w:rPr>
          <w:rFonts w:ascii="Times New Roman" w:hAnsi="Times New Roman"/>
          <w:sz w:val="26"/>
          <w:szCs w:val="26"/>
        </w:rPr>
        <w:t>for abandonments</w:t>
      </w:r>
    </w:p>
    <w:p w14:paraId="76613A95" w14:textId="39A7CC53" w:rsidR="006437C5" w:rsidRPr="00F717FF" w:rsidRDefault="006437C5" w:rsidP="006437C5">
      <w:pPr>
        <w:pStyle w:val="ListParagraph"/>
        <w:numPr>
          <w:ilvl w:val="1"/>
          <w:numId w:val="13"/>
        </w:numPr>
        <w:spacing w:after="0" w:line="240" w:lineRule="auto"/>
        <w:ind w:left="720"/>
        <w:rPr>
          <w:rFonts w:ascii="Times New Roman" w:hAnsi="Times New Roman"/>
          <w:sz w:val="26"/>
          <w:szCs w:val="26"/>
        </w:rPr>
      </w:pPr>
      <w:r w:rsidRPr="00F717FF">
        <w:rPr>
          <w:rFonts w:ascii="Times New Roman" w:hAnsi="Times New Roman"/>
          <w:sz w:val="26"/>
          <w:szCs w:val="26"/>
        </w:rPr>
        <w:t>Related applications</w:t>
      </w:r>
    </w:p>
    <w:p w14:paraId="68C08491" w14:textId="77777777" w:rsidR="006437C5" w:rsidRPr="00F717FF" w:rsidRDefault="006437C5" w:rsidP="006437C5">
      <w:pPr>
        <w:pStyle w:val="ListParagraph"/>
        <w:numPr>
          <w:ilvl w:val="1"/>
          <w:numId w:val="13"/>
        </w:numPr>
        <w:spacing w:after="0" w:line="240" w:lineRule="auto"/>
        <w:ind w:left="720"/>
        <w:rPr>
          <w:rFonts w:ascii="Times New Roman" w:hAnsi="Times New Roman"/>
          <w:sz w:val="26"/>
          <w:szCs w:val="26"/>
        </w:rPr>
      </w:pPr>
      <w:r w:rsidRPr="00F717FF">
        <w:rPr>
          <w:rFonts w:ascii="Times New Roman" w:hAnsi="Times New Roman"/>
          <w:iCs/>
          <w:sz w:val="26"/>
          <w:szCs w:val="26"/>
        </w:rPr>
        <w:t>Contracts and other agreements</w:t>
      </w:r>
    </w:p>
    <w:p w14:paraId="14AA8138" w14:textId="3CAAA19E" w:rsidR="006437C5" w:rsidRPr="00F717FF" w:rsidRDefault="006437C5" w:rsidP="006437C5">
      <w:pPr>
        <w:pStyle w:val="ListParagraph"/>
        <w:numPr>
          <w:ilvl w:val="1"/>
          <w:numId w:val="13"/>
        </w:numPr>
        <w:spacing w:after="0" w:line="240" w:lineRule="auto"/>
        <w:ind w:left="720"/>
        <w:rPr>
          <w:rFonts w:ascii="Times New Roman" w:hAnsi="Times New Roman"/>
          <w:sz w:val="26"/>
          <w:szCs w:val="26"/>
        </w:rPr>
      </w:pPr>
      <w:r w:rsidRPr="00F717FF">
        <w:rPr>
          <w:rFonts w:ascii="Times New Roman" w:hAnsi="Times New Roman"/>
          <w:iCs/>
          <w:sz w:val="26"/>
          <w:szCs w:val="26"/>
        </w:rPr>
        <w:t>Flow diagram showing daily design capacity and reflecting operation of applicant's system after abandonment</w:t>
      </w:r>
    </w:p>
    <w:p w14:paraId="133A6177" w14:textId="4755CC31" w:rsidR="006437C5" w:rsidRPr="00F717FF" w:rsidRDefault="000A4D8A" w:rsidP="006437C5">
      <w:pPr>
        <w:pStyle w:val="ListParagraph"/>
        <w:numPr>
          <w:ilvl w:val="1"/>
          <w:numId w:val="13"/>
        </w:numPr>
        <w:spacing w:after="0" w:line="240" w:lineRule="auto"/>
        <w:ind w:left="720"/>
        <w:rPr>
          <w:rFonts w:ascii="Times New Roman" w:hAnsi="Times New Roman"/>
          <w:sz w:val="26"/>
          <w:szCs w:val="26"/>
        </w:rPr>
      </w:pPr>
      <w:r w:rsidRPr="00F717FF">
        <w:rPr>
          <w:rFonts w:ascii="Times New Roman" w:hAnsi="Times New Roman"/>
          <w:iCs/>
          <w:sz w:val="26"/>
          <w:szCs w:val="26"/>
        </w:rPr>
        <w:t>Impact on customers whose service will be terminated</w:t>
      </w:r>
    </w:p>
    <w:p w14:paraId="38985731" w14:textId="08FC3B03" w:rsidR="000A4D8A" w:rsidRPr="00F717FF" w:rsidRDefault="000A4D8A" w:rsidP="006437C5">
      <w:pPr>
        <w:pStyle w:val="ListParagraph"/>
        <w:numPr>
          <w:ilvl w:val="1"/>
          <w:numId w:val="13"/>
        </w:numPr>
        <w:spacing w:after="0" w:line="240" w:lineRule="auto"/>
        <w:ind w:left="720"/>
        <w:rPr>
          <w:rFonts w:ascii="Times New Roman" w:hAnsi="Times New Roman"/>
          <w:sz w:val="26"/>
          <w:szCs w:val="26"/>
        </w:rPr>
      </w:pPr>
      <w:r w:rsidRPr="00F717FF">
        <w:rPr>
          <w:rFonts w:ascii="Times New Roman" w:hAnsi="Times New Roman"/>
          <w:iCs/>
          <w:sz w:val="26"/>
          <w:szCs w:val="26"/>
        </w:rPr>
        <w:t>Effect of the abandonment on existing tariffs</w:t>
      </w:r>
    </w:p>
    <w:p w14:paraId="07920CA8" w14:textId="6F207CF4" w:rsidR="000A4D8A" w:rsidRPr="00F717FF" w:rsidRDefault="000A4D8A" w:rsidP="006437C5">
      <w:pPr>
        <w:pStyle w:val="ListParagraph"/>
        <w:numPr>
          <w:ilvl w:val="1"/>
          <w:numId w:val="13"/>
        </w:numPr>
        <w:spacing w:after="0" w:line="240" w:lineRule="auto"/>
        <w:ind w:left="720"/>
        <w:rPr>
          <w:rFonts w:ascii="Times New Roman" w:hAnsi="Times New Roman"/>
          <w:sz w:val="26"/>
          <w:szCs w:val="26"/>
        </w:rPr>
      </w:pPr>
      <w:r w:rsidRPr="00F717FF">
        <w:rPr>
          <w:rFonts w:ascii="Times New Roman" w:hAnsi="Times New Roman"/>
          <w:iCs/>
          <w:sz w:val="26"/>
          <w:szCs w:val="26"/>
        </w:rPr>
        <w:t>Accounting treatment of abandonment</w:t>
      </w:r>
    </w:p>
    <w:p w14:paraId="46DB88EB" w14:textId="7399261C" w:rsidR="000A4D8A" w:rsidRPr="00F717FF" w:rsidRDefault="000A4D8A" w:rsidP="006437C5">
      <w:pPr>
        <w:pStyle w:val="ListParagraph"/>
        <w:numPr>
          <w:ilvl w:val="1"/>
          <w:numId w:val="13"/>
        </w:numPr>
        <w:spacing w:after="0" w:line="240" w:lineRule="auto"/>
        <w:ind w:left="720"/>
        <w:rPr>
          <w:rFonts w:ascii="Times New Roman" w:hAnsi="Times New Roman"/>
          <w:sz w:val="26"/>
          <w:szCs w:val="26"/>
        </w:rPr>
      </w:pPr>
      <w:r w:rsidRPr="00F717FF">
        <w:rPr>
          <w:rFonts w:ascii="Times New Roman" w:hAnsi="Times New Roman"/>
          <w:iCs/>
          <w:sz w:val="26"/>
          <w:szCs w:val="26"/>
        </w:rPr>
        <w:t>Location of facilities</w:t>
      </w:r>
    </w:p>
    <w:p w14:paraId="25159F26" w14:textId="77777777" w:rsidR="00CC739F" w:rsidRPr="00F717FF" w:rsidRDefault="00CC739F" w:rsidP="00F42A00">
      <w:pPr>
        <w:spacing w:after="0" w:line="240" w:lineRule="auto"/>
        <w:rPr>
          <w:rFonts w:ascii="Times New Roman" w:hAnsi="Times New Roman"/>
          <w:sz w:val="26"/>
          <w:szCs w:val="26"/>
        </w:rPr>
      </w:pPr>
    </w:p>
    <w:p w14:paraId="178EA344"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REASONS FOR CHANGES IN BURDEN INCLUDING THE NEED FOR ANY INCREASE</w:t>
      </w:r>
    </w:p>
    <w:p w14:paraId="178EA345" w14:textId="77777777" w:rsidR="00ED6128" w:rsidRPr="00F717FF" w:rsidRDefault="00ED6128" w:rsidP="00E96E94">
      <w:pPr>
        <w:spacing w:after="0" w:line="240" w:lineRule="auto"/>
        <w:rPr>
          <w:rFonts w:ascii="Times New Roman" w:hAnsi="Times New Roman"/>
          <w:sz w:val="26"/>
          <w:szCs w:val="26"/>
        </w:rPr>
      </w:pPr>
    </w:p>
    <w:p w14:paraId="08ACA5AD" w14:textId="77777777" w:rsidR="00AC2067" w:rsidRPr="00F717FF" w:rsidRDefault="00E96E94" w:rsidP="00713CD6">
      <w:pPr>
        <w:spacing w:after="0" w:line="240" w:lineRule="auto"/>
        <w:rPr>
          <w:rFonts w:ascii="Times New Roman" w:eastAsia="Times New Roman" w:hAnsi="Times New Roman"/>
          <w:sz w:val="26"/>
          <w:szCs w:val="26"/>
        </w:rPr>
      </w:pPr>
      <w:r w:rsidRPr="00F717FF">
        <w:rPr>
          <w:rFonts w:ascii="Times New Roman" w:eastAsia="Times New Roman" w:hAnsi="Times New Roman"/>
          <w:sz w:val="26"/>
          <w:szCs w:val="26"/>
        </w:rPr>
        <w:t xml:space="preserve">In RM12-11-003, FERC is amending its regulations </w:t>
      </w:r>
      <w:r w:rsidR="00AC2067" w:rsidRPr="00F717FF">
        <w:rPr>
          <w:rFonts w:ascii="Times New Roman" w:eastAsia="Times New Roman" w:hAnsi="Times New Roman"/>
          <w:sz w:val="26"/>
          <w:szCs w:val="26"/>
        </w:rPr>
        <w:t>to</w:t>
      </w:r>
    </w:p>
    <w:p w14:paraId="1E24BBD9" w14:textId="77777777" w:rsidR="00AC2067" w:rsidRPr="00F717FF" w:rsidRDefault="00E96E94" w:rsidP="00EA6B56">
      <w:pPr>
        <w:pStyle w:val="ListParagraph"/>
        <w:numPr>
          <w:ilvl w:val="0"/>
          <w:numId w:val="16"/>
        </w:numPr>
        <w:spacing w:after="0" w:line="240" w:lineRule="auto"/>
        <w:rPr>
          <w:rFonts w:ascii="Times New Roman" w:eastAsia="Times New Roman" w:hAnsi="Times New Roman"/>
          <w:sz w:val="26"/>
          <w:szCs w:val="26"/>
        </w:rPr>
      </w:pPr>
      <w:r w:rsidRPr="00F717FF">
        <w:rPr>
          <w:rFonts w:ascii="Times New Roman" w:eastAsia="Times New Roman" w:hAnsi="Times New Roman"/>
          <w:sz w:val="26"/>
          <w:szCs w:val="26"/>
        </w:rPr>
        <w:lastRenderedPageBreak/>
        <w:t>provide pre-granted authority under new subsection 2.55(a)(3) to abandon or replace auxiliary facilities, subject to certain conditions</w:t>
      </w:r>
      <w:r w:rsidR="00AC2067" w:rsidRPr="00F717FF">
        <w:rPr>
          <w:rFonts w:ascii="Times New Roman" w:eastAsia="Times New Roman" w:hAnsi="Times New Roman"/>
          <w:sz w:val="26"/>
          <w:szCs w:val="26"/>
        </w:rPr>
        <w:t>;</w:t>
      </w:r>
    </w:p>
    <w:p w14:paraId="6FFDC7E7" w14:textId="77777777" w:rsidR="00AC2067" w:rsidRPr="00F717FF" w:rsidRDefault="00E96E94" w:rsidP="00EA6B56">
      <w:pPr>
        <w:pStyle w:val="ListParagraph"/>
        <w:numPr>
          <w:ilvl w:val="0"/>
          <w:numId w:val="16"/>
        </w:numPr>
        <w:spacing w:after="0" w:line="240" w:lineRule="auto"/>
        <w:rPr>
          <w:rFonts w:ascii="Times New Roman" w:eastAsia="Times New Roman" w:hAnsi="Times New Roman"/>
          <w:sz w:val="26"/>
          <w:szCs w:val="26"/>
        </w:rPr>
      </w:pPr>
      <w:r w:rsidRPr="00F717FF">
        <w:rPr>
          <w:rFonts w:ascii="Times New Roman" w:eastAsia="Times New Roman" w:hAnsi="Times New Roman"/>
          <w:sz w:val="26"/>
          <w:szCs w:val="26"/>
        </w:rPr>
        <w:t xml:space="preserve">permit auxiliary facilities that cannot meet the conditions for the pre-granted abandonment authority in new subsection 2.55(a)(3) to be abandoned under section 157.216 of the blanket certificate regulations, subject to those regulations’ requirements; and </w:t>
      </w:r>
    </w:p>
    <w:p w14:paraId="4B4F71DD" w14:textId="77777777" w:rsidR="00AC2067" w:rsidRPr="00F717FF" w:rsidRDefault="00E96E94" w:rsidP="00EA6B56">
      <w:pPr>
        <w:pStyle w:val="ListParagraph"/>
        <w:numPr>
          <w:ilvl w:val="0"/>
          <w:numId w:val="16"/>
        </w:numPr>
        <w:spacing w:after="0" w:line="240" w:lineRule="auto"/>
        <w:rPr>
          <w:rFonts w:ascii="Times New Roman" w:eastAsia="Times New Roman" w:hAnsi="Times New Roman"/>
          <w:sz w:val="26"/>
          <w:szCs w:val="26"/>
        </w:rPr>
      </w:pPr>
      <w:proofErr w:type="gramStart"/>
      <w:r w:rsidRPr="00F717FF">
        <w:rPr>
          <w:rFonts w:ascii="Times New Roman" w:eastAsia="Times New Roman" w:hAnsi="Times New Roman"/>
          <w:sz w:val="26"/>
          <w:szCs w:val="26"/>
        </w:rPr>
        <w:t>permit</w:t>
      </w:r>
      <w:proofErr w:type="gramEnd"/>
      <w:r w:rsidRPr="00F717FF">
        <w:rPr>
          <w:rFonts w:ascii="Times New Roman" w:eastAsia="Times New Roman" w:hAnsi="Times New Roman"/>
          <w:sz w:val="26"/>
          <w:szCs w:val="26"/>
        </w:rPr>
        <w:t xml:space="preserve"> replacement facilities constructed under section 2.55(b) of the regulations to be abandoned under section 157.216 of the Part 157, Subpart F, blanket certificate regulations, subject to those regulations’ requirements.  </w:t>
      </w:r>
    </w:p>
    <w:p w14:paraId="32943F7D" w14:textId="3A1B2716" w:rsidR="00F3467F" w:rsidRPr="00F717FF" w:rsidRDefault="00E96E94" w:rsidP="00AC2067">
      <w:pPr>
        <w:spacing w:after="0" w:line="240" w:lineRule="auto"/>
        <w:rPr>
          <w:rFonts w:ascii="Times New Roman" w:eastAsia="Times New Roman" w:hAnsi="Times New Roman"/>
          <w:sz w:val="26"/>
          <w:szCs w:val="26"/>
        </w:rPr>
      </w:pPr>
      <w:r w:rsidRPr="00F717FF">
        <w:rPr>
          <w:rFonts w:ascii="Times New Roman" w:eastAsia="Times New Roman" w:hAnsi="Times New Roman"/>
          <w:sz w:val="26"/>
          <w:szCs w:val="26"/>
        </w:rPr>
        <w:t>Th</w:t>
      </w:r>
      <w:r w:rsidR="00AC2067" w:rsidRPr="00F717FF">
        <w:rPr>
          <w:rFonts w:ascii="Times New Roman" w:eastAsia="Times New Roman" w:hAnsi="Times New Roman"/>
          <w:sz w:val="26"/>
          <w:szCs w:val="26"/>
        </w:rPr>
        <w:t>ese changes</w:t>
      </w:r>
      <w:r w:rsidRPr="00F717FF">
        <w:rPr>
          <w:rFonts w:ascii="Times New Roman" w:eastAsia="Times New Roman" w:hAnsi="Times New Roman"/>
          <w:sz w:val="26"/>
          <w:szCs w:val="26"/>
        </w:rPr>
        <w:t xml:space="preserve"> will reduce burden and cost for </w:t>
      </w:r>
      <w:r w:rsidR="00D13AF7">
        <w:rPr>
          <w:rFonts w:ascii="Times New Roman" w:eastAsia="Times New Roman" w:hAnsi="Times New Roman"/>
          <w:sz w:val="26"/>
          <w:szCs w:val="26"/>
        </w:rPr>
        <w:t>applicants to abandon</w:t>
      </w:r>
      <w:r w:rsidRPr="00F717FF">
        <w:rPr>
          <w:rFonts w:ascii="Times New Roman" w:eastAsia="Times New Roman" w:hAnsi="Times New Roman"/>
          <w:sz w:val="26"/>
          <w:szCs w:val="26"/>
        </w:rPr>
        <w:t xml:space="preserve"> </w:t>
      </w:r>
      <w:r w:rsidR="00D13AF7">
        <w:rPr>
          <w:rFonts w:ascii="Times New Roman" w:eastAsia="Times New Roman" w:hAnsi="Times New Roman"/>
          <w:sz w:val="26"/>
          <w:szCs w:val="26"/>
        </w:rPr>
        <w:t>natural gas facilities or service</w:t>
      </w:r>
      <w:r w:rsidRPr="00F717FF">
        <w:rPr>
          <w:rFonts w:ascii="Times New Roman" w:eastAsia="Times New Roman" w:hAnsi="Times New Roman"/>
          <w:sz w:val="26"/>
          <w:szCs w:val="26"/>
        </w:rPr>
        <w:t>.</w:t>
      </w:r>
      <w:r w:rsidR="00F51BE1">
        <w:rPr>
          <w:rFonts w:ascii="Times New Roman" w:eastAsia="Times New Roman" w:hAnsi="Times New Roman"/>
          <w:sz w:val="26"/>
          <w:szCs w:val="26"/>
        </w:rPr>
        <w:t xml:space="preserve">  </w:t>
      </w:r>
    </w:p>
    <w:p w14:paraId="3D573FD7" w14:textId="36BD5B69" w:rsidR="00F51BE1" w:rsidRDefault="00F51BE1" w:rsidP="00D355CF">
      <w:pPr>
        <w:spacing w:after="0" w:line="240" w:lineRule="auto"/>
        <w:rPr>
          <w:rFonts w:ascii="Times New Roman" w:eastAsia="Times New Roman" w:hAnsi="Times New Roman"/>
          <w:sz w:val="26"/>
          <w:szCs w:val="26"/>
        </w:rPr>
      </w:pPr>
      <w:r w:rsidRPr="00F717FF">
        <w:rPr>
          <w:rFonts w:ascii="Times New Roman" w:eastAsia="Times New Roman" w:hAnsi="Times New Roman"/>
          <w:sz w:val="26"/>
          <w:szCs w:val="26"/>
        </w:rPr>
        <w:t xml:space="preserve">The estimated average annual </w:t>
      </w:r>
      <w:r>
        <w:rPr>
          <w:rFonts w:ascii="Times New Roman" w:eastAsia="Times New Roman" w:hAnsi="Times New Roman"/>
          <w:sz w:val="26"/>
          <w:szCs w:val="26"/>
        </w:rPr>
        <w:t>program changes</w:t>
      </w:r>
      <w:r w:rsidRPr="00F717FF">
        <w:rPr>
          <w:rFonts w:ascii="Times New Roman" w:eastAsia="Times New Roman" w:hAnsi="Times New Roman"/>
          <w:sz w:val="26"/>
          <w:szCs w:val="26"/>
        </w:rPr>
        <w:t xml:space="preserve"> </w:t>
      </w:r>
      <w:r>
        <w:rPr>
          <w:rFonts w:ascii="Times New Roman" w:eastAsia="Times New Roman" w:hAnsi="Times New Roman"/>
          <w:sz w:val="26"/>
          <w:szCs w:val="26"/>
        </w:rPr>
        <w:t xml:space="preserve">(increases and decreases, resulting in a net program decrease) as implemented in </w:t>
      </w:r>
      <w:r w:rsidRPr="00FF00E8">
        <w:rPr>
          <w:rFonts w:ascii="Times New Roman" w:eastAsia="Times New Roman" w:hAnsi="Times New Roman"/>
          <w:sz w:val="26"/>
          <w:szCs w:val="26"/>
        </w:rPr>
        <w:t>Order 790-B</w:t>
      </w:r>
      <w:r w:rsidRPr="00F717FF">
        <w:rPr>
          <w:rFonts w:ascii="Times New Roman" w:eastAsia="Times New Roman" w:hAnsi="Times New Roman"/>
          <w:sz w:val="26"/>
          <w:szCs w:val="26"/>
        </w:rPr>
        <w:t xml:space="preserve"> </w:t>
      </w:r>
      <w:r>
        <w:rPr>
          <w:rFonts w:ascii="Times New Roman" w:eastAsia="Times New Roman" w:hAnsi="Times New Roman"/>
          <w:sz w:val="26"/>
          <w:szCs w:val="26"/>
        </w:rPr>
        <w:t>(</w:t>
      </w:r>
      <w:r w:rsidRPr="00F717FF">
        <w:rPr>
          <w:rFonts w:ascii="Times New Roman" w:eastAsia="Times New Roman" w:hAnsi="Times New Roman"/>
          <w:sz w:val="26"/>
          <w:szCs w:val="26"/>
        </w:rPr>
        <w:t>in Docket RM12-11-003</w:t>
      </w:r>
      <w:r>
        <w:rPr>
          <w:rFonts w:ascii="Times New Roman" w:eastAsia="Times New Roman" w:hAnsi="Times New Roman"/>
          <w:sz w:val="26"/>
          <w:szCs w:val="26"/>
        </w:rPr>
        <w:t>)</w:t>
      </w:r>
      <w:r w:rsidRPr="00F717FF">
        <w:rPr>
          <w:rFonts w:ascii="Times New Roman" w:eastAsia="Times New Roman" w:hAnsi="Times New Roman"/>
          <w:sz w:val="26"/>
          <w:szCs w:val="26"/>
        </w:rPr>
        <w:t xml:space="preserve"> </w:t>
      </w:r>
      <w:r>
        <w:rPr>
          <w:rFonts w:ascii="Times New Roman" w:eastAsia="Times New Roman" w:hAnsi="Times New Roman"/>
          <w:sz w:val="26"/>
          <w:szCs w:val="26"/>
        </w:rPr>
        <w:t xml:space="preserve">are as </w:t>
      </w:r>
      <w:r w:rsidRPr="00F717FF">
        <w:rPr>
          <w:rFonts w:ascii="Times New Roman" w:eastAsia="Times New Roman" w:hAnsi="Times New Roman"/>
          <w:sz w:val="26"/>
          <w:szCs w:val="26"/>
        </w:rPr>
        <w:t>follow</w:t>
      </w:r>
      <w:r>
        <w:rPr>
          <w:rFonts w:ascii="Times New Roman" w:eastAsia="Times New Roman" w:hAnsi="Times New Roman"/>
          <w:sz w:val="26"/>
          <w:szCs w:val="26"/>
        </w:rPr>
        <w:t>s:</w:t>
      </w:r>
    </w:p>
    <w:p w14:paraId="5738FE62" w14:textId="77777777" w:rsidR="00F51BE1" w:rsidRPr="00F717FF" w:rsidRDefault="00F51BE1" w:rsidP="00F51BE1">
      <w:pPr>
        <w:tabs>
          <w:tab w:val="left" w:pos="720"/>
        </w:tabs>
        <w:spacing w:after="0" w:line="240" w:lineRule="auto"/>
        <w:rPr>
          <w:rFonts w:ascii="Times New Roman" w:eastAsia="Times New Roman" w:hAnsi="Times New Roman"/>
          <w:sz w:val="26"/>
          <w:szCs w:val="26"/>
        </w:rPr>
      </w:pPr>
    </w:p>
    <w:tbl>
      <w:tblPr>
        <w:tblW w:w="5000" w:type="pct"/>
        <w:tblCellMar>
          <w:left w:w="0" w:type="dxa"/>
          <w:right w:w="0" w:type="dxa"/>
        </w:tblCellMar>
        <w:tblLook w:val="04A0" w:firstRow="1" w:lastRow="0" w:firstColumn="1" w:lastColumn="0" w:noHBand="0" w:noVBand="1"/>
      </w:tblPr>
      <w:tblGrid>
        <w:gridCol w:w="1771"/>
        <w:gridCol w:w="1632"/>
        <w:gridCol w:w="1531"/>
        <w:gridCol w:w="45"/>
        <w:gridCol w:w="33"/>
        <w:gridCol w:w="1352"/>
        <w:gridCol w:w="34"/>
        <w:gridCol w:w="1523"/>
        <w:gridCol w:w="1655"/>
      </w:tblGrid>
      <w:tr w:rsidR="00F51BE1" w:rsidRPr="00E96E94" w14:paraId="1F99A71C" w14:textId="77777777" w:rsidTr="00E4761C">
        <w:trPr>
          <w:cantSplit/>
        </w:trPr>
        <w:tc>
          <w:tcPr>
            <w:tcW w:w="5000" w:type="pct"/>
            <w:gridSpan w:val="9"/>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hideMark/>
          </w:tcPr>
          <w:p w14:paraId="4083E94B" w14:textId="4A662E30" w:rsidR="00F51BE1" w:rsidRPr="00E96E94" w:rsidRDefault="00F51BE1" w:rsidP="00E4761C">
            <w:pPr>
              <w:widowControl w:val="0"/>
              <w:autoSpaceDE w:val="0"/>
              <w:autoSpaceDN w:val="0"/>
              <w:adjustRightInd w:val="0"/>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 xml:space="preserve">FERC-537, Annual Burden and Cost Estimate Changes Due to Implementation of </w:t>
            </w:r>
            <w:r w:rsidRPr="00E96E94">
              <w:rPr>
                <w:rFonts w:ascii="Times New Roman" w:eastAsia="Times New Roman" w:hAnsi="Times New Roman"/>
                <w:b/>
                <w:bCs/>
                <w:sz w:val="26"/>
                <w:szCs w:val="26"/>
              </w:rPr>
              <w:t xml:space="preserve">Final Rule </w:t>
            </w:r>
            <w:r>
              <w:rPr>
                <w:rFonts w:ascii="Times New Roman" w:eastAsia="Times New Roman" w:hAnsi="Times New Roman"/>
                <w:b/>
                <w:bCs/>
                <w:sz w:val="26"/>
                <w:szCs w:val="26"/>
              </w:rPr>
              <w:t xml:space="preserve">in </w:t>
            </w:r>
            <w:r w:rsidRPr="00E96E94">
              <w:rPr>
                <w:rFonts w:ascii="Times New Roman" w:eastAsia="Times New Roman" w:hAnsi="Times New Roman"/>
                <w:b/>
                <w:bCs/>
                <w:sz w:val="26"/>
                <w:szCs w:val="26"/>
              </w:rPr>
              <w:t xml:space="preserve">RM12-11-003 </w:t>
            </w:r>
          </w:p>
        </w:tc>
      </w:tr>
      <w:tr w:rsidR="00F51BE1" w:rsidRPr="00E96E94" w14:paraId="3A033E6C" w14:textId="77777777" w:rsidTr="00E4761C">
        <w:trPr>
          <w:cantSplit/>
        </w:trPr>
        <w:tc>
          <w:tcPr>
            <w:tcW w:w="92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64AC8DE0" w14:textId="77777777" w:rsidR="00F51BE1" w:rsidRPr="00E96E94" w:rsidRDefault="00F51BE1" w:rsidP="00E4761C">
            <w:pPr>
              <w:widowControl w:val="0"/>
              <w:autoSpaceDE w:val="0"/>
              <w:autoSpaceDN w:val="0"/>
              <w:adjustRightInd w:val="0"/>
              <w:spacing w:after="0" w:line="240" w:lineRule="auto"/>
              <w:rPr>
                <w:rFonts w:ascii="Times New Roman" w:eastAsia="Times New Roman" w:hAnsi="Times New Roman"/>
                <w:b/>
                <w:bCs/>
                <w:sz w:val="26"/>
                <w:szCs w:val="26"/>
              </w:rPr>
            </w:pPr>
          </w:p>
        </w:tc>
        <w:tc>
          <w:tcPr>
            <w:tcW w:w="85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4ACBA6C3" w14:textId="77777777" w:rsidR="00F51BE1" w:rsidRPr="00E96E94" w:rsidRDefault="00F51BE1" w:rsidP="00E4761C">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Number of Respondents (1)</w:t>
            </w:r>
          </w:p>
        </w:tc>
        <w:tc>
          <w:tcPr>
            <w:tcW w:w="79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01C95F42" w14:textId="77777777" w:rsidR="00F51BE1" w:rsidRPr="00E96E94" w:rsidRDefault="00F51BE1" w:rsidP="00E4761C">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Number of Responses per Respondent</w:t>
            </w:r>
          </w:p>
          <w:p w14:paraId="25582758" w14:textId="77777777" w:rsidR="00F51BE1" w:rsidRPr="00E96E94" w:rsidRDefault="00F51BE1" w:rsidP="00E4761C">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(2)</w:t>
            </w:r>
          </w:p>
        </w:tc>
        <w:tc>
          <w:tcPr>
            <w:tcW w:w="747" w:type="pct"/>
            <w:gridSpan w:val="3"/>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41EA0F92" w14:textId="77777777" w:rsidR="00F51BE1" w:rsidRPr="00E96E94" w:rsidRDefault="00F51BE1" w:rsidP="00E4761C">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Average Burden Hours Per Response</w:t>
            </w:r>
          </w:p>
          <w:p w14:paraId="4B643226" w14:textId="77777777" w:rsidR="00F51BE1" w:rsidRPr="00E96E94" w:rsidRDefault="00F51BE1" w:rsidP="00E4761C">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(3)</w:t>
            </w:r>
          </w:p>
        </w:tc>
        <w:tc>
          <w:tcPr>
            <w:tcW w:w="813" w:type="pct"/>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5DE4BB09" w14:textId="77777777" w:rsidR="00F51BE1" w:rsidRPr="00E96E94" w:rsidRDefault="00F51BE1" w:rsidP="00E4761C">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Total Annual Burden Hours</w:t>
            </w:r>
          </w:p>
          <w:p w14:paraId="2AE8434E" w14:textId="77777777" w:rsidR="00F51BE1" w:rsidRPr="00E96E94" w:rsidRDefault="00F51BE1" w:rsidP="00E4761C">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(1)x(2)x(3)</w:t>
            </w:r>
          </w:p>
        </w:tc>
        <w:tc>
          <w:tcPr>
            <w:tcW w:w="864"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B6AC48E" w14:textId="77777777" w:rsidR="00F51BE1" w:rsidRPr="00E96E94" w:rsidRDefault="00F51BE1" w:rsidP="00E4761C">
            <w:pPr>
              <w:widowControl w:val="0"/>
              <w:autoSpaceDE w:val="0"/>
              <w:autoSpaceDN w:val="0"/>
              <w:adjustRightInd w:val="0"/>
              <w:spacing w:after="0" w:line="240" w:lineRule="auto"/>
              <w:jc w:val="center"/>
              <w:rPr>
                <w:rFonts w:ascii="Times New Roman" w:eastAsia="Times New Roman" w:hAnsi="Times New Roman"/>
                <w:b/>
                <w:bCs/>
                <w:sz w:val="26"/>
                <w:szCs w:val="26"/>
              </w:rPr>
            </w:pPr>
            <w:r w:rsidRPr="00E96E94">
              <w:rPr>
                <w:rFonts w:ascii="Times New Roman" w:eastAsia="Times New Roman" w:hAnsi="Times New Roman"/>
                <w:b/>
                <w:bCs/>
                <w:sz w:val="26"/>
                <w:szCs w:val="26"/>
              </w:rPr>
              <w:t>Total Annual Cost ($)</w:t>
            </w:r>
            <w:r w:rsidRPr="00F717FF">
              <w:rPr>
                <w:rFonts w:ascii="Times New Roman" w:eastAsia="Times New Roman" w:hAnsi="Times New Roman"/>
                <w:b/>
                <w:bCs/>
                <w:sz w:val="26"/>
                <w:szCs w:val="26"/>
                <w:vertAlign w:val="superscript"/>
              </w:rPr>
              <w:footnoteReference w:id="11"/>
            </w:r>
          </w:p>
        </w:tc>
      </w:tr>
      <w:tr w:rsidR="00F51BE1" w:rsidRPr="00E96E94" w14:paraId="4E92C33B" w14:textId="77777777" w:rsidTr="00E4761C">
        <w:trPr>
          <w:cantSplit/>
          <w:trHeight w:val="897"/>
        </w:trPr>
        <w:tc>
          <w:tcPr>
            <w:tcW w:w="9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7E8FF9" w14:textId="77777777" w:rsidR="00F51BE1" w:rsidRPr="00E96E94" w:rsidRDefault="00F51BE1" w:rsidP="00E4761C">
            <w:pPr>
              <w:widowControl w:val="0"/>
              <w:autoSpaceDE w:val="0"/>
              <w:autoSpaceDN w:val="0"/>
              <w:adjustRightInd w:val="0"/>
              <w:spacing w:after="0" w:line="240" w:lineRule="auto"/>
              <w:rPr>
                <w:rFonts w:ascii="Times New Roman" w:eastAsia="Times New Roman" w:hAnsi="Times New Roman"/>
                <w:sz w:val="26"/>
                <w:szCs w:val="26"/>
              </w:rPr>
            </w:pPr>
            <w:r w:rsidRPr="00E96E94">
              <w:rPr>
                <w:rFonts w:ascii="Times New Roman" w:eastAsia="Times New Roman" w:hAnsi="Times New Roman"/>
                <w:sz w:val="26"/>
                <w:szCs w:val="26"/>
              </w:rPr>
              <w:t>Pre-Granted Auxiliary Approval  (18 CFR 2.55)</w:t>
            </w:r>
          </w:p>
        </w:tc>
        <w:tc>
          <w:tcPr>
            <w:tcW w:w="8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661C05"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3</w:t>
            </w:r>
          </w:p>
        </w:tc>
        <w:tc>
          <w:tcPr>
            <w:tcW w:w="840" w:type="pct"/>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4DE07B"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1</w:t>
            </w:r>
          </w:p>
        </w:tc>
        <w:tc>
          <w:tcPr>
            <w:tcW w:w="70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A9A17A"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5</w:t>
            </w:r>
          </w:p>
        </w:tc>
        <w:tc>
          <w:tcPr>
            <w:tcW w:w="813"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A4BA81"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15</w:t>
            </w:r>
          </w:p>
        </w:tc>
        <w:tc>
          <w:tcPr>
            <w:tcW w:w="864" w:type="pct"/>
            <w:tcBorders>
              <w:top w:val="nil"/>
              <w:left w:val="nil"/>
              <w:bottom w:val="single" w:sz="8" w:space="0" w:color="auto"/>
              <w:right w:val="single" w:sz="8" w:space="0" w:color="auto"/>
            </w:tcBorders>
            <w:tcMar>
              <w:top w:w="0" w:type="dxa"/>
              <w:left w:w="108" w:type="dxa"/>
              <w:bottom w:w="0" w:type="dxa"/>
              <w:right w:w="108" w:type="dxa"/>
            </w:tcMar>
            <w:vAlign w:val="bottom"/>
          </w:tcPr>
          <w:p w14:paraId="1D93EA5D"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 xml:space="preserve">              $1,080</w:t>
            </w:r>
          </w:p>
        </w:tc>
      </w:tr>
      <w:tr w:rsidR="00F51BE1" w:rsidRPr="00E96E94" w14:paraId="38967183" w14:textId="77777777" w:rsidTr="00E4761C">
        <w:trPr>
          <w:cantSplit/>
          <w:trHeight w:val="719"/>
        </w:trPr>
        <w:tc>
          <w:tcPr>
            <w:tcW w:w="9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89947" w14:textId="77777777" w:rsidR="00F51BE1" w:rsidRPr="00E96E94" w:rsidRDefault="00F51BE1" w:rsidP="00E4761C">
            <w:pPr>
              <w:widowControl w:val="0"/>
              <w:autoSpaceDE w:val="0"/>
              <w:autoSpaceDN w:val="0"/>
              <w:adjustRightInd w:val="0"/>
              <w:spacing w:after="0" w:line="240" w:lineRule="auto"/>
              <w:rPr>
                <w:rFonts w:ascii="Times New Roman" w:eastAsia="Times New Roman" w:hAnsi="Times New Roman"/>
                <w:sz w:val="26"/>
                <w:szCs w:val="26"/>
              </w:rPr>
            </w:pPr>
            <w:r w:rsidRPr="00E96E94">
              <w:rPr>
                <w:rFonts w:ascii="Times New Roman" w:eastAsia="Times New Roman" w:hAnsi="Times New Roman"/>
                <w:sz w:val="26"/>
                <w:szCs w:val="26"/>
              </w:rPr>
              <w:t>Additional Blanket Certificate Abandonment Applications</w:t>
            </w:r>
          </w:p>
        </w:tc>
        <w:tc>
          <w:tcPr>
            <w:tcW w:w="8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FD39BF"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2</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9D1F16"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1</w:t>
            </w:r>
          </w:p>
        </w:tc>
        <w:tc>
          <w:tcPr>
            <w:tcW w:w="741" w:type="pct"/>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BE92DE"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25</w:t>
            </w:r>
          </w:p>
        </w:tc>
        <w:tc>
          <w:tcPr>
            <w:tcW w:w="79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151C80"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50</w:t>
            </w:r>
          </w:p>
        </w:tc>
        <w:tc>
          <w:tcPr>
            <w:tcW w:w="864" w:type="pct"/>
            <w:tcBorders>
              <w:top w:val="nil"/>
              <w:left w:val="nil"/>
              <w:bottom w:val="single" w:sz="8" w:space="0" w:color="auto"/>
              <w:right w:val="single" w:sz="8" w:space="0" w:color="auto"/>
            </w:tcBorders>
            <w:tcMar>
              <w:top w:w="0" w:type="dxa"/>
              <w:left w:w="108" w:type="dxa"/>
              <w:bottom w:w="0" w:type="dxa"/>
              <w:right w:w="108" w:type="dxa"/>
            </w:tcMar>
            <w:vAlign w:val="bottom"/>
          </w:tcPr>
          <w:p w14:paraId="11F329C7"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 xml:space="preserve">             $3,600</w:t>
            </w:r>
          </w:p>
        </w:tc>
      </w:tr>
      <w:tr w:rsidR="00F51BE1" w:rsidRPr="00E96E94" w14:paraId="41462F08" w14:textId="77777777" w:rsidTr="00E4761C">
        <w:trPr>
          <w:cantSplit/>
          <w:trHeight w:val="719"/>
        </w:trPr>
        <w:tc>
          <w:tcPr>
            <w:tcW w:w="9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8D8D98" w14:textId="77777777" w:rsidR="00F51BE1" w:rsidRPr="00E96E94" w:rsidRDefault="00F51BE1" w:rsidP="00E4761C">
            <w:pPr>
              <w:widowControl w:val="0"/>
              <w:autoSpaceDE w:val="0"/>
              <w:autoSpaceDN w:val="0"/>
              <w:adjustRightInd w:val="0"/>
              <w:spacing w:after="0" w:line="240" w:lineRule="auto"/>
              <w:rPr>
                <w:rFonts w:ascii="Times New Roman" w:eastAsia="Times New Roman" w:hAnsi="Times New Roman"/>
                <w:sz w:val="26"/>
                <w:szCs w:val="26"/>
              </w:rPr>
            </w:pPr>
            <w:r w:rsidRPr="00E96E94">
              <w:rPr>
                <w:rFonts w:ascii="Times New Roman" w:eastAsia="Times New Roman" w:hAnsi="Times New Roman"/>
                <w:sz w:val="26"/>
                <w:szCs w:val="26"/>
              </w:rPr>
              <w:lastRenderedPageBreak/>
              <w:t>Eliminated</w:t>
            </w:r>
          </w:p>
          <w:p w14:paraId="177E0CB6" w14:textId="77777777" w:rsidR="00F51BE1" w:rsidRPr="00E96E94" w:rsidRDefault="00F51BE1" w:rsidP="00E4761C">
            <w:pPr>
              <w:widowControl w:val="0"/>
              <w:autoSpaceDE w:val="0"/>
              <w:autoSpaceDN w:val="0"/>
              <w:adjustRightInd w:val="0"/>
              <w:spacing w:after="0" w:line="240" w:lineRule="auto"/>
              <w:rPr>
                <w:rFonts w:ascii="Times New Roman" w:eastAsia="Times New Roman" w:hAnsi="Times New Roman"/>
                <w:sz w:val="26"/>
                <w:szCs w:val="26"/>
              </w:rPr>
            </w:pPr>
            <w:r w:rsidRPr="00E96E94">
              <w:rPr>
                <w:rFonts w:ascii="Times New Roman" w:eastAsia="Times New Roman" w:hAnsi="Times New Roman"/>
                <w:sz w:val="26"/>
                <w:szCs w:val="26"/>
              </w:rPr>
              <w:t>Blanket Certificate Abandonment Applications</w:t>
            </w:r>
          </w:p>
        </w:tc>
        <w:tc>
          <w:tcPr>
            <w:tcW w:w="8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BA6BC5"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-3</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C5539C"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1</w:t>
            </w:r>
          </w:p>
        </w:tc>
        <w:tc>
          <w:tcPr>
            <w:tcW w:w="741" w:type="pct"/>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2568DB"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25</w:t>
            </w:r>
          </w:p>
        </w:tc>
        <w:tc>
          <w:tcPr>
            <w:tcW w:w="79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346397"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 xml:space="preserve">                        -75</w:t>
            </w:r>
          </w:p>
        </w:tc>
        <w:tc>
          <w:tcPr>
            <w:tcW w:w="864" w:type="pct"/>
            <w:tcBorders>
              <w:top w:val="nil"/>
              <w:left w:val="nil"/>
              <w:bottom w:val="single" w:sz="8" w:space="0" w:color="auto"/>
              <w:right w:val="single" w:sz="8" w:space="0" w:color="auto"/>
            </w:tcBorders>
            <w:tcMar>
              <w:top w:w="0" w:type="dxa"/>
              <w:left w:w="108" w:type="dxa"/>
              <w:bottom w:w="0" w:type="dxa"/>
              <w:right w:w="108" w:type="dxa"/>
            </w:tcMar>
            <w:vAlign w:val="bottom"/>
          </w:tcPr>
          <w:p w14:paraId="42DD5D04"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-$5,400</w:t>
            </w:r>
          </w:p>
        </w:tc>
      </w:tr>
      <w:tr w:rsidR="00F51BE1" w:rsidRPr="00E96E94" w14:paraId="23F7B52C" w14:textId="77777777" w:rsidTr="00E4761C">
        <w:trPr>
          <w:cantSplit/>
          <w:trHeight w:val="719"/>
        </w:trPr>
        <w:tc>
          <w:tcPr>
            <w:tcW w:w="9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711CF" w14:textId="77777777" w:rsidR="00F51BE1" w:rsidRPr="00E96E94" w:rsidRDefault="00F51BE1" w:rsidP="00E4761C">
            <w:pPr>
              <w:widowControl w:val="0"/>
              <w:autoSpaceDE w:val="0"/>
              <w:autoSpaceDN w:val="0"/>
              <w:adjustRightInd w:val="0"/>
              <w:spacing w:after="0" w:line="240" w:lineRule="auto"/>
              <w:rPr>
                <w:rFonts w:ascii="Times New Roman" w:eastAsia="Times New Roman" w:hAnsi="Times New Roman"/>
                <w:sz w:val="26"/>
                <w:szCs w:val="26"/>
              </w:rPr>
            </w:pPr>
            <w:r w:rsidRPr="00E96E94">
              <w:rPr>
                <w:rFonts w:ascii="Times New Roman" w:eastAsia="Times New Roman" w:hAnsi="Times New Roman"/>
                <w:sz w:val="26"/>
                <w:szCs w:val="26"/>
              </w:rPr>
              <w:t>Eliminated Case-Specific Abandonment Applications</w:t>
            </w:r>
          </w:p>
        </w:tc>
        <w:tc>
          <w:tcPr>
            <w:tcW w:w="8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C30C1D"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-2</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B48D2C"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1</w:t>
            </w:r>
          </w:p>
        </w:tc>
        <w:tc>
          <w:tcPr>
            <w:tcW w:w="741" w:type="pct"/>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98CC9E"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160</w:t>
            </w:r>
          </w:p>
        </w:tc>
        <w:tc>
          <w:tcPr>
            <w:tcW w:w="79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EE97FF"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-320</w:t>
            </w:r>
          </w:p>
        </w:tc>
        <w:tc>
          <w:tcPr>
            <w:tcW w:w="864" w:type="pct"/>
            <w:tcBorders>
              <w:top w:val="nil"/>
              <w:left w:val="nil"/>
              <w:bottom w:val="single" w:sz="8" w:space="0" w:color="auto"/>
              <w:right w:val="single" w:sz="8" w:space="0" w:color="auto"/>
            </w:tcBorders>
            <w:tcMar>
              <w:top w:w="0" w:type="dxa"/>
              <w:left w:w="108" w:type="dxa"/>
              <w:bottom w:w="0" w:type="dxa"/>
              <w:right w:w="108" w:type="dxa"/>
            </w:tcMar>
            <w:vAlign w:val="bottom"/>
          </w:tcPr>
          <w:p w14:paraId="1A4A003C"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r w:rsidRPr="00E96E94">
              <w:rPr>
                <w:rFonts w:ascii="Times New Roman" w:eastAsia="Times New Roman" w:hAnsi="Times New Roman"/>
                <w:sz w:val="26"/>
                <w:szCs w:val="26"/>
              </w:rPr>
              <w:t>-$23,040</w:t>
            </w:r>
          </w:p>
        </w:tc>
      </w:tr>
      <w:tr w:rsidR="00F51BE1" w:rsidRPr="00E96E94" w14:paraId="5F1299CB" w14:textId="77777777" w:rsidTr="00E4761C">
        <w:trPr>
          <w:cantSplit/>
          <w:trHeight w:val="701"/>
        </w:trPr>
        <w:tc>
          <w:tcPr>
            <w:tcW w:w="92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E1560" w14:textId="77777777" w:rsidR="00F51BE1" w:rsidRPr="00E96E94" w:rsidRDefault="00F51BE1" w:rsidP="00E4761C">
            <w:pPr>
              <w:widowControl w:val="0"/>
              <w:autoSpaceDE w:val="0"/>
              <w:autoSpaceDN w:val="0"/>
              <w:adjustRightInd w:val="0"/>
              <w:spacing w:after="0" w:line="240" w:lineRule="auto"/>
              <w:rPr>
                <w:rFonts w:ascii="Times New Roman" w:eastAsia="Times New Roman" w:hAnsi="Times New Roman"/>
                <w:b/>
                <w:bCs/>
                <w:sz w:val="26"/>
                <w:szCs w:val="26"/>
              </w:rPr>
            </w:pPr>
            <w:r w:rsidRPr="00E96E94">
              <w:rPr>
                <w:rFonts w:ascii="Times New Roman" w:eastAsia="Times New Roman" w:hAnsi="Times New Roman"/>
                <w:b/>
                <w:bCs/>
                <w:sz w:val="26"/>
                <w:szCs w:val="26"/>
              </w:rPr>
              <w:t>Net Change due to RM12-11-003</w:t>
            </w:r>
          </w:p>
        </w:tc>
        <w:tc>
          <w:tcPr>
            <w:tcW w:w="852" w:type="pct"/>
            <w:tcBorders>
              <w:top w:val="nil"/>
              <w:left w:val="nil"/>
              <w:bottom w:val="single" w:sz="8" w:space="0" w:color="auto"/>
              <w:right w:val="single" w:sz="8" w:space="0" w:color="auto"/>
            </w:tcBorders>
            <w:shd w:val="clear" w:color="auto" w:fill="D2D2D2"/>
            <w:tcMar>
              <w:top w:w="0" w:type="dxa"/>
              <w:left w:w="108" w:type="dxa"/>
              <w:bottom w:w="0" w:type="dxa"/>
              <w:right w:w="108" w:type="dxa"/>
            </w:tcMar>
            <w:vAlign w:val="bottom"/>
          </w:tcPr>
          <w:p w14:paraId="78B6ED25"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p>
        </w:tc>
        <w:tc>
          <w:tcPr>
            <w:tcW w:w="823" w:type="pct"/>
            <w:gridSpan w:val="2"/>
            <w:tcBorders>
              <w:top w:val="nil"/>
              <w:left w:val="nil"/>
              <w:bottom w:val="single" w:sz="8" w:space="0" w:color="auto"/>
              <w:right w:val="single" w:sz="8" w:space="0" w:color="auto"/>
            </w:tcBorders>
            <w:shd w:val="clear" w:color="auto" w:fill="D2D2D2"/>
            <w:tcMar>
              <w:top w:w="0" w:type="dxa"/>
              <w:left w:w="108" w:type="dxa"/>
              <w:bottom w:w="0" w:type="dxa"/>
              <w:right w:w="108" w:type="dxa"/>
            </w:tcMar>
            <w:vAlign w:val="bottom"/>
          </w:tcPr>
          <w:p w14:paraId="1CB4AC97"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p>
        </w:tc>
        <w:tc>
          <w:tcPr>
            <w:tcW w:w="741" w:type="pct"/>
            <w:gridSpan w:val="3"/>
            <w:tcBorders>
              <w:top w:val="nil"/>
              <w:left w:val="nil"/>
              <w:bottom w:val="single" w:sz="8" w:space="0" w:color="auto"/>
              <w:right w:val="single" w:sz="8" w:space="0" w:color="auto"/>
            </w:tcBorders>
            <w:shd w:val="clear" w:color="auto" w:fill="D2D2D2"/>
            <w:tcMar>
              <w:top w:w="0" w:type="dxa"/>
              <w:left w:w="108" w:type="dxa"/>
              <w:bottom w:w="0" w:type="dxa"/>
              <w:right w:w="108" w:type="dxa"/>
            </w:tcMar>
            <w:vAlign w:val="bottom"/>
          </w:tcPr>
          <w:p w14:paraId="5A4DD1FA"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sz w:val="26"/>
                <w:szCs w:val="26"/>
              </w:rPr>
            </w:pPr>
          </w:p>
        </w:tc>
        <w:tc>
          <w:tcPr>
            <w:tcW w:w="79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7D5BB4"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b/>
                <w:sz w:val="26"/>
                <w:szCs w:val="26"/>
              </w:rPr>
            </w:pPr>
            <w:r w:rsidRPr="00E96E94">
              <w:rPr>
                <w:rFonts w:ascii="Times New Roman" w:eastAsia="Times New Roman" w:hAnsi="Times New Roman"/>
                <w:b/>
                <w:sz w:val="26"/>
                <w:szCs w:val="26"/>
              </w:rPr>
              <w:t>-330</w:t>
            </w:r>
          </w:p>
        </w:tc>
        <w:tc>
          <w:tcPr>
            <w:tcW w:w="864" w:type="pct"/>
            <w:tcBorders>
              <w:top w:val="nil"/>
              <w:left w:val="nil"/>
              <w:bottom w:val="single" w:sz="8" w:space="0" w:color="auto"/>
              <w:right w:val="single" w:sz="8" w:space="0" w:color="auto"/>
            </w:tcBorders>
            <w:tcMar>
              <w:top w:w="0" w:type="dxa"/>
              <w:left w:w="108" w:type="dxa"/>
              <w:bottom w:w="0" w:type="dxa"/>
              <w:right w:w="108" w:type="dxa"/>
            </w:tcMar>
            <w:vAlign w:val="bottom"/>
          </w:tcPr>
          <w:p w14:paraId="4233FA35" w14:textId="77777777" w:rsidR="00F51BE1" w:rsidRPr="00E96E94" w:rsidRDefault="00F51BE1" w:rsidP="00E4761C">
            <w:pPr>
              <w:widowControl w:val="0"/>
              <w:autoSpaceDE w:val="0"/>
              <w:autoSpaceDN w:val="0"/>
              <w:adjustRightInd w:val="0"/>
              <w:spacing w:after="0" w:line="240" w:lineRule="auto"/>
              <w:jc w:val="right"/>
              <w:rPr>
                <w:rFonts w:ascii="Times New Roman" w:eastAsia="Times New Roman" w:hAnsi="Times New Roman"/>
                <w:b/>
                <w:sz w:val="26"/>
                <w:szCs w:val="26"/>
              </w:rPr>
            </w:pPr>
            <w:r w:rsidRPr="00E96E94">
              <w:rPr>
                <w:rFonts w:ascii="Times New Roman" w:eastAsia="Times New Roman" w:hAnsi="Times New Roman"/>
                <w:b/>
                <w:sz w:val="26"/>
                <w:szCs w:val="26"/>
              </w:rPr>
              <w:t>-$23,760</w:t>
            </w:r>
          </w:p>
        </w:tc>
      </w:tr>
    </w:tbl>
    <w:p w14:paraId="55643697" w14:textId="2E6F66E9" w:rsidR="00713CD6" w:rsidRPr="00F717FF" w:rsidRDefault="00713CD6" w:rsidP="00713CD6">
      <w:pPr>
        <w:spacing w:after="0" w:line="240" w:lineRule="auto"/>
        <w:rPr>
          <w:rFonts w:ascii="Times New Roman" w:eastAsia="Times New Roman" w:hAnsi="Times New Roman"/>
          <w:sz w:val="26"/>
          <w:szCs w:val="26"/>
        </w:rPr>
      </w:pPr>
    </w:p>
    <w:p w14:paraId="7CE9BFC8" w14:textId="77777777" w:rsidR="00713CD6" w:rsidRPr="00F717FF" w:rsidRDefault="00713CD6" w:rsidP="00713CD6">
      <w:pPr>
        <w:spacing w:after="0" w:line="240" w:lineRule="auto"/>
        <w:rPr>
          <w:rFonts w:ascii="Times New Roman" w:eastAsia="Times New Roman" w:hAnsi="Times New Roman"/>
          <w:sz w:val="26"/>
          <w:szCs w:val="26"/>
        </w:rPr>
      </w:pPr>
    </w:p>
    <w:p w14:paraId="42E79DED" w14:textId="48174FD8" w:rsidR="007B751C" w:rsidRPr="00F717FF" w:rsidRDefault="007B751C" w:rsidP="007B751C">
      <w:pPr>
        <w:spacing w:after="0" w:line="240" w:lineRule="auto"/>
        <w:rPr>
          <w:rFonts w:ascii="Times New Roman" w:hAnsi="Times New Roman"/>
          <w:sz w:val="26"/>
          <w:szCs w:val="26"/>
        </w:rPr>
      </w:pPr>
      <w:r w:rsidRPr="00F717FF">
        <w:rPr>
          <w:rFonts w:ascii="Times New Roman" w:hAnsi="Times New Roman"/>
          <w:sz w:val="26"/>
          <w:szCs w:val="26"/>
        </w:rPr>
        <w:t xml:space="preserve">The following table summarizes the existing </w:t>
      </w:r>
      <w:r w:rsidR="00713CD6" w:rsidRPr="00F717FF">
        <w:rPr>
          <w:rFonts w:ascii="Times New Roman" w:hAnsi="Times New Roman"/>
          <w:sz w:val="26"/>
          <w:szCs w:val="26"/>
        </w:rPr>
        <w:t xml:space="preserve">OMB-approved </w:t>
      </w:r>
      <w:r w:rsidRPr="00F717FF">
        <w:rPr>
          <w:rFonts w:ascii="Times New Roman" w:hAnsi="Times New Roman"/>
          <w:sz w:val="26"/>
          <w:szCs w:val="26"/>
        </w:rPr>
        <w:t xml:space="preserve">burden </w:t>
      </w:r>
      <w:r w:rsidR="00713CD6" w:rsidRPr="00F717FF">
        <w:rPr>
          <w:rFonts w:ascii="Times New Roman" w:hAnsi="Times New Roman"/>
          <w:sz w:val="26"/>
          <w:szCs w:val="26"/>
        </w:rPr>
        <w:t xml:space="preserve">inventory </w:t>
      </w:r>
      <w:r w:rsidRPr="00F717FF">
        <w:rPr>
          <w:rFonts w:ascii="Times New Roman" w:hAnsi="Times New Roman"/>
          <w:sz w:val="26"/>
          <w:szCs w:val="26"/>
        </w:rPr>
        <w:t xml:space="preserve">and </w:t>
      </w:r>
      <w:r w:rsidR="00D13AF7">
        <w:rPr>
          <w:rFonts w:ascii="Times New Roman" w:hAnsi="Times New Roman"/>
          <w:sz w:val="26"/>
          <w:szCs w:val="26"/>
        </w:rPr>
        <w:t>the estimated changes due to implementation of</w:t>
      </w:r>
      <w:r w:rsidRPr="00F717FF">
        <w:rPr>
          <w:rFonts w:ascii="Times New Roman" w:hAnsi="Times New Roman"/>
          <w:sz w:val="26"/>
          <w:szCs w:val="26"/>
        </w:rPr>
        <w:t xml:space="preserve"> the final rule</w:t>
      </w:r>
      <w:r w:rsidR="00713CD6" w:rsidRPr="00F717FF">
        <w:rPr>
          <w:rFonts w:ascii="Times New Roman" w:hAnsi="Times New Roman"/>
          <w:sz w:val="26"/>
          <w:szCs w:val="26"/>
        </w:rPr>
        <w:t xml:space="preserve"> in RM12-11-003</w:t>
      </w:r>
      <w:r w:rsidRPr="00F717FF">
        <w:rPr>
          <w:rFonts w:ascii="Times New Roman" w:hAnsi="Times New Roman"/>
          <w:sz w:val="26"/>
          <w:szCs w:val="26"/>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that charts list comparision"/>
      </w:tblPr>
      <w:tblGrid>
        <w:gridCol w:w="2563"/>
        <w:gridCol w:w="1112"/>
        <w:gridCol w:w="1386"/>
        <w:gridCol w:w="1795"/>
        <w:gridCol w:w="2144"/>
      </w:tblGrid>
      <w:tr w:rsidR="007B751C" w:rsidRPr="00F717FF" w14:paraId="5F401BDC" w14:textId="77777777" w:rsidTr="007534B8">
        <w:trPr>
          <w:trHeight w:val="870"/>
        </w:trPr>
        <w:tc>
          <w:tcPr>
            <w:tcW w:w="2589" w:type="dxa"/>
            <w:shd w:val="clear" w:color="auto" w:fill="D9D9D9"/>
            <w:vAlign w:val="bottom"/>
          </w:tcPr>
          <w:p w14:paraId="53C6D1AF" w14:textId="5389FEC6" w:rsidR="007B751C" w:rsidRPr="00F717FF" w:rsidRDefault="007B751C" w:rsidP="00E96E94">
            <w:pPr>
              <w:spacing w:after="0" w:line="240" w:lineRule="auto"/>
              <w:rPr>
                <w:rFonts w:ascii="Times New Roman" w:hAnsi="Times New Roman"/>
                <w:b/>
                <w:sz w:val="26"/>
                <w:szCs w:val="26"/>
              </w:rPr>
            </w:pPr>
            <w:r w:rsidRPr="00F717FF">
              <w:rPr>
                <w:rFonts w:ascii="Times New Roman" w:hAnsi="Times New Roman"/>
                <w:b/>
                <w:sz w:val="26"/>
                <w:szCs w:val="26"/>
              </w:rPr>
              <w:t>FERC-5</w:t>
            </w:r>
            <w:r w:rsidR="00E96E94" w:rsidRPr="00F717FF">
              <w:rPr>
                <w:rFonts w:ascii="Times New Roman" w:hAnsi="Times New Roman"/>
                <w:b/>
                <w:sz w:val="26"/>
                <w:szCs w:val="26"/>
              </w:rPr>
              <w:t>3</w:t>
            </w:r>
            <w:r w:rsidRPr="00F717FF">
              <w:rPr>
                <w:rFonts w:ascii="Times New Roman" w:hAnsi="Times New Roman"/>
                <w:b/>
                <w:sz w:val="26"/>
                <w:szCs w:val="26"/>
              </w:rPr>
              <w:t>7</w:t>
            </w:r>
          </w:p>
        </w:tc>
        <w:tc>
          <w:tcPr>
            <w:tcW w:w="1101" w:type="dxa"/>
            <w:shd w:val="clear" w:color="auto" w:fill="D9D9D9"/>
            <w:vAlign w:val="bottom"/>
          </w:tcPr>
          <w:p w14:paraId="0D671AF1" w14:textId="77777777" w:rsidR="007B751C" w:rsidRPr="00F717FF" w:rsidRDefault="007B751C" w:rsidP="00400F07">
            <w:pPr>
              <w:spacing w:after="0" w:line="240" w:lineRule="auto"/>
              <w:rPr>
                <w:rFonts w:ascii="Times New Roman" w:hAnsi="Times New Roman"/>
                <w:b/>
                <w:sz w:val="26"/>
                <w:szCs w:val="26"/>
              </w:rPr>
            </w:pPr>
            <w:r w:rsidRPr="00F717FF">
              <w:rPr>
                <w:rFonts w:ascii="Times New Roman" w:hAnsi="Times New Roman"/>
                <w:b/>
                <w:sz w:val="26"/>
                <w:szCs w:val="26"/>
              </w:rPr>
              <w:t>Total Request</w:t>
            </w:r>
          </w:p>
        </w:tc>
        <w:tc>
          <w:tcPr>
            <w:tcW w:w="1350" w:type="dxa"/>
            <w:shd w:val="clear" w:color="auto" w:fill="D9D9D9"/>
            <w:vAlign w:val="bottom"/>
          </w:tcPr>
          <w:p w14:paraId="47814666" w14:textId="77777777" w:rsidR="007B751C" w:rsidRPr="00F717FF" w:rsidRDefault="007B751C" w:rsidP="00400F07">
            <w:pPr>
              <w:spacing w:after="0" w:line="240" w:lineRule="auto"/>
              <w:rPr>
                <w:rFonts w:ascii="Times New Roman" w:hAnsi="Times New Roman"/>
                <w:b/>
                <w:sz w:val="26"/>
                <w:szCs w:val="26"/>
              </w:rPr>
            </w:pPr>
            <w:r w:rsidRPr="00F717FF">
              <w:rPr>
                <w:rFonts w:ascii="Times New Roman" w:hAnsi="Times New Roman"/>
                <w:b/>
                <w:sz w:val="26"/>
                <w:szCs w:val="26"/>
              </w:rPr>
              <w:t>Previously Approved</w:t>
            </w:r>
          </w:p>
        </w:tc>
        <w:tc>
          <w:tcPr>
            <w:tcW w:w="1800" w:type="dxa"/>
            <w:shd w:val="clear" w:color="auto" w:fill="D9D9D9"/>
            <w:vAlign w:val="bottom"/>
          </w:tcPr>
          <w:p w14:paraId="45768F65" w14:textId="77777777" w:rsidR="007B751C" w:rsidRPr="00F717FF" w:rsidRDefault="007B751C" w:rsidP="00400F07">
            <w:pPr>
              <w:spacing w:after="0" w:line="240" w:lineRule="auto"/>
              <w:rPr>
                <w:rFonts w:ascii="Times New Roman" w:hAnsi="Times New Roman"/>
                <w:b/>
                <w:sz w:val="26"/>
                <w:szCs w:val="26"/>
              </w:rPr>
            </w:pPr>
            <w:r w:rsidRPr="00F717FF">
              <w:rPr>
                <w:rFonts w:ascii="Times New Roman" w:hAnsi="Times New Roman"/>
                <w:b/>
                <w:sz w:val="26"/>
                <w:szCs w:val="26"/>
              </w:rPr>
              <w:t>Change due to Adjustment in Estimate</w:t>
            </w:r>
          </w:p>
        </w:tc>
        <w:tc>
          <w:tcPr>
            <w:tcW w:w="2160" w:type="dxa"/>
            <w:shd w:val="clear" w:color="auto" w:fill="D9D9D9"/>
            <w:vAlign w:val="bottom"/>
          </w:tcPr>
          <w:p w14:paraId="7067F572" w14:textId="77777777" w:rsidR="007B751C" w:rsidRPr="00F717FF" w:rsidRDefault="007B751C" w:rsidP="00400F07">
            <w:pPr>
              <w:spacing w:after="0" w:line="240" w:lineRule="auto"/>
              <w:rPr>
                <w:rFonts w:ascii="Times New Roman" w:hAnsi="Times New Roman"/>
                <w:b/>
                <w:sz w:val="26"/>
                <w:szCs w:val="26"/>
              </w:rPr>
            </w:pPr>
            <w:r w:rsidRPr="00F717FF">
              <w:rPr>
                <w:rFonts w:ascii="Times New Roman" w:hAnsi="Times New Roman"/>
                <w:b/>
                <w:sz w:val="26"/>
                <w:szCs w:val="26"/>
              </w:rPr>
              <w:t>Change Due to Agency Discretion</w:t>
            </w:r>
          </w:p>
        </w:tc>
      </w:tr>
      <w:tr w:rsidR="007B751C" w:rsidRPr="00F717FF" w14:paraId="239E6B78" w14:textId="77777777" w:rsidTr="007534B8">
        <w:trPr>
          <w:trHeight w:val="591"/>
        </w:trPr>
        <w:tc>
          <w:tcPr>
            <w:tcW w:w="2589" w:type="dxa"/>
          </w:tcPr>
          <w:p w14:paraId="3979B418" w14:textId="77777777" w:rsidR="007B751C" w:rsidRPr="00F717FF" w:rsidRDefault="007B751C" w:rsidP="00400F07">
            <w:pPr>
              <w:spacing w:after="0" w:line="240" w:lineRule="auto"/>
              <w:rPr>
                <w:rFonts w:ascii="Times New Roman" w:hAnsi="Times New Roman"/>
                <w:sz w:val="26"/>
                <w:szCs w:val="26"/>
              </w:rPr>
            </w:pPr>
            <w:r w:rsidRPr="00F717FF">
              <w:rPr>
                <w:rFonts w:ascii="Times New Roman" w:hAnsi="Times New Roman"/>
                <w:sz w:val="26"/>
                <w:szCs w:val="26"/>
              </w:rPr>
              <w:t>Annual Number of Responses</w:t>
            </w:r>
          </w:p>
        </w:tc>
        <w:tc>
          <w:tcPr>
            <w:tcW w:w="1101" w:type="dxa"/>
            <w:vAlign w:val="bottom"/>
          </w:tcPr>
          <w:p w14:paraId="0CFEC926" w14:textId="181AD6AA" w:rsidR="007B751C" w:rsidRPr="00F717FF" w:rsidRDefault="007534B8" w:rsidP="00400F07">
            <w:pPr>
              <w:spacing w:after="0" w:line="240" w:lineRule="auto"/>
              <w:jc w:val="right"/>
              <w:rPr>
                <w:rFonts w:ascii="Times New Roman" w:hAnsi="Times New Roman"/>
                <w:sz w:val="26"/>
                <w:szCs w:val="26"/>
              </w:rPr>
            </w:pPr>
            <w:r w:rsidRPr="00F717FF">
              <w:rPr>
                <w:rFonts w:ascii="Times New Roman" w:hAnsi="Times New Roman"/>
                <w:sz w:val="26"/>
                <w:szCs w:val="26"/>
              </w:rPr>
              <w:t>458</w:t>
            </w:r>
          </w:p>
        </w:tc>
        <w:tc>
          <w:tcPr>
            <w:tcW w:w="1350" w:type="dxa"/>
            <w:vAlign w:val="bottom"/>
          </w:tcPr>
          <w:p w14:paraId="257774C6" w14:textId="696349D8" w:rsidR="007B751C" w:rsidRPr="00F717FF" w:rsidRDefault="007534B8" w:rsidP="00400F07">
            <w:pPr>
              <w:spacing w:after="0" w:line="240" w:lineRule="auto"/>
              <w:jc w:val="right"/>
              <w:rPr>
                <w:rFonts w:ascii="Times New Roman" w:hAnsi="Times New Roman"/>
                <w:sz w:val="26"/>
                <w:szCs w:val="26"/>
              </w:rPr>
            </w:pPr>
            <w:r w:rsidRPr="00E96E94">
              <w:rPr>
                <w:rFonts w:ascii="Times New Roman" w:eastAsia="Times New Roman" w:hAnsi="Times New Roman"/>
                <w:color w:val="000000"/>
                <w:sz w:val="26"/>
                <w:szCs w:val="26"/>
              </w:rPr>
              <w:t>458</w:t>
            </w:r>
          </w:p>
        </w:tc>
        <w:tc>
          <w:tcPr>
            <w:tcW w:w="1800" w:type="dxa"/>
            <w:vAlign w:val="bottom"/>
          </w:tcPr>
          <w:p w14:paraId="72C78BB8" w14:textId="7D53FAFC" w:rsidR="007B751C" w:rsidRPr="00F717FF" w:rsidRDefault="007534B8" w:rsidP="00400F07">
            <w:pPr>
              <w:spacing w:after="0" w:line="240" w:lineRule="auto"/>
              <w:jc w:val="right"/>
              <w:rPr>
                <w:rFonts w:ascii="Times New Roman" w:hAnsi="Times New Roman"/>
                <w:sz w:val="26"/>
                <w:szCs w:val="26"/>
              </w:rPr>
            </w:pPr>
            <w:r w:rsidRPr="00F717FF">
              <w:rPr>
                <w:rFonts w:ascii="Times New Roman" w:hAnsi="Times New Roman"/>
                <w:sz w:val="26"/>
                <w:szCs w:val="26"/>
              </w:rPr>
              <w:t>-</w:t>
            </w:r>
          </w:p>
        </w:tc>
        <w:tc>
          <w:tcPr>
            <w:tcW w:w="2160" w:type="dxa"/>
            <w:vAlign w:val="bottom"/>
          </w:tcPr>
          <w:p w14:paraId="6C481018" w14:textId="6860AF5A" w:rsidR="007B751C" w:rsidRPr="00F717FF" w:rsidRDefault="007534B8" w:rsidP="00400F07">
            <w:pPr>
              <w:spacing w:after="0" w:line="240" w:lineRule="auto"/>
              <w:jc w:val="right"/>
              <w:rPr>
                <w:rFonts w:ascii="Times New Roman" w:hAnsi="Times New Roman"/>
                <w:sz w:val="26"/>
                <w:szCs w:val="26"/>
              </w:rPr>
            </w:pPr>
            <w:r w:rsidRPr="00F717FF">
              <w:rPr>
                <w:rFonts w:ascii="Times New Roman" w:hAnsi="Times New Roman"/>
                <w:sz w:val="26"/>
                <w:szCs w:val="26"/>
              </w:rPr>
              <w:t>0</w:t>
            </w:r>
          </w:p>
        </w:tc>
      </w:tr>
      <w:tr w:rsidR="007B751C" w:rsidRPr="00F717FF" w14:paraId="0F4ECF74" w14:textId="77777777" w:rsidTr="007534B8">
        <w:trPr>
          <w:trHeight w:val="575"/>
        </w:trPr>
        <w:tc>
          <w:tcPr>
            <w:tcW w:w="2589" w:type="dxa"/>
          </w:tcPr>
          <w:p w14:paraId="0F8DB316" w14:textId="77777777" w:rsidR="007B751C" w:rsidRPr="00F717FF" w:rsidRDefault="007B751C" w:rsidP="00400F07">
            <w:pPr>
              <w:spacing w:after="0" w:line="240" w:lineRule="auto"/>
              <w:rPr>
                <w:rFonts w:ascii="Times New Roman" w:hAnsi="Times New Roman"/>
                <w:sz w:val="26"/>
                <w:szCs w:val="26"/>
              </w:rPr>
            </w:pPr>
            <w:r w:rsidRPr="00F717FF">
              <w:rPr>
                <w:rFonts w:ascii="Times New Roman" w:hAnsi="Times New Roman"/>
                <w:sz w:val="26"/>
                <w:szCs w:val="26"/>
              </w:rPr>
              <w:t>Annual Time Burden (</w:t>
            </w:r>
            <w:proofErr w:type="spellStart"/>
            <w:r w:rsidRPr="00F717FF">
              <w:rPr>
                <w:rFonts w:ascii="Times New Roman" w:hAnsi="Times New Roman"/>
                <w:sz w:val="26"/>
                <w:szCs w:val="26"/>
              </w:rPr>
              <w:t>Hr</w:t>
            </w:r>
            <w:proofErr w:type="spellEnd"/>
            <w:r w:rsidRPr="00F717FF">
              <w:rPr>
                <w:rFonts w:ascii="Times New Roman" w:hAnsi="Times New Roman"/>
                <w:sz w:val="26"/>
                <w:szCs w:val="26"/>
              </w:rPr>
              <w:t>)</w:t>
            </w:r>
          </w:p>
        </w:tc>
        <w:tc>
          <w:tcPr>
            <w:tcW w:w="1101" w:type="dxa"/>
            <w:vAlign w:val="bottom"/>
          </w:tcPr>
          <w:p w14:paraId="4A1C1A53" w14:textId="3EB74B5D" w:rsidR="007B751C" w:rsidRPr="00F717FF" w:rsidRDefault="007534B8" w:rsidP="00F51BE1">
            <w:pPr>
              <w:spacing w:after="0" w:line="240" w:lineRule="auto"/>
              <w:jc w:val="right"/>
              <w:rPr>
                <w:rFonts w:ascii="Times New Roman" w:hAnsi="Times New Roman"/>
                <w:sz w:val="26"/>
                <w:szCs w:val="26"/>
              </w:rPr>
            </w:pPr>
            <w:r w:rsidRPr="00F717FF">
              <w:rPr>
                <w:rFonts w:ascii="Times New Roman" w:hAnsi="Times New Roman"/>
                <w:sz w:val="26"/>
                <w:szCs w:val="26"/>
              </w:rPr>
              <w:t>66,</w:t>
            </w:r>
            <w:r w:rsidR="00F51BE1" w:rsidRPr="00F717FF">
              <w:rPr>
                <w:rFonts w:ascii="Times New Roman" w:hAnsi="Times New Roman"/>
                <w:sz w:val="26"/>
                <w:szCs w:val="26"/>
              </w:rPr>
              <w:t>5</w:t>
            </w:r>
            <w:r w:rsidR="00F51BE1">
              <w:rPr>
                <w:rFonts w:ascii="Times New Roman" w:hAnsi="Times New Roman"/>
                <w:sz w:val="26"/>
                <w:szCs w:val="26"/>
              </w:rPr>
              <w:t>3</w:t>
            </w:r>
            <w:r w:rsidR="00F51BE1" w:rsidRPr="00F717FF">
              <w:rPr>
                <w:rFonts w:ascii="Times New Roman" w:hAnsi="Times New Roman"/>
                <w:sz w:val="26"/>
                <w:szCs w:val="26"/>
              </w:rPr>
              <w:t>8</w:t>
            </w:r>
            <w:bookmarkStart w:id="0" w:name="_GoBack"/>
            <w:bookmarkEnd w:id="0"/>
          </w:p>
        </w:tc>
        <w:tc>
          <w:tcPr>
            <w:tcW w:w="1350" w:type="dxa"/>
            <w:vAlign w:val="bottom"/>
          </w:tcPr>
          <w:p w14:paraId="332AB8FF" w14:textId="2C749D55" w:rsidR="007B751C" w:rsidRPr="00F717FF" w:rsidRDefault="007534B8" w:rsidP="00400F07">
            <w:pPr>
              <w:spacing w:after="0" w:line="240" w:lineRule="auto"/>
              <w:jc w:val="right"/>
              <w:rPr>
                <w:rFonts w:ascii="Times New Roman" w:hAnsi="Times New Roman"/>
                <w:sz w:val="26"/>
                <w:szCs w:val="26"/>
              </w:rPr>
            </w:pPr>
            <w:r w:rsidRPr="00E96E94">
              <w:rPr>
                <w:rFonts w:ascii="Times New Roman" w:eastAsia="Times New Roman" w:hAnsi="Times New Roman"/>
                <w:color w:val="000000"/>
                <w:sz w:val="26"/>
                <w:szCs w:val="26"/>
              </w:rPr>
              <w:t>66,868</w:t>
            </w:r>
          </w:p>
        </w:tc>
        <w:tc>
          <w:tcPr>
            <w:tcW w:w="1800" w:type="dxa"/>
            <w:vAlign w:val="bottom"/>
          </w:tcPr>
          <w:p w14:paraId="0907D61F" w14:textId="51DD9736" w:rsidR="007B751C" w:rsidRPr="00F717FF" w:rsidRDefault="007534B8" w:rsidP="00400F07">
            <w:pPr>
              <w:spacing w:after="0" w:line="240" w:lineRule="auto"/>
              <w:jc w:val="right"/>
              <w:rPr>
                <w:rFonts w:ascii="Times New Roman" w:hAnsi="Times New Roman"/>
                <w:sz w:val="26"/>
                <w:szCs w:val="26"/>
              </w:rPr>
            </w:pPr>
            <w:r w:rsidRPr="00F717FF">
              <w:rPr>
                <w:rFonts w:ascii="Times New Roman" w:hAnsi="Times New Roman"/>
                <w:sz w:val="26"/>
                <w:szCs w:val="26"/>
              </w:rPr>
              <w:t>-</w:t>
            </w:r>
          </w:p>
        </w:tc>
        <w:tc>
          <w:tcPr>
            <w:tcW w:w="2160" w:type="dxa"/>
            <w:vAlign w:val="bottom"/>
          </w:tcPr>
          <w:p w14:paraId="0CAE21AE" w14:textId="45A8AF01" w:rsidR="007B751C" w:rsidRPr="00F717FF" w:rsidRDefault="007534B8" w:rsidP="00400F07">
            <w:pPr>
              <w:spacing w:after="0" w:line="240" w:lineRule="auto"/>
              <w:jc w:val="right"/>
              <w:rPr>
                <w:rFonts w:ascii="Times New Roman" w:hAnsi="Times New Roman"/>
                <w:sz w:val="26"/>
                <w:szCs w:val="26"/>
              </w:rPr>
            </w:pPr>
            <w:r w:rsidRPr="00F717FF">
              <w:rPr>
                <w:rFonts w:ascii="Times New Roman" w:hAnsi="Times New Roman"/>
                <w:sz w:val="26"/>
                <w:szCs w:val="26"/>
              </w:rPr>
              <w:t>-330</w:t>
            </w:r>
          </w:p>
        </w:tc>
      </w:tr>
      <w:tr w:rsidR="007B751C" w:rsidRPr="00F717FF" w14:paraId="0FACFCB0" w14:textId="77777777" w:rsidTr="007534B8">
        <w:trPr>
          <w:trHeight w:val="295"/>
        </w:trPr>
        <w:tc>
          <w:tcPr>
            <w:tcW w:w="2589" w:type="dxa"/>
          </w:tcPr>
          <w:p w14:paraId="5D79544E" w14:textId="77777777" w:rsidR="007B751C" w:rsidRPr="00F717FF" w:rsidRDefault="007B751C" w:rsidP="00400F07">
            <w:pPr>
              <w:spacing w:after="0" w:line="240" w:lineRule="auto"/>
              <w:rPr>
                <w:rFonts w:ascii="Times New Roman" w:hAnsi="Times New Roman"/>
                <w:sz w:val="26"/>
                <w:szCs w:val="26"/>
              </w:rPr>
            </w:pPr>
            <w:r w:rsidRPr="00F717FF">
              <w:rPr>
                <w:rFonts w:ascii="Times New Roman" w:hAnsi="Times New Roman"/>
                <w:sz w:val="26"/>
                <w:szCs w:val="26"/>
              </w:rPr>
              <w:t>Annual Cost Burden ($)</w:t>
            </w:r>
          </w:p>
        </w:tc>
        <w:tc>
          <w:tcPr>
            <w:tcW w:w="1101" w:type="dxa"/>
            <w:vAlign w:val="bottom"/>
          </w:tcPr>
          <w:p w14:paraId="12A412E6" w14:textId="62E407BC" w:rsidR="007B751C" w:rsidRPr="00F717FF" w:rsidRDefault="007B751C" w:rsidP="00400F07">
            <w:pPr>
              <w:spacing w:after="0" w:line="240" w:lineRule="auto"/>
              <w:jc w:val="right"/>
              <w:rPr>
                <w:rFonts w:ascii="Times New Roman" w:hAnsi="Times New Roman"/>
                <w:sz w:val="26"/>
                <w:szCs w:val="26"/>
              </w:rPr>
            </w:pPr>
            <w:r w:rsidRPr="00F717FF">
              <w:rPr>
                <w:rFonts w:ascii="Times New Roman" w:hAnsi="Times New Roman"/>
                <w:sz w:val="26"/>
                <w:szCs w:val="26"/>
              </w:rPr>
              <w:t>-</w:t>
            </w:r>
          </w:p>
        </w:tc>
        <w:tc>
          <w:tcPr>
            <w:tcW w:w="1350" w:type="dxa"/>
            <w:vAlign w:val="bottom"/>
          </w:tcPr>
          <w:p w14:paraId="3B75BDDF" w14:textId="613FDC97" w:rsidR="007B751C" w:rsidRPr="00F717FF" w:rsidRDefault="007B751C" w:rsidP="00400F07">
            <w:pPr>
              <w:spacing w:after="0" w:line="240" w:lineRule="auto"/>
              <w:jc w:val="right"/>
              <w:rPr>
                <w:rFonts w:ascii="Times New Roman" w:hAnsi="Times New Roman"/>
                <w:sz w:val="26"/>
                <w:szCs w:val="26"/>
              </w:rPr>
            </w:pPr>
            <w:r w:rsidRPr="00F717FF">
              <w:rPr>
                <w:rFonts w:ascii="Times New Roman" w:hAnsi="Times New Roman"/>
                <w:sz w:val="26"/>
                <w:szCs w:val="26"/>
              </w:rPr>
              <w:t>-</w:t>
            </w:r>
          </w:p>
        </w:tc>
        <w:tc>
          <w:tcPr>
            <w:tcW w:w="1800" w:type="dxa"/>
            <w:vAlign w:val="bottom"/>
          </w:tcPr>
          <w:p w14:paraId="2F01F652" w14:textId="77D055CF" w:rsidR="007B751C" w:rsidRPr="00F717FF" w:rsidRDefault="007B751C" w:rsidP="00400F07">
            <w:pPr>
              <w:spacing w:after="0" w:line="240" w:lineRule="auto"/>
              <w:jc w:val="right"/>
              <w:rPr>
                <w:rFonts w:ascii="Times New Roman" w:hAnsi="Times New Roman"/>
                <w:sz w:val="26"/>
                <w:szCs w:val="26"/>
              </w:rPr>
            </w:pPr>
            <w:r w:rsidRPr="00F717FF">
              <w:rPr>
                <w:rFonts w:ascii="Times New Roman" w:hAnsi="Times New Roman"/>
                <w:sz w:val="26"/>
                <w:szCs w:val="26"/>
              </w:rPr>
              <w:t>-</w:t>
            </w:r>
          </w:p>
        </w:tc>
        <w:tc>
          <w:tcPr>
            <w:tcW w:w="2160" w:type="dxa"/>
            <w:vAlign w:val="bottom"/>
          </w:tcPr>
          <w:p w14:paraId="79536740" w14:textId="77777777" w:rsidR="007B751C" w:rsidRPr="00F717FF" w:rsidRDefault="007B751C" w:rsidP="00400F07">
            <w:pPr>
              <w:spacing w:after="0" w:line="240" w:lineRule="auto"/>
              <w:jc w:val="right"/>
              <w:rPr>
                <w:rFonts w:ascii="Times New Roman" w:hAnsi="Times New Roman"/>
                <w:sz w:val="26"/>
                <w:szCs w:val="26"/>
              </w:rPr>
            </w:pPr>
            <w:r w:rsidRPr="00F717FF">
              <w:rPr>
                <w:rFonts w:ascii="Times New Roman" w:hAnsi="Times New Roman"/>
                <w:sz w:val="26"/>
                <w:szCs w:val="26"/>
              </w:rPr>
              <w:t>-</w:t>
            </w:r>
          </w:p>
        </w:tc>
      </w:tr>
    </w:tbl>
    <w:p w14:paraId="153E389E" w14:textId="77777777" w:rsidR="007B751C" w:rsidRPr="00F717FF" w:rsidRDefault="007B751C" w:rsidP="008F4F57">
      <w:pPr>
        <w:spacing w:after="0" w:line="240" w:lineRule="auto"/>
        <w:rPr>
          <w:rFonts w:ascii="Times New Roman" w:hAnsi="Times New Roman"/>
          <w:sz w:val="26"/>
          <w:szCs w:val="26"/>
        </w:rPr>
      </w:pPr>
    </w:p>
    <w:p w14:paraId="178EA34A" w14:textId="77777777" w:rsidR="00ED6128" w:rsidRPr="00F717FF" w:rsidRDefault="00ED6128" w:rsidP="008F4F57">
      <w:pPr>
        <w:spacing w:after="0" w:line="240" w:lineRule="auto"/>
        <w:rPr>
          <w:rFonts w:ascii="Times New Roman" w:hAnsi="Times New Roman"/>
          <w:sz w:val="26"/>
          <w:szCs w:val="26"/>
        </w:rPr>
      </w:pPr>
    </w:p>
    <w:p w14:paraId="178EA34B"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TIME SCHEDULE FOR PUBLICATION OF DATA</w:t>
      </w:r>
    </w:p>
    <w:p w14:paraId="178EA34C" w14:textId="77777777" w:rsidR="00ED6128" w:rsidRPr="00F717FF" w:rsidRDefault="00ED6128" w:rsidP="008F4F57">
      <w:pPr>
        <w:spacing w:after="0" w:line="240" w:lineRule="auto"/>
        <w:rPr>
          <w:rFonts w:ascii="Times New Roman" w:hAnsi="Times New Roman"/>
          <w:sz w:val="26"/>
          <w:szCs w:val="26"/>
        </w:rPr>
      </w:pPr>
    </w:p>
    <w:p w14:paraId="178EA34D" w14:textId="77777777" w:rsidR="00ED6128" w:rsidRPr="00F717FF" w:rsidRDefault="00ED6128" w:rsidP="008F4F57">
      <w:pPr>
        <w:spacing w:after="0" w:line="240" w:lineRule="auto"/>
        <w:rPr>
          <w:rFonts w:ascii="Times New Roman" w:hAnsi="Times New Roman"/>
          <w:sz w:val="26"/>
          <w:szCs w:val="26"/>
        </w:rPr>
      </w:pPr>
      <w:r w:rsidRPr="00F717FF">
        <w:rPr>
          <w:rFonts w:ascii="Times New Roman" w:hAnsi="Times New Roman"/>
          <w:sz w:val="26"/>
          <w:szCs w:val="26"/>
        </w:rPr>
        <w:t>FERC does not publish any data as part of this collection.</w:t>
      </w:r>
    </w:p>
    <w:p w14:paraId="178EA34E" w14:textId="77777777" w:rsidR="00ED6128" w:rsidRPr="00F717FF" w:rsidRDefault="00ED6128" w:rsidP="008F4F57">
      <w:pPr>
        <w:spacing w:after="0" w:line="240" w:lineRule="auto"/>
        <w:rPr>
          <w:rFonts w:ascii="Times New Roman" w:hAnsi="Times New Roman"/>
          <w:sz w:val="26"/>
          <w:szCs w:val="26"/>
        </w:rPr>
      </w:pPr>
    </w:p>
    <w:p w14:paraId="178EA34F"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DISPLAY OF EXPIRATION DATE</w:t>
      </w:r>
    </w:p>
    <w:p w14:paraId="178EA350" w14:textId="77777777" w:rsidR="00ED6128" w:rsidRPr="00F717FF" w:rsidRDefault="00ED6128" w:rsidP="008F4F57">
      <w:pPr>
        <w:spacing w:after="0" w:line="240" w:lineRule="auto"/>
        <w:rPr>
          <w:rFonts w:ascii="Times New Roman" w:hAnsi="Times New Roman"/>
          <w:sz w:val="26"/>
          <w:szCs w:val="26"/>
        </w:rPr>
      </w:pPr>
    </w:p>
    <w:p w14:paraId="178EA351" w14:textId="32444A65" w:rsidR="00ED6128" w:rsidRPr="00F717FF" w:rsidRDefault="00ED6128" w:rsidP="008F4F57">
      <w:pPr>
        <w:spacing w:after="0" w:line="240" w:lineRule="auto"/>
        <w:rPr>
          <w:rFonts w:ascii="Times New Roman" w:hAnsi="Times New Roman"/>
          <w:sz w:val="26"/>
          <w:szCs w:val="26"/>
        </w:rPr>
      </w:pPr>
      <w:r w:rsidRPr="00F717FF">
        <w:rPr>
          <w:rFonts w:ascii="Times New Roman" w:hAnsi="Times New Roman"/>
          <w:sz w:val="26"/>
          <w:szCs w:val="26"/>
        </w:rPr>
        <w:t xml:space="preserve">The </w:t>
      </w:r>
      <w:r w:rsidR="007534B8" w:rsidRPr="00F717FF">
        <w:rPr>
          <w:rFonts w:ascii="Times New Roman" w:hAnsi="Times New Roman"/>
          <w:sz w:val="26"/>
          <w:szCs w:val="26"/>
        </w:rPr>
        <w:t xml:space="preserve">OMB expiration dates are posted on </w:t>
      </w:r>
      <w:hyperlink r:id="rId16" w:history="1">
        <w:r w:rsidR="007534B8" w:rsidRPr="00F717FF">
          <w:rPr>
            <w:rStyle w:val="Hyperlink"/>
            <w:rFonts w:ascii="Times New Roman" w:hAnsi="Times New Roman"/>
            <w:sz w:val="26"/>
            <w:szCs w:val="26"/>
          </w:rPr>
          <w:t>http://www.ferc.gov/docs-filing/info-collections.asp</w:t>
        </w:r>
      </w:hyperlink>
      <w:r w:rsidR="007534B8" w:rsidRPr="00F717FF">
        <w:rPr>
          <w:rFonts w:ascii="Times New Roman" w:hAnsi="Times New Roman"/>
          <w:sz w:val="26"/>
          <w:szCs w:val="26"/>
        </w:rPr>
        <w:t xml:space="preserve"> .</w:t>
      </w:r>
    </w:p>
    <w:p w14:paraId="178EA352" w14:textId="77777777" w:rsidR="00ED6128" w:rsidRPr="00F717FF" w:rsidRDefault="00ED6128" w:rsidP="008F4F57">
      <w:pPr>
        <w:spacing w:after="0" w:line="240" w:lineRule="auto"/>
        <w:rPr>
          <w:rFonts w:ascii="Times New Roman" w:hAnsi="Times New Roman"/>
          <w:sz w:val="26"/>
          <w:szCs w:val="26"/>
        </w:rPr>
      </w:pPr>
    </w:p>
    <w:p w14:paraId="178EA353" w14:textId="77777777" w:rsidR="00ED6128" w:rsidRPr="00F717FF" w:rsidRDefault="00ED6128" w:rsidP="008F4F57">
      <w:pPr>
        <w:pStyle w:val="ListParagraph"/>
        <w:numPr>
          <w:ilvl w:val="0"/>
          <w:numId w:val="1"/>
        </w:numPr>
        <w:spacing w:after="0" w:line="240" w:lineRule="auto"/>
        <w:rPr>
          <w:rFonts w:ascii="Times New Roman" w:hAnsi="Times New Roman"/>
          <w:b/>
          <w:sz w:val="26"/>
          <w:szCs w:val="26"/>
        </w:rPr>
      </w:pPr>
      <w:r w:rsidRPr="00F717FF">
        <w:rPr>
          <w:rFonts w:ascii="Times New Roman" w:hAnsi="Times New Roman"/>
          <w:b/>
          <w:sz w:val="26"/>
          <w:szCs w:val="26"/>
        </w:rPr>
        <w:t>EXCEPTIONS TO THE CERTIFICATION STATEMENT</w:t>
      </w:r>
    </w:p>
    <w:p w14:paraId="178EA354" w14:textId="77777777" w:rsidR="00ED6128" w:rsidRPr="00F717FF" w:rsidRDefault="00ED6128" w:rsidP="008F4F57">
      <w:pPr>
        <w:spacing w:after="0" w:line="240" w:lineRule="auto"/>
        <w:rPr>
          <w:rFonts w:ascii="Times New Roman" w:hAnsi="Times New Roman"/>
          <w:b/>
          <w:sz w:val="26"/>
          <w:szCs w:val="26"/>
        </w:rPr>
      </w:pPr>
    </w:p>
    <w:p w14:paraId="178EA356" w14:textId="7718F20C" w:rsidR="00ED6128" w:rsidRPr="00F717FF" w:rsidRDefault="00ED6128" w:rsidP="008F4F57">
      <w:pPr>
        <w:spacing w:after="0" w:line="240" w:lineRule="auto"/>
        <w:rPr>
          <w:rFonts w:ascii="Times New Roman" w:hAnsi="Times New Roman"/>
          <w:sz w:val="26"/>
          <w:szCs w:val="26"/>
        </w:rPr>
      </w:pPr>
      <w:r w:rsidRPr="00F717FF">
        <w:rPr>
          <w:rFonts w:ascii="Times New Roman" w:hAnsi="Times New Roman"/>
          <w:sz w:val="26"/>
          <w:szCs w:val="26"/>
        </w:rPr>
        <w:t xml:space="preserve">This collection </w:t>
      </w:r>
      <w:r w:rsidR="007534B8" w:rsidRPr="00F717FF">
        <w:rPr>
          <w:rFonts w:ascii="Times New Roman" w:hAnsi="Times New Roman"/>
          <w:sz w:val="26"/>
          <w:szCs w:val="26"/>
        </w:rPr>
        <w:t>has no exceptions</w:t>
      </w:r>
      <w:r w:rsidR="00EA6B56" w:rsidRPr="00F717FF">
        <w:rPr>
          <w:rFonts w:ascii="Times New Roman" w:hAnsi="Times New Roman"/>
          <w:sz w:val="26"/>
          <w:szCs w:val="26"/>
        </w:rPr>
        <w:t>.</w:t>
      </w:r>
    </w:p>
    <w:sectPr w:rsidR="00ED6128" w:rsidRPr="00F717FF" w:rsidSect="008F4F57">
      <w:headerReference w:type="default" r:id="rId17"/>
      <w:footerReference w:type="defaul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D1F959" w15:done="0"/>
  <w15:commentEx w15:paraId="18222E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50AAC" w14:textId="77777777" w:rsidR="00DF1822" w:rsidRDefault="00DF1822" w:rsidP="00FD66F1">
      <w:pPr>
        <w:spacing w:after="0" w:line="240" w:lineRule="auto"/>
      </w:pPr>
      <w:r>
        <w:separator/>
      </w:r>
    </w:p>
  </w:endnote>
  <w:endnote w:type="continuationSeparator" w:id="0">
    <w:p w14:paraId="0F56A595" w14:textId="77777777" w:rsidR="00DF1822" w:rsidRDefault="00DF1822" w:rsidP="00FD66F1">
      <w:pPr>
        <w:spacing w:after="0" w:line="240" w:lineRule="auto"/>
      </w:pPr>
      <w:r>
        <w:continuationSeparator/>
      </w:r>
    </w:p>
  </w:endnote>
  <w:endnote w:type="continuationNotice" w:id="1">
    <w:p w14:paraId="4AB14219" w14:textId="77777777" w:rsidR="00DF1822" w:rsidRDefault="00DF18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EA3AF" w14:textId="77777777" w:rsidR="00DF1822" w:rsidRPr="00216C7E" w:rsidRDefault="00DF1822">
    <w:pPr>
      <w:pStyle w:val="Footer"/>
      <w:jc w:val="right"/>
      <w:rPr>
        <w:rFonts w:ascii="Times New Roman" w:hAnsi="Times New Roman"/>
      </w:rPr>
    </w:pPr>
    <w:r w:rsidRPr="00216C7E">
      <w:rPr>
        <w:rFonts w:ascii="Times New Roman" w:hAnsi="Times New Roman"/>
      </w:rPr>
      <w:fldChar w:fldCharType="begin"/>
    </w:r>
    <w:r w:rsidRPr="00216C7E">
      <w:rPr>
        <w:rFonts w:ascii="Times New Roman" w:hAnsi="Times New Roman"/>
      </w:rPr>
      <w:instrText xml:space="preserve"> PAGE   \* MERGEFORMAT </w:instrText>
    </w:r>
    <w:r w:rsidRPr="00216C7E">
      <w:rPr>
        <w:rFonts w:ascii="Times New Roman" w:hAnsi="Times New Roman"/>
      </w:rPr>
      <w:fldChar w:fldCharType="separate"/>
    </w:r>
    <w:r w:rsidR="00F32B79">
      <w:rPr>
        <w:rFonts w:ascii="Times New Roman" w:hAnsi="Times New Roman"/>
        <w:noProof/>
      </w:rPr>
      <w:t>5</w:t>
    </w:r>
    <w:r w:rsidRPr="00216C7E">
      <w:rPr>
        <w:rFonts w:ascii="Times New Roman" w:hAnsi="Times New Roman"/>
      </w:rPr>
      <w:fldChar w:fldCharType="end"/>
    </w:r>
  </w:p>
  <w:p w14:paraId="178EA3B0" w14:textId="77777777" w:rsidR="00DF1822" w:rsidRDefault="00DF1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037FB" w14:textId="77777777" w:rsidR="00DF1822" w:rsidRDefault="00DF1822" w:rsidP="00FD66F1">
      <w:pPr>
        <w:spacing w:after="0" w:line="240" w:lineRule="auto"/>
      </w:pPr>
      <w:r>
        <w:separator/>
      </w:r>
    </w:p>
  </w:footnote>
  <w:footnote w:type="continuationSeparator" w:id="0">
    <w:p w14:paraId="3F1D93C6" w14:textId="77777777" w:rsidR="00DF1822" w:rsidRDefault="00DF1822" w:rsidP="00FD66F1">
      <w:pPr>
        <w:spacing w:after="0" w:line="240" w:lineRule="auto"/>
      </w:pPr>
      <w:r>
        <w:continuationSeparator/>
      </w:r>
    </w:p>
  </w:footnote>
  <w:footnote w:type="continuationNotice" w:id="1">
    <w:p w14:paraId="56F53773" w14:textId="77777777" w:rsidR="00DF1822" w:rsidRDefault="00DF1822">
      <w:pPr>
        <w:spacing w:after="0" w:line="240" w:lineRule="auto"/>
      </w:pPr>
    </w:p>
  </w:footnote>
  <w:footnote w:id="2">
    <w:p w14:paraId="083A4CF7" w14:textId="27D77D24" w:rsidR="00DF1822" w:rsidRDefault="00DF1822">
      <w:pPr>
        <w:pStyle w:val="FootnoteText"/>
      </w:pPr>
      <w:r w:rsidRPr="00DA70DC">
        <w:rPr>
          <w:rStyle w:val="FootnoteReference"/>
          <w:vertAlign w:val="superscript"/>
        </w:rPr>
        <w:footnoteRef/>
      </w:r>
      <w:r w:rsidRPr="00DA70DC">
        <w:rPr>
          <w:vertAlign w:val="superscript"/>
        </w:rPr>
        <w:t xml:space="preserve"> </w:t>
      </w:r>
      <w:r w:rsidR="00255D94">
        <w:t>Only FERC-537 is modified by Order 790-B;</w:t>
      </w:r>
      <w:r w:rsidR="00255D94" w:rsidRPr="00255D94">
        <w:t xml:space="preserve"> </w:t>
      </w:r>
      <w:r w:rsidR="00255D94">
        <w:t>FERC-577 is not affected.</w:t>
      </w:r>
    </w:p>
  </w:footnote>
  <w:footnote w:id="3">
    <w:p w14:paraId="72E0FA68" w14:textId="251DB215" w:rsidR="00045BBE" w:rsidRDefault="00045BBE">
      <w:pPr>
        <w:pStyle w:val="FootnoteText"/>
      </w:pPr>
      <w:r w:rsidRPr="006B197F">
        <w:rPr>
          <w:rStyle w:val="FootnoteReference"/>
          <w:vertAlign w:val="superscript"/>
        </w:rPr>
        <w:footnoteRef/>
      </w:r>
      <w:r w:rsidRPr="006B197F">
        <w:rPr>
          <w:vertAlign w:val="superscript"/>
        </w:rPr>
        <w:t xml:space="preserve"> </w:t>
      </w:r>
      <w:r>
        <w:t xml:space="preserve">Details are available at </w:t>
      </w:r>
      <w:hyperlink r:id="rId1" w:history="1">
        <w:r w:rsidRPr="00B94FCA">
          <w:rPr>
            <w:rStyle w:val="Hyperlink"/>
          </w:rPr>
          <w:t>http://www.ferc.gov/docs-filing/forms/fileguide.pdf</w:t>
        </w:r>
      </w:hyperlink>
      <w:r>
        <w:t xml:space="preserve"> .</w:t>
      </w:r>
    </w:p>
  </w:footnote>
  <w:footnote w:id="4">
    <w:p w14:paraId="79DC3C83" w14:textId="6E8A5143" w:rsidR="005C4BE9" w:rsidRDefault="005C4BE9">
      <w:pPr>
        <w:pStyle w:val="FootnoteText"/>
      </w:pPr>
      <w:r w:rsidRPr="00186A5C">
        <w:rPr>
          <w:rStyle w:val="FootnoteReference"/>
          <w:vertAlign w:val="superscript"/>
        </w:rPr>
        <w:footnoteRef/>
      </w:r>
      <w:r w:rsidRPr="00186A5C">
        <w:rPr>
          <w:vertAlign w:val="superscript"/>
        </w:rPr>
        <w:t xml:space="preserve"> </w:t>
      </w:r>
      <w:r>
        <w:t xml:space="preserve">The NOPR is posted at </w:t>
      </w:r>
      <w:r w:rsidRPr="005C4BE9">
        <w:t>http://elibrary.ferc.gov/idmws/common/opennat.asp?fileID=13137981</w:t>
      </w:r>
      <w:r>
        <w:t>.</w:t>
      </w:r>
    </w:p>
  </w:footnote>
  <w:footnote w:id="5">
    <w:p w14:paraId="54523EEF" w14:textId="373F0D18" w:rsidR="002649B7" w:rsidRDefault="002649B7">
      <w:pPr>
        <w:pStyle w:val="FootnoteText"/>
      </w:pPr>
      <w:r w:rsidRPr="00186A5C">
        <w:rPr>
          <w:rStyle w:val="FootnoteReference"/>
          <w:vertAlign w:val="superscript"/>
        </w:rPr>
        <w:footnoteRef/>
      </w:r>
      <w:r w:rsidRPr="00186A5C">
        <w:rPr>
          <w:vertAlign w:val="superscript"/>
        </w:rPr>
        <w:t xml:space="preserve"> </w:t>
      </w:r>
      <w:r>
        <w:t xml:space="preserve">Order 790 is posted at </w:t>
      </w:r>
      <w:r w:rsidRPr="002649B7">
        <w:t>http://elibrary.ferc.gov/idmws/common/opennat.asp?fileID=13399208</w:t>
      </w:r>
      <w:r>
        <w:t>.</w:t>
      </w:r>
    </w:p>
  </w:footnote>
  <w:footnote w:id="6">
    <w:p w14:paraId="3D76E2AD" w14:textId="77777777" w:rsidR="00F968C7" w:rsidRDefault="00F968C7" w:rsidP="00F968C7">
      <w:pPr>
        <w:pStyle w:val="FootnoteText"/>
      </w:pPr>
      <w:r w:rsidRPr="00F968C7">
        <w:rPr>
          <w:rStyle w:val="FootnoteReference"/>
          <w:vertAlign w:val="superscript"/>
        </w:rPr>
        <w:footnoteRef/>
      </w:r>
      <w:r w:rsidRPr="00F968C7">
        <w:rPr>
          <w:vertAlign w:val="superscript"/>
        </w:rPr>
        <w:t xml:space="preserve"> </w:t>
      </w:r>
      <w:r>
        <w:t xml:space="preserve">Order 790-A is posted at </w:t>
      </w:r>
      <w:r w:rsidRPr="00186A5C">
        <w:t>http://elibrary.ferc.gov/idmws/common/opennat.asp?fileID=13690297</w:t>
      </w:r>
      <w:r>
        <w:t>.</w:t>
      </w:r>
    </w:p>
  </w:footnote>
  <w:footnote w:id="7">
    <w:p w14:paraId="7CD49ECA" w14:textId="67A6BB40" w:rsidR="00B8680F" w:rsidRPr="0020540C" w:rsidRDefault="00B8680F">
      <w:pPr>
        <w:pStyle w:val="FootnoteText"/>
      </w:pPr>
      <w:r w:rsidRPr="0020540C">
        <w:rPr>
          <w:rStyle w:val="FootnoteReference"/>
          <w:vertAlign w:val="superscript"/>
        </w:rPr>
        <w:footnoteRef/>
      </w:r>
      <w:r w:rsidRPr="0020540C">
        <w:rPr>
          <w:vertAlign w:val="superscript"/>
        </w:rPr>
        <w:t xml:space="preserve"> </w:t>
      </w:r>
      <w:r w:rsidR="0020540C">
        <w:t xml:space="preserve">Order 790-B is posted at </w:t>
      </w:r>
      <w:r w:rsidR="0020540C" w:rsidRPr="0020540C">
        <w:t>http://elibrary.ferc.gov/idmws/common/opennat.asp?fileID=13933334</w:t>
      </w:r>
      <w:r w:rsidR="0020540C">
        <w:t>.</w:t>
      </w:r>
    </w:p>
  </w:footnote>
  <w:footnote w:id="8">
    <w:p w14:paraId="5B0E1AFE" w14:textId="77777777" w:rsidR="00E96E94" w:rsidRDefault="00E96E94" w:rsidP="00E96E94">
      <w:pPr>
        <w:pStyle w:val="FootnoteText"/>
      </w:pPr>
      <w:r w:rsidRPr="005D5343">
        <w:rPr>
          <w:rStyle w:val="FootnoteReference"/>
        </w:rPr>
        <w:footnoteRef/>
      </w:r>
      <w:r w:rsidRPr="005D5343">
        <w:t xml:space="preserve"> </w:t>
      </w:r>
      <w:r w:rsidRPr="00C10DBC">
        <w:t>The estimates for cost per response are derived using the following formula: Average Burden Hours per Response x $72 per Hour = Average Cost per Response.  The cost per hour figure is the FERC average salary plus benefits</w:t>
      </w:r>
      <w:r>
        <w:t xml:space="preserve"> for Fiscal Year 2015</w:t>
      </w:r>
      <w:r w:rsidRPr="00C10DBC">
        <w:t>.  Subject matter experts found that industry employment costs closely resemble FERC’s regarding the FERC-537 information collection.</w:t>
      </w:r>
    </w:p>
  </w:footnote>
  <w:footnote w:id="9">
    <w:p w14:paraId="178EA3B8" w14:textId="3FCD2344" w:rsidR="00DF1822" w:rsidRDefault="00DF1822" w:rsidP="00B62644">
      <w:pPr>
        <w:pStyle w:val="FootnoteText"/>
      </w:pPr>
      <w:r w:rsidRPr="00DA70DC">
        <w:rPr>
          <w:rStyle w:val="FootnoteReference"/>
          <w:vertAlign w:val="superscript"/>
        </w:rPr>
        <w:footnoteRef/>
      </w:r>
      <w:r w:rsidRPr="00DA70DC">
        <w:rPr>
          <w:vertAlign w:val="superscript"/>
        </w:rPr>
        <w:t xml:space="preserve"> </w:t>
      </w:r>
      <w:r w:rsidR="00F42A00" w:rsidRPr="00F42A00">
        <w:t>Based on FERC’s Fiscal Year 2015 average cost per FTE (salary plus benefits) of $149,489 per year (or 2,080 work hours), rounded to $72.00 per hour.</w:t>
      </w:r>
    </w:p>
  </w:footnote>
  <w:footnote w:id="10">
    <w:p w14:paraId="178EA3B9" w14:textId="63C1A298" w:rsidR="00DF1822" w:rsidRDefault="00DF1822" w:rsidP="00B62644">
      <w:pPr>
        <w:pStyle w:val="FootnoteText"/>
      </w:pPr>
      <w:r w:rsidRPr="00DA70DC">
        <w:rPr>
          <w:rStyle w:val="FootnoteReference"/>
          <w:vertAlign w:val="superscript"/>
        </w:rPr>
        <w:footnoteRef/>
      </w:r>
      <w:r w:rsidRPr="00DA70DC">
        <w:rPr>
          <w:vertAlign w:val="superscript"/>
        </w:rPr>
        <w:t xml:space="preserve"> </w:t>
      </w:r>
      <w:r w:rsidR="00F42A00" w:rsidRPr="00F42A00">
        <w:t xml:space="preserve">The Paperwork Reduction Act of 1995 </w:t>
      </w:r>
      <w:r w:rsidR="00F42A00">
        <w:t>(</w:t>
      </w:r>
      <w:r w:rsidR="00F42A00" w:rsidRPr="00F42A00">
        <w:t>PRA</w:t>
      </w:r>
      <w:r w:rsidR="00F42A00">
        <w:t>)</w:t>
      </w:r>
      <w:r w:rsidR="00F42A00" w:rsidRPr="00F42A00">
        <w:t xml:space="preserve"> Administration Cost is $ 5,193, and includes preparing supporting statements, notices, and other activities associated with Paperwork Reduction Act compliance</w:t>
      </w:r>
      <w:r w:rsidR="00F42A00">
        <w:t xml:space="preserve"> and is not only related to th</w:t>
      </w:r>
      <w:r w:rsidR="00FA321D">
        <w:t>is</w:t>
      </w:r>
      <w:r w:rsidR="00F42A00">
        <w:t xml:space="preserve"> clearance for RM12-11-003.</w:t>
      </w:r>
    </w:p>
  </w:footnote>
  <w:footnote w:id="11">
    <w:p w14:paraId="723A6987" w14:textId="77777777" w:rsidR="00F51BE1" w:rsidRDefault="00F51BE1" w:rsidP="00F51BE1">
      <w:pPr>
        <w:pStyle w:val="FootnoteText"/>
      </w:pPr>
      <w:r w:rsidRPr="005D5343">
        <w:rPr>
          <w:rStyle w:val="FootnoteReference"/>
        </w:rPr>
        <w:footnoteRef/>
      </w:r>
      <w:r w:rsidRPr="005D5343">
        <w:t xml:space="preserve"> </w:t>
      </w:r>
      <w:r w:rsidRPr="00C10DBC">
        <w:t>The estimates for cost per response are derived using the following formula: Average Burden Hours per Response x $72 per Hour = Average Cost per Response.  The cost per hour figure is the FERC average salary plus benefits</w:t>
      </w:r>
      <w:r>
        <w:t xml:space="preserve"> for Fiscal Year 2015</w:t>
      </w:r>
      <w:r w:rsidRPr="00C10DBC">
        <w:t>.  Subject matter experts found that industry employment costs closely resemble FERC’s regarding the FERC-537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EA3AB" w14:textId="18C4CB41" w:rsidR="00DF1822" w:rsidRDefault="00DF1822" w:rsidP="00AD3DE5">
    <w:pPr>
      <w:pStyle w:val="Header"/>
      <w:rPr>
        <w:rFonts w:ascii="Times New Roman" w:hAnsi="Times New Roman"/>
        <w:sz w:val="24"/>
        <w:szCs w:val="24"/>
      </w:rPr>
    </w:pPr>
    <w:r w:rsidRPr="00913660">
      <w:rPr>
        <w:rFonts w:ascii="Times New Roman" w:hAnsi="Times New Roman"/>
        <w:sz w:val="24"/>
        <w:szCs w:val="24"/>
      </w:rPr>
      <w:t>FERC-537</w:t>
    </w:r>
    <w:r>
      <w:rPr>
        <w:rFonts w:ascii="Times New Roman" w:hAnsi="Times New Roman"/>
        <w:sz w:val="24"/>
        <w:szCs w:val="24"/>
      </w:rPr>
      <w:t xml:space="preserve"> </w:t>
    </w:r>
    <w:r w:rsidRPr="00913660">
      <w:rPr>
        <w:rFonts w:ascii="Times New Roman" w:hAnsi="Times New Roman"/>
        <w:sz w:val="24"/>
        <w:szCs w:val="24"/>
      </w:rPr>
      <w:t>(</w:t>
    </w:r>
    <w:r>
      <w:rPr>
        <w:rFonts w:ascii="Times New Roman" w:hAnsi="Times New Roman"/>
        <w:sz w:val="24"/>
        <w:szCs w:val="24"/>
      </w:rPr>
      <w:t xml:space="preserve">OMB No. </w:t>
    </w:r>
    <w:r w:rsidRPr="00913660">
      <w:rPr>
        <w:rFonts w:ascii="Times New Roman" w:hAnsi="Times New Roman"/>
        <w:sz w:val="24"/>
        <w:szCs w:val="24"/>
      </w:rPr>
      <w:t>1902-0060)</w:t>
    </w:r>
  </w:p>
  <w:p w14:paraId="178EA3AC" w14:textId="5649F04B" w:rsidR="00DF1822" w:rsidRDefault="00DF1822" w:rsidP="00AD3DE5">
    <w:pPr>
      <w:pStyle w:val="Header"/>
      <w:rPr>
        <w:rFonts w:ascii="Times New Roman" w:hAnsi="Times New Roman"/>
        <w:sz w:val="24"/>
        <w:szCs w:val="24"/>
      </w:rPr>
    </w:pPr>
    <w:r>
      <w:rPr>
        <w:rFonts w:ascii="Times New Roman" w:hAnsi="Times New Roman"/>
        <w:sz w:val="24"/>
        <w:szCs w:val="24"/>
      </w:rPr>
      <w:t>Final Rule (Order 790-</w:t>
    </w:r>
    <w:r w:rsidRPr="00B8680F">
      <w:rPr>
        <w:rFonts w:ascii="Times New Roman" w:hAnsi="Times New Roman"/>
        <w:sz w:val="24"/>
        <w:szCs w:val="24"/>
      </w:rPr>
      <w:t xml:space="preserve">B, issued </w:t>
    </w:r>
    <w:r w:rsidR="00B8680F" w:rsidRPr="0020540C">
      <w:rPr>
        <w:rFonts w:ascii="Times New Roman" w:hAnsi="Times New Roman"/>
        <w:sz w:val="24"/>
        <w:szCs w:val="24"/>
      </w:rPr>
      <w:t>7/16/</w:t>
    </w:r>
    <w:r w:rsidRPr="0020540C">
      <w:rPr>
        <w:rFonts w:ascii="Times New Roman" w:hAnsi="Times New Roman"/>
        <w:sz w:val="24"/>
        <w:szCs w:val="24"/>
      </w:rPr>
      <w:t>2015</w:t>
    </w:r>
    <w:r w:rsidRPr="00B8680F">
      <w:rPr>
        <w:rFonts w:ascii="Times New Roman" w:hAnsi="Times New Roman"/>
        <w:sz w:val="24"/>
        <w:szCs w:val="24"/>
      </w:rPr>
      <w:t>) in</w:t>
    </w:r>
    <w:r>
      <w:rPr>
        <w:rFonts w:ascii="Times New Roman" w:hAnsi="Times New Roman"/>
        <w:sz w:val="24"/>
        <w:szCs w:val="24"/>
      </w:rPr>
      <w:t xml:space="preserve"> Docket Number RM12-11-003</w:t>
    </w:r>
  </w:p>
  <w:p w14:paraId="178EA3AD" w14:textId="77777777" w:rsidR="00DF1822" w:rsidRDefault="00DF1822" w:rsidP="00AD3DE5">
    <w:pPr>
      <w:pStyle w:val="Header"/>
      <w:rPr>
        <w:rFonts w:ascii="Times New Roman" w:hAnsi="Times New Roman"/>
        <w:sz w:val="24"/>
        <w:szCs w:val="24"/>
      </w:rPr>
    </w:pPr>
    <w:r>
      <w:rPr>
        <w:rFonts w:ascii="Times New Roman" w:hAnsi="Times New Roman"/>
        <w:sz w:val="24"/>
        <w:szCs w:val="24"/>
      </w:rPr>
      <w:t>RIN: 1902-AE62</w:t>
    </w:r>
  </w:p>
  <w:p w14:paraId="29D3A7EE" w14:textId="38C48147" w:rsidR="00CB1D21" w:rsidRPr="00FD66F1" w:rsidRDefault="00CB1D21" w:rsidP="00AD3DE5">
    <w:pPr>
      <w:pStyle w:val="Header"/>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u</w:t>
    </w:r>
    <w:r w:rsidR="002D125A">
      <w:rPr>
        <w:rFonts w:ascii="Times New Roman" w:hAnsi="Times New Roman"/>
        <w:sz w:val="24"/>
        <w:szCs w:val="24"/>
      </w:rPr>
      <w:t>p</w:t>
    </w:r>
    <w:r>
      <w:rPr>
        <w:rFonts w:ascii="Times New Roman" w:hAnsi="Times New Roman"/>
        <w:sz w:val="24"/>
        <w:szCs w:val="24"/>
      </w:rPr>
      <w:t>dated</w:t>
    </w:r>
    <w:proofErr w:type="gramEnd"/>
    <w:r>
      <w:rPr>
        <w:rFonts w:ascii="Times New Roman" w:hAnsi="Times New Roman"/>
        <w:sz w:val="24"/>
        <w:szCs w:val="24"/>
      </w:rPr>
      <w:t xml:space="preserve"> 9/29/2015)</w:t>
    </w:r>
  </w:p>
  <w:p w14:paraId="178EA3AE" w14:textId="77777777" w:rsidR="00DF1822" w:rsidRDefault="00DF1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85498"/>
    <w:multiLevelType w:val="hybridMultilevel"/>
    <w:tmpl w:val="8AD479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B35C1"/>
    <w:multiLevelType w:val="hybridMultilevel"/>
    <w:tmpl w:val="CE9A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3">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CC1895"/>
    <w:multiLevelType w:val="hybridMultilevel"/>
    <w:tmpl w:val="A3022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03B2FEA"/>
    <w:multiLevelType w:val="hybridMultilevel"/>
    <w:tmpl w:val="AC34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9724C9"/>
    <w:multiLevelType w:val="hybridMultilevel"/>
    <w:tmpl w:val="5E2AFEE2"/>
    <w:lvl w:ilvl="0" w:tplc="27C884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70189C"/>
    <w:multiLevelType w:val="hybridMultilevel"/>
    <w:tmpl w:val="96D8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9D2FF8"/>
    <w:multiLevelType w:val="hybridMultilevel"/>
    <w:tmpl w:val="3B3CBD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FC473EE"/>
    <w:multiLevelType w:val="hybridMultilevel"/>
    <w:tmpl w:val="6590D3BA"/>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ED6858"/>
    <w:multiLevelType w:val="hybridMultilevel"/>
    <w:tmpl w:val="75D6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766B3E76"/>
    <w:multiLevelType w:val="hybridMultilevel"/>
    <w:tmpl w:val="DEE0C16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82B4F96"/>
    <w:multiLevelType w:val="hybridMultilevel"/>
    <w:tmpl w:val="FC50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2A3AFD"/>
    <w:multiLevelType w:val="hybridMultilevel"/>
    <w:tmpl w:val="7062C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7"/>
  </w:num>
  <w:num w:numId="4">
    <w:abstractNumId w:val="9"/>
  </w:num>
  <w:num w:numId="5">
    <w:abstractNumId w:val="11"/>
  </w:num>
  <w:num w:numId="6">
    <w:abstractNumId w:val="15"/>
  </w:num>
  <w:num w:numId="7">
    <w:abstractNumId w:val="3"/>
  </w:num>
  <w:num w:numId="8">
    <w:abstractNumId w:val="8"/>
  </w:num>
  <w:num w:numId="9">
    <w:abstractNumId w:val="5"/>
  </w:num>
  <w:num w:numId="10">
    <w:abstractNumId w:val="12"/>
  </w:num>
  <w:num w:numId="11">
    <w:abstractNumId w:val="1"/>
  </w:num>
  <w:num w:numId="12">
    <w:abstractNumId w:val="14"/>
  </w:num>
  <w:num w:numId="13">
    <w:abstractNumId w:val="0"/>
  </w:num>
  <w:num w:numId="14">
    <w:abstractNumId w:val="6"/>
  </w:num>
  <w:num w:numId="15">
    <w:abstractNumId w:val="10"/>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ick, Richard">
    <w15:presenceInfo w15:providerId="AD" w15:userId="S-1-5-21-1454471165-117609710-725345543-412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2C79"/>
    <w:rsid w:val="00002D9A"/>
    <w:rsid w:val="0002242D"/>
    <w:rsid w:val="00035845"/>
    <w:rsid w:val="00035F72"/>
    <w:rsid w:val="00035FC4"/>
    <w:rsid w:val="00045BBE"/>
    <w:rsid w:val="00064F29"/>
    <w:rsid w:val="00081EEB"/>
    <w:rsid w:val="00082A24"/>
    <w:rsid w:val="00087F33"/>
    <w:rsid w:val="000949E2"/>
    <w:rsid w:val="000A4D8A"/>
    <w:rsid w:val="000B0C37"/>
    <w:rsid w:val="000B6C64"/>
    <w:rsid w:val="000D753B"/>
    <w:rsid w:val="000D780E"/>
    <w:rsid w:val="001034AC"/>
    <w:rsid w:val="0011211A"/>
    <w:rsid w:val="00120710"/>
    <w:rsid w:val="001316CD"/>
    <w:rsid w:val="00136E4F"/>
    <w:rsid w:val="00137D15"/>
    <w:rsid w:val="0014282D"/>
    <w:rsid w:val="00143103"/>
    <w:rsid w:val="001449BA"/>
    <w:rsid w:val="00146F76"/>
    <w:rsid w:val="001541F8"/>
    <w:rsid w:val="00156BF8"/>
    <w:rsid w:val="0015716F"/>
    <w:rsid w:val="0016590A"/>
    <w:rsid w:val="00172D8F"/>
    <w:rsid w:val="0018077D"/>
    <w:rsid w:val="00181727"/>
    <w:rsid w:val="00185730"/>
    <w:rsid w:val="00186A5C"/>
    <w:rsid w:val="00191C38"/>
    <w:rsid w:val="001A235C"/>
    <w:rsid w:val="001A4403"/>
    <w:rsid w:val="001A6F24"/>
    <w:rsid w:val="001B7DA4"/>
    <w:rsid w:val="001E1071"/>
    <w:rsid w:val="001E7E70"/>
    <w:rsid w:val="0020540C"/>
    <w:rsid w:val="00207DEB"/>
    <w:rsid w:val="00215A2D"/>
    <w:rsid w:val="00216C7E"/>
    <w:rsid w:val="00216D3B"/>
    <w:rsid w:val="00237E2C"/>
    <w:rsid w:val="00241CBF"/>
    <w:rsid w:val="00251F59"/>
    <w:rsid w:val="00255D94"/>
    <w:rsid w:val="0026349F"/>
    <w:rsid w:val="002649B7"/>
    <w:rsid w:val="0026674D"/>
    <w:rsid w:val="002A0C16"/>
    <w:rsid w:val="002A3A6C"/>
    <w:rsid w:val="002A4695"/>
    <w:rsid w:val="002B13E2"/>
    <w:rsid w:val="002C10EE"/>
    <w:rsid w:val="002D125A"/>
    <w:rsid w:val="002F068C"/>
    <w:rsid w:val="002F0AA5"/>
    <w:rsid w:val="00300F40"/>
    <w:rsid w:val="00316DCB"/>
    <w:rsid w:val="00322E99"/>
    <w:rsid w:val="00330589"/>
    <w:rsid w:val="0033690F"/>
    <w:rsid w:val="0034336C"/>
    <w:rsid w:val="003453FF"/>
    <w:rsid w:val="0035363A"/>
    <w:rsid w:val="00355046"/>
    <w:rsid w:val="00374920"/>
    <w:rsid w:val="003749F2"/>
    <w:rsid w:val="00382D1F"/>
    <w:rsid w:val="003919F3"/>
    <w:rsid w:val="003A094D"/>
    <w:rsid w:val="003A2104"/>
    <w:rsid w:val="003B2FBB"/>
    <w:rsid w:val="003B326B"/>
    <w:rsid w:val="003C022C"/>
    <w:rsid w:val="003C0E15"/>
    <w:rsid w:val="003C6E37"/>
    <w:rsid w:val="003D4104"/>
    <w:rsid w:val="003D45DC"/>
    <w:rsid w:val="003E5E95"/>
    <w:rsid w:val="003E6043"/>
    <w:rsid w:val="003E610A"/>
    <w:rsid w:val="003F2F66"/>
    <w:rsid w:val="003F5EE2"/>
    <w:rsid w:val="00400F07"/>
    <w:rsid w:val="0040225F"/>
    <w:rsid w:val="00412B66"/>
    <w:rsid w:val="00414F32"/>
    <w:rsid w:val="00425180"/>
    <w:rsid w:val="0044277E"/>
    <w:rsid w:val="0044756C"/>
    <w:rsid w:val="00454FE1"/>
    <w:rsid w:val="00457194"/>
    <w:rsid w:val="00492B63"/>
    <w:rsid w:val="00492CB4"/>
    <w:rsid w:val="00492FEF"/>
    <w:rsid w:val="004975A0"/>
    <w:rsid w:val="004975E7"/>
    <w:rsid w:val="004B23FA"/>
    <w:rsid w:val="004C207D"/>
    <w:rsid w:val="004C4C89"/>
    <w:rsid w:val="004E4E65"/>
    <w:rsid w:val="004E5AA4"/>
    <w:rsid w:val="004E604B"/>
    <w:rsid w:val="004F6977"/>
    <w:rsid w:val="00522F69"/>
    <w:rsid w:val="005247B1"/>
    <w:rsid w:val="00526944"/>
    <w:rsid w:val="0053287C"/>
    <w:rsid w:val="005422B3"/>
    <w:rsid w:val="005503AB"/>
    <w:rsid w:val="00552964"/>
    <w:rsid w:val="0055435F"/>
    <w:rsid w:val="00564005"/>
    <w:rsid w:val="00565C1F"/>
    <w:rsid w:val="00570D31"/>
    <w:rsid w:val="005711CC"/>
    <w:rsid w:val="00571C5E"/>
    <w:rsid w:val="00575B42"/>
    <w:rsid w:val="0057700F"/>
    <w:rsid w:val="00592C19"/>
    <w:rsid w:val="005A2792"/>
    <w:rsid w:val="005A2AE4"/>
    <w:rsid w:val="005B5F70"/>
    <w:rsid w:val="005B77CE"/>
    <w:rsid w:val="005B7D4A"/>
    <w:rsid w:val="005C4BE9"/>
    <w:rsid w:val="005E4EB0"/>
    <w:rsid w:val="005F1C3C"/>
    <w:rsid w:val="005F4FDF"/>
    <w:rsid w:val="005F771D"/>
    <w:rsid w:val="00601CDD"/>
    <w:rsid w:val="0060716F"/>
    <w:rsid w:val="0061037D"/>
    <w:rsid w:val="006166FA"/>
    <w:rsid w:val="00625799"/>
    <w:rsid w:val="006306A9"/>
    <w:rsid w:val="00642C47"/>
    <w:rsid w:val="006437C5"/>
    <w:rsid w:val="006467A5"/>
    <w:rsid w:val="00647088"/>
    <w:rsid w:val="006501F5"/>
    <w:rsid w:val="00650206"/>
    <w:rsid w:val="00662AB3"/>
    <w:rsid w:val="00664BC0"/>
    <w:rsid w:val="006716F9"/>
    <w:rsid w:val="00675FBB"/>
    <w:rsid w:val="006859F5"/>
    <w:rsid w:val="00685BB4"/>
    <w:rsid w:val="00690136"/>
    <w:rsid w:val="006B197F"/>
    <w:rsid w:val="006B2080"/>
    <w:rsid w:val="006C0814"/>
    <w:rsid w:val="006C0AE5"/>
    <w:rsid w:val="006D060A"/>
    <w:rsid w:val="00703BA8"/>
    <w:rsid w:val="00713CD6"/>
    <w:rsid w:val="00717650"/>
    <w:rsid w:val="00724E42"/>
    <w:rsid w:val="0073132A"/>
    <w:rsid w:val="00734BAC"/>
    <w:rsid w:val="00746242"/>
    <w:rsid w:val="007533C5"/>
    <w:rsid w:val="007534B8"/>
    <w:rsid w:val="00757AF7"/>
    <w:rsid w:val="00773AEB"/>
    <w:rsid w:val="00787670"/>
    <w:rsid w:val="007A2214"/>
    <w:rsid w:val="007A2F92"/>
    <w:rsid w:val="007B6128"/>
    <w:rsid w:val="007B751C"/>
    <w:rsid w:val="007C0462"/>
    <w:rsid w:val="007C7BB3"/>
    <w:rsid w:val="007E34BC"/>
    <w:rsid w:val="007E7C0F"/>
    <w:rsid w:val="008066DD"/>
    <w:rsid w:val="00816BD9"/>
    <w:rsid w:val="008268FC"/>
    <w:rsid w:val="0085262E"/>
    <w:rsid w:val="008619E1"/>
    <w:rsid w:val="0086540A"/>
    <w:rsid w:val="00867218"/>
    <w:rsid w:val="00876F75"/>
    <w:rsid w:val="0088364C"/>
    <w:rsid w:val="008A21A4"/>
    <w:rsid w:val="008A414D"/>
    <w:rsid w:val="008B58CE"/>
    <w:rsid w:val="008B703B"/>
    <w:rsid w:val="008B7AF2"/>
    <w:rsid w:val="008C288D"/>
    <w:rsid w:val="008D075F"/>
    <w:rsid w:val="008D3EB7"/>
    <w:rsid w:val="008E70CD"/>
    <w:rsid w:val="008F1478"/>
    <w:rsid w:val="008F25E7"/>
    <w:rsid w:val="008F3AB5"/>
    <w:rsid w:val="008F4F57"/>
    <w:rsid w:val="00913660"/>
    <w:rsid w:val="00913A8B"/>
    <w:rsid w:val="0093056B"/>
    <w:rsid w:val="009440C0"/>
    <w:rsid w:val="00952C0E"/>
    <w:rsid w:val="00955A86"/>
    <w:rsid w:val="00970B54"/>
    <w:rsid w:val="00970FE4"/>
    <w:rsid w:val="00973FE6"/>
    <w:rsid w:val="00992C1B"/>
    <w:rsid w:val="00994A78"/>
    <w:rsid w:val="009A6C2C"/>
    <w:rsid w:val="009A76B6"/>
    <w:rsid w:val="009B2D95"/>
    <w:rsid w:val="009C3634"/>
    <w:rsid w:val="009D54AE"/>
    <w:rsid w:val="009E1190"/>
    <w:rsid w:val="009F3DC7"/>
    <w:rsid w:val="009F7CC9"/>
    <w:rsid w:val="00A03450"/>
    <w:rsid w:val="00A034DC"/>
    <w:rsid w:val="00A03AF2"/>
    <w:rsid w:val="00A07CC1"/>
    <w:rsid w:val="00A276F5"/>
    <w:rsid w:val="00A31E84"/>
    <w:rsid w:val="00A445CB"/>
    <w:rsid w:val="00A57517"/>
    <w:rsid w:val="00A72E7B"/>
    <w:rsid w:val="00A865FF"/>
    <w:rsid w:val="00A9349C"/>
    <w:rsid w:val="00A96B65"/>
    <w:rsid w:val="00A97B25"/>
    <w:rsid w:val="00AA5FE0"/>
    <w:rsid w:val="00AB4D35"/>
    <w:rsid w:val="00AC2067"/>
    <w:rsid w:val="00AC4600"/>
    <w:rsid w:val="00AD3DE5"/>
    <w:rsid w:val="00AE1417"/>
    <w:rsid w:val="00AF770C"/>
    <w:rsid w:val="00B1029D"/>
    <w:rsid w:val="00B11A50"/>
    <w:rsid w:val="00B16C9C"/>
    <w:rsid w:val="00B21F91"/>
    <w:rsid w:val="00B23F03"/>
    <w:rsid w:val="00B428F4"/>
    <w:rsid w:val="00B504B2"/>
    <w:rsid w:val="00B62644"/>
    <w:rsid w:val="00B74938"/>
    <w:rsid w:val="00B75BF8"/>
    <w:rsid w:val="00B867FF"/>
    <w:rsid w:val="00B8680F"/>
    <w:rsid w:val="00B95CC6"/>
    <w:rsid w:val="00BA1C7D"/>
    <w:rsid w:val="00BA5683"/>
    <w:rsid w:val="00BA799A"/>
    <w:rsid w:val="00BA7C56"/>
    <w:rsid w:val="00BB298B"/>
    <w:rsid w:val="00BC2250"/>
    <w:rsid w:val="00BC5BB6"/>
    <w:rsid w:val="00BC7477"/>
    <w:rsid w:val="00BD65A9"/>
    <w:rsid w:val="00BD78D8"/>
    <w:rsid w:val="00C00A83"/>
    <w:rsid w:val="00C01698"/>
    <w:rsid w:val="00C029AE"/>
    <w:rsid w:val="00C02C81"/>
    <w:rsid w:val="00C16169"/>
    <w:rsid w:val="00C2178B"/>
    <w:rsid w:val="00C3352E"/>
    <w:rsid w:val="00C510DD"/>
    <w:rsid w:val="00C53270"/>
    <w:rsid w:val="00C864A1"/>
    <w:rsid w:val="00C973E0"/>
    <w:rsid w:val="00C97DAD"/>
    <w:rsid w:val="00CA17CF"/>
    <w:rsid w:val="00CA495F"/>
    <w:rsid w:val="00CA59C3"/>
    <w:rsid w:val="00CB1D21"/>
    <w:rsid w:val="00CB69F0"/>
    <w:rsid w:val="00CC34AC"/>
    <w:rsid w:val="00CC468A"/>
    <w:rsid w:val="00CC739F"/>
    <w:rsid w:val="00CC7CEC"/>
    <w:rsid w:val="00D00FDA"/>
    <w:rsid w:val="00D10250"/>
    <w:rsid w:val="00D13AF7"/>
    <w:rsid w:val="00D141FC"/>
    <w:rsid w:val="00D14CEA"/>
    <w:rsid w:val="00D159C5"/>
    <w:rsid w:val="00D23690"/>
    <w:rsid w:val="00D278F9"/>
    <w:rsid w:val="00D355CF"/>
    <w:rsid w:val="00D37D64"/>
    <w:rsid w:val="00D45F94"/>
    <w:rsid w:val="00D47A10"/>
    <w:rsid w:val="00D54AD5"/>
    <w:rsid w:val="00D55210"/>
    <w:rsid w:val="00D80FBD"/>
    <w:rsid w:val="00D94152"/>
    <w:rsid w:val="00DA70DC"/>
    <w:rsid w:val="00DB5899"/>
    <w:rsid w:val="00DB653D"/>
    <w:rsid w:val="00DC4E36"/>
    <w:rsid w:val="00DF1822"/>
    <w:rsid w:val="00E02E04"/>
    <w:rsid w:val="00E11CA6"/>
    <w:rsid w:val="00E14565"/>
    <w:rsid w:val="00E20612"/>
    <w:rsid w:val="00E27CBF"/>
    <w:rsid w:val="00E43274"/>
    <w:rsid w:val="00E47A2A"/>
    <w:rsid w:val="00E50CCB"/>
    <w:rsid w:val="00E636D7"/>
    <w:rsid w:val="00E751AE"/>
    <w:rsid w:val="00E77B24"/>
    <w:rsid w:val="00E800F4"/>
    <w:rsid w:val="00E838DA"/>
    <w:rsid w:val="00E84DB1"/>
    <w:rsid w:val="00E87A4F"/>
    <w:rsid w:val="00E87B78"/>
    <w:rsid w:val="00E96E94"/>
    <w:rsid w:val="00E97D8F"/>
    <w:rsid w:val="00EA28ED"/>
    <w:rsid w:val="00EA6B56"/>
    <w:rsid w:val="00EB3E6F"/>
    <w:rsid w:val="00EC0514"/>
    <w:rsid w:val="00ED3E18"/>
    <w:rsid w:val="00ED5560"/>
    <w:rsid w:val="00ED6128"/>
    <w:rsid w:val="00EF62A5"/>
    <w:rsid w:val="00F03B88"/>
    <w:rsid w:val="00F04F37"/>
    <w:rsid w:val="00F06E24"/>
    <w:rsid w:val="00F12DC2"/>
    <w:rsid w:val="00F152DF"/>
    <w:rsid w:val="00F20705"/>
    <w:rsid w:val="00F3105D"/>
    <w:rsid w:val="00F32B79"/>
    <w:rsid w:val="00F33186"/>
    <w:rsid w:val="00F3467F"/>
    <w:rsid w:val="00F42A00"/>
    <w:rsid w:val="00F4687C"/>
    <w:rsid w:val="00F50872"/>
    <w:rsid w:val="00F51BE1"/>
    <w:rsid w:val="00F55B83"/>
    <w:rsid w:val="00F717FF"/>
    <w:rsid w:val="00F80557"/>
    <w:rsid w:val="00F80574"/>
    <w:rsid w:val="00F9139E"/>
    <w:rsid w:val="00F968C7"/>
    <w:rsid w:val="00FA119F"/>
    <w:rsid w:val="00FA15FB"/>
    <w:rsid w:val="00FA321D"/>
    <w:rsid w:val="00FB3D23"/>
    <w:rsid w:val="00FD66F1"/>
    <w:rsid w:val="00FF00E8"/>
    <w:rsid w:val="00FF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78E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List Continue"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E838DA"/>
    <w:rPr>
      <w:rFonts w:cs="Times New Roman"/>
      <w:color w:val="0000FF"/>
      <w:u w:val="single"/>
    </w:rPr>
  </w:style>
  <w:style w:type="character" w:styleId="FollowedHyperlink">
    <w:name w:val="FollowedHyperlink"/>
    <w:basedOn w:val="DefaultParagraphFont"/>
    <w:uiPriority w:val="99"/>
    <w:semiHidden/>
    <w:rsid w:val="00E838DA"/>
    <w:rPr>
      <w:rFonts w:cs="Times New Roman"/>
      <w:color w:val="800080"/>
      <w:u w:val="single"/>
    </w:rPr>
  </w:style>
  <w:style w:type="table" w:styleId="TableGrid">
    <w:name w:val="Table Grid"/>
    <w:basedOn w:val="TableNormal"/>
    <w:uiPriority w:val="99"/>
    <w:rsid w:val="00EF62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List Continue"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E838DA"/>
    <w:rPr>
      <w:rFonts w:cs="Times New Roman"/>
      <w:color w:val="0000FF"/>
      <w:u w:val="single"/>
    </w:rPr>
  </w:style>
  <w:style w:type="character" w:styleId="FollowedHyperlink">
    <w:name w:val="FollowedHyperlink"/>
    <w:basedOn w:val="DefaultParagraphFont"/>
    <w:uiPriority w:val="99"/>
    <w:semiHidden/>
    <w:rsid w:val="00E838DA"/>
    <w:rPr>
      <w:rFonts w:cs="Times New Roman"/>
      <w:color w:val="800080"/>
      <w:u w:val="single"/>
    </w:rPr>
  </w:style>
  <w:style w:type="table" w:styleId="TableGrid">
    <w:name w:val="Table Grid"/>
    <w:basedOn w:val="TableNormal"/>
    <w:uiPriority w:val="99"/>
    <w:rsid w:val="00EF62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8099">
      <w:bodyDiv w:val="1"/>
      <w:marLeft w:val="0"/>
      <w:marRight w:val="0"/>
      <w:marTop w:val="0"/>
      <w:marBottom w:val="0"/>
      <w:divBdr>
        <w:top w:val="none" w:sz="0" w:space="0" w:color="auto"/>
        <w:left w:val="none" w:sz="0" w:space="0" w:color="auto"/>
        <w:bottom w:val="none" w:sz="0" w:space="0" w:color="auto"/>
        <w:right w:val="none" w:sz="0" w:space="0" w:color="auto"/>
      </w:divBdr>
    </w:div>
    <w:div w:id="197352638">
      <w:bodyDiv w:val="1"/>
      <w:marLeft w:val="0"/>
      <w:marRight w:val="0"/>
      <w:marTop w:val="0"/>
      <w:marBottom w:val="0"/>
      <w:divBdr>
        <w:top w:val="none" w:sz="0" w:space="0" w:color="auto"/>
        <w:left w:val="none" w:sz="0" w:space="0" w:color="auto"/>
        <w:bottom w:val="none" w:sz="0" w:space="0" w:color="auto"/>
        <w:right w:val="none" w:sz="0" w:space="0" w:color="auto"/>
      </w:divBdr>
    </w:div>
    <w:div w:id="337536407">
      <w:bodyDiv w:val="1"/>
      <w:marLeft w:val="0"/>
      <w:marRight w:val="0"/>
      <w:marTop w:val="0"/>
      <w:marBottom w:val="0"/>
      <w:divBdr>
        <w:top w:val="none" w:sz="0" w:space="0" w:color="auto"/>
        <w:left w:val="none" w:sz="0" w:space="0" w:color="auto"/>
        <w:bottom w:val="none" w:sz="0" w:space="0" w:color="auto"/>
        <w:right w:val="none" w:sz="0" w:space="0" w:color="auto"/>
      </w:divBdr>
    </w:div>
    <w:div w:id="375548556">
      <w:bodyDiv w:val="1"/>
      <w:marLeft w:val="0"/>
      <w:marRight w:val="0"/>
      <w:marTop w:val="0"/>
      <w:marBottom w:val="0"/>
      <w:divBdr>
        <w:top w:val="none" w:sz="0" w:space="0" w:color="auto"/>
        <w:left w:val="none" w:sz="0" w:space="0" w:color="auto"/>
        <w:bottom w:val="none" w:sz="0" w:space="0" w:color="auto"/>
        <w:right w:val="none" w:sz="0" w:space="0" w:color="auto"/>
      </w:divBdr>
    </w:div>
    <w:div w:id="747120529">
      <w:bodyDiv w:val="1"/>
      <w:marLeft w:val="0"/>
      <w:marRight w:val="0"/>
      <w:marTop w:val="0"/>
      <w:marBottom w:val="0"/>
      <w:divBdr>
        <w:top w:val="none" w:sz="0" w:space="0" w:color="auto"/>
        <w:left w:val="none" w:sz="0" w:space="0" w:color="auto"/>
        <w:bottom w:val="none" w:sz="0" w:space="0" w:color="auto"/>
        <w:right w:val="none" w:sz="0" w:space="0" w:color="auto"/>
      </w:divBdr>
      <w:divsChild>
        <w:div w:id="546723220">
          <w:marLeft w:val="0"/>
          <w:marRight w:val="0"/>
          <w:marTop w:val="0"/>
          <w:marBottom w:val="0"/>
          <w:divBdr>
            <w:top w:val="none" w:sz="0" w:space="0" w:color="auto"/>
            <w:left w:val="none" w:sz="0" w:space="0" w:color="auto"/>
            <w:bottom w:val="none" w:sz="0" w:space="0" w:color="auto"/>
            <w:right w:val="none" w:sz="0" w:space="0" w:color="auto"/>
          </w:divBdr>
          <w:divsChild>
            <w:div w:id="1823037010">
              <w:marLeft w:val="0"/>
              <w:marRight w:val="0"/>
              <w:marTop w:val="0"/>
              <w:marBottom w:val="0"/>
              <w:divBdr>
                <w:top w:val="single" w:sz="6" w:space="11" w:color="FCFCFC"/>
                <w:left w:val="single" w:sz="6" w:space="11" w:color="ECECEC"/>
                <w:bottom w:val="single" w:sz="6" w:space="4" w:color="ECECEC"/>
                <w:right w:val="single" w:sz="6" w:space="11" w:color="ECECEC"/>
              </w:divBdr>
              <w:divsChild>
                <w:div w:id="10134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09953">
      <w:marLeft w:val="0"/>
      <w:marRight w:val="0"/>
      <w:marTop w:val="0"/>
      <w:marBottom w:val="0"/>
      <w:divBdr>
        <w:top w:val="none" w:sz="0" w:space="0" w:color="auto"/>
        <w:left w:val="none" w:sz="0" w:space="0" w:color="auto"/>
        <w:bottom w:val="none" w:sz="0" w:space="0" w:color="auto"/>
        <w:right w:val="none" w:sz="0" w:space="0" w:color="auto"/>
      </w:divBdr>
    </w:div>
    <w:div w:id="1580215985">
      <w:bodyDiv w:val="1"/>
      <w:marLeft w:val="0"/>
      <w:marRight w:val="0"/>
      <w:marTop w:val="0"/>
      <w:marBottom w:val="0"/>
      <w:divBdr>
        <w:top w:val="none" w:sz="0" w:space="0" w:color="auto"/>
        <w:left w:val="none" w:sz="0" w:space="0" w:color="auto"/>
        <w:bottom w:val="none" w:sz="0" w:space="0" w:color="auto"/>
        <w:right w:val="none" w:sz="0" w:space="0" w:color="auto"/>
      </w:divBdr>
    </w:div>
    <w:div w:id="1682007345">
      <w:bodyDiv w:val="1"/>
      <w:marLeft w:val="0"/>
      <w:marRight w:val="0"/>
      <w:marTop w:val="0"/>
      <w:marBottom w:val="0"/>
      <w:divBdr>
        <w:top w:val="none" w:sz="0" w:space="0" w:color="auto"/>
        <w:left w:val="none" w:sz="0" w:space="0" w:color="auto"/>
        <w:bottom w:val="none" w:sz="0" w:space="0" w:color="auto"/>
        <w:right w:val="none" w:sz="0" w:space="0" w:color="auto"/>
      </w:divBdr>
    </w:div>
    <w:div w:id="20977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filing.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legal/ceii-foia/ceii/classes.as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legal/ceii-foia/ceii.asp" TargetMode="Externa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docs-filing/forms/file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537</_x0031__x002e__x0020_Collection_x0020_Number>
    <Date xmlns="d6eefc7d-9817-4fa6-84d5-3bc009be21b8">2015-09-29T00:00:00-04:00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RM12-11-003</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576B3-7A2B-4D44-9D3D-7AA858E8591B}">
  <ds:schemaRefs>
    <ds:schemaRef ds:uri="http://schemas.microsoft.com/sharepoint/v3/contenttype/forms"/>
  </ds:schemaRefs>
</ds:datastoreItem>
</file>

<file path=customXml/itemProps2.xml><?xml version="1.0" encoding="utf-8"?>
<ds:datastoreItem xmlns:ds="http://schemas.openxmlformats.org/officeDocument/2006/customXml" ds:itemID="{13C83709-1293-4E3F-9D68-3DF050CCF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E8FD5-C6F7-48C5-826E-06007D85673F}">
  <ds:schemaRefs>
    <ds:schemaRef ds:uri="http://schemas.microsoft.com/office/2006/metadata/customXsn"/>
  </ds:schemaRefs>
</ds:datastoreItem>
</file>

<file path=customXml/itemProps4.xml><?xml version="1.0" encoding="utf-8"?>
<ds:datastoreItem xmlns:ds="http://schemas.openxmlformats.org/officeDocument/2006/customXml" ds:itemID="{06121163-7107-4BDE-8880-3BC384DB363A}">
  <ds:schemaRefs>
    <ds:schemaRef ds:uri="http://purl.org/dc/elements/1.1/"/>
    <ds:schemaRef ds:uri="d6eefc7d-9817-4fa6-84d5-3bc009be21b8"/>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BFE44AA-235E-4AF0-8A39-849ADB73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Ellen Brown</cp:lastModifiedBy>
  <cp:revision>2</cp:revision>
  <cp:lastPrinted>2013-05-28T17:42:00Z</cp:lastPrinted>
  <dcterms:created xsi:type="dcterms:W3CDTF">2015-09-29T21:11:00Z</dcterms:created>
  <dcterms:modified xsi:type="dcterms:W3CDTF">2015-09-29T21:11:00Z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