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3916" w14:textId="77777777" w:rsidR="006437B6" w:rsidRDefault="006437B6" w:rsidP="001D7373">
      <w:pPr>
        <w:jc w:val="right"/>
        <w:rPr>
          <w:rFonts w:ascii="Arial" w:hAnsi="Arial" w:cs="Arial"/>
          <w:b/>
          <w:sz w:val="36"/>
          <w:szCs w:val="36"/>
        </w:rPr>
      </w:pPr>
    </w:p>
    <w:p w14:paraId="38565AC4" w14:textId="77777777" w:rsidR="00B17F64" w:rsidRDefault="00B17F64" w:rsidP="001D7373">
      <w:pPr>
        <w:rPr>
          <w:rFonts w:ascii="Arial" w:hAnsi="Arial" w:cs="Arial"/>
        </w:rPr>
      </w:pPr>
    </w:p>
    <w:p w14:paraId="63E4D11D" w14:textId="77777777" w:rsidR="00B17F64" w:rsidRDefault="00B17F64" w:rsidP="001D7373">
      <w:pPr>
        <w:rPr>
          <w:rFonts w:ascii="Arial" w:hAnsi="Arial" w:cs="Arial"/>
        </w:rPr>
      </w:pPr>
    </w:p>
    <w:p w14:paraId="5C37436A" w14:textId="77777777" w:rsidR="00B17F64" w:rsidRDefault="00B17F64">
      <w:pPr>
        <w:jc w:val="right"/>
        <w:rPr>
          <w:rFonts w:ascii="Arial" w:hAnsi="Arial" w:cs="Arial"/>
          <w:b/>
          <w:sz w:val="36"/>
          <w:szCs w:val="36"/>
        </w:rPr>
      </w:pPr>
    </w:p>
    <w:p w14:paraId="4F221957" w14:textId="77777777" w:rsidR="00B17F64" w:rsidRDefault="00B17F64">
      <w:pPr>
        <w:rPr>
          <w:rFonts w:ascii="Arial" w:hAnsi="Arial" w:cs="Arial"/>
        </w:rPr>
      </w:pPr>
    </w:p>
    <w:p w14:paraId="6A3304A8" w14:textId="77777777" w:rsidR="00B17F64" w:rsidRDefault="00B17F64">
      <w:pPr>
        <w:rPr>
          <w:rFonts w:ascii="Arial" w:hAnsi="Arial" w:cs="Arial"/>
        </w:rPr>
      </w:pPr>
    </w:p>
    <w:p w14:paraId="42468A02" w14:textId="77777777" w:rsidR="00B17F64" w:rsidRDefault="00B17F64">
      <w:pPr>
        <w:rPr>
          <w:rFonts w:ascii="Arial" w:hAnsi="Arial" w:cs="Arial"/>
        </w:rPr>
      </w:pPr>
    </w:p>
    <w:p w14:paraId="27293490" w14:textId="77777777" w:rsidR="00B17F64" w:rsidRDefault="00B17F64">
      <w:pPr>
        <w:rPr>
          <w:rFonts w:ascii="Arial" w:hAnsi="Arial" w:cs="Arial"/>
        </w:rPr>
      </w:pPr>
    </w:p>
    <w:p w14:paraId="72D236E0" w14:textId="77777777" w:rsidR="00B17F64" w:rsidRDefault="00B17F64">
      <w:pPr>
        <w:rPr>
          <w:rFonts w:ascii="Arial" w:hAnsi="Arial" w:cs="Arial"/>
        </w:rPr>
      </w:pPr>
    </w:p>
    <w:p w14:paraId="680EF34D" w14:textId="77777777" w:rsidR="006437B6" w:rsidRDefault="00CD120E" w:rsidP="00A95100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Years 2016-17, 2017-18</w:t>
      </w:r>
      <w:r w:rsidR="00E30E48">
        <w:t>,</w:t>
      </w:r>
      <w:r w:rsidRPr="00A95100">
        <w:t xml:space="preserve"> and 2018-19</w:t>
      </w:r>
    </w:p>
    <w:p w14:paraId="05984873" w14:textId="64B3FD72" w:rsidR="00B17F64" w:rsidRDefault="00B17F64" w:rsidP="00A95100">
      <w:pPr>
        <w:pStyle w:val="Volume"/>
      </w:pPr>
    </w:p>
    <w:p w14:paraId="3E20044C" w14:textId="226D05A0" w:rsidR="00B17F64" w:rsidRPr="00A95100" w:rsidRDefault="00B17F64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="00D33D62" w:rsidRPr="00A95100">
        <w:rPr>
          <w:sz w:val="48"/>
          <w:szCs w:val="48"/>
        </w:rPr>
        <w:t xml:space="preserve"> B</w:t>
      </w:r>
    </w:p>
    <w:p w14:paraId="6D51AB01" w14:textId="56F478A8" w:rsidR="00B17F64" w:rsidRDefault="00B17F64" w:rsidP="00A95100">
      <w:pPr>
        <w:pStyle w:val="Volume"/>
        <w:rPr>
          <w:sz w:val="48"/>
          <w:szCs w:val="48"/>
        </w:rPr>
      </w:pPr>
    </w:p>
    <w:p w14:paraId="7BC5B08D" w14:textId="77777777" w:rsidR="00E30E48" w:rsidRPr="00A95100" w:rsidRDefault="00E30E48" w:rsidP="00A95100">
      <w:pPr>
        <w:pStyle w:val="Volume"/>
        <w:rPr>
          <w:sz w:val="48"/>
          <w:szCs w:val="48"/>
        </w:rPr>
      </w:pPr>
    </w:p>
    <w:p w14:paraId="711A2592" w14:textId="77777777" w:rsidR="00B17F64" w:rsidRPr="00A95100" w:rsidRDefault="00B17F64" w:rsidP="00A95100">
      <w:pPr>
        <w:pStyle w:val="Volume"/>
        <w:rPr>
          <w:sz w:val="48"/>
          <w:szCs w:val="48"/>
        </w:rPr>
      </w:pPr>
    </w:p>
    <w:p w14:paraId="1DEEA771" w14:textId="77777777" w:rsidR="006437B6" w:rsidRDefault="00D01758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="00E30E48">
        <w:rPr>
          <w:sz w:val="48"/>
          <w:szCs w:val="48"/>
        </w:rPr>
        <w:t>1850-new v.1</w:t>
      </w:r>
    </w:p>
    <w:p w14:paraId="558D997B" w14:textId="2098B89A" w:rsidR="00B17F64" w:rsidRDefault="00B17F64">
      <w:pPr>
        <w:rPr>
          <w:rFonts w:ascii="Arial" w:hAnsi="Arial" w:cs="Arial"/>
        </w:rPr>
      </w:pPr>
    </w:p>
    <w:p w14:paraId="3445F8B9" w14:textId="77777777" w:rsidR="00B17F64" w:rsidRDefault="00B17F64">
      <w:pPr>
        <w:rPr>
          <w:rFonts w:ascii="Arial" w:hAnsi="Arial" w:cs="Arial"/>
        </w:rPr>
      </w:pPr>
    </w:p>
    <w:p w14:paraId="7B63A067" w14:textId="77777777" w:rsidR="00B17F64" w:rsidRDefault="00B17F64" w:rsidP="001D7373">
      <w:pPr>
        <w:rPr>
          <w:rFonts w:ascii="Arial" w:hAnsi="Arial" w:cs="Arial"/>
        </w:rPr>
      </w:pPr>
    </w:p>
    <w:p w14:paraId="380D8F65" w14:textId="77777777" w:rsidR="00B17F64" w:rsidRDefault="00B17F64" w:rsidP="001D7373">
      <w:pPr>
        <w:rPr>
          <w:rFonts w:ascii="Arial" w:hAnsi="Arial" w:cs="Arial"/>
        </w:rPr>
      </w:pPr>
    </w:p>
    <w:p w14:paraId="5350760A" w14:textId="77777777" w:rsidR="00B17F64" w:rsidRDefault="00B17F64" w:rsidP="001D7373">
      <w:pPr>
        <w:rPr>
          <w:rFonts w:ascii="Arial" w:hAnsi="Arial" w:cs="Arial"/>
        </w:rPr>
      </w:pPr>
    </w:p>
    <w:p w14:paraId="50CD513F" w14:textId="77777777" w:rsidR="00B17F64" w:rsidRDefault="00B17F64" w:rsidP="001D7373">
      <w:pPr>
        <w:rPr>
          <w:rFonts w:ascii="Arial" w:hAnsi="Arial" w:cs="Arial"/>
        </w:rPr>
      </w:pPr>
    </w:p>
    <w:p w14:paraId="10CC9ECB" w14:textId="77777777" w:rsidR="00B17F64" w:rsidRDefault="00B17F64" w:rsidP="001D7373">
      <w:pPr>
        <w:pStyle w:val="submit"/>
        <w:spacing w:after="60"/>
        <w:jc w:val="both"/>
        <w:rPr>
          <w:i/>
          <w:sz w:val="22"/>
          <w:szCs w:val="22"/>
        </w:rPr>
      </w:pPr>
      <w:bookmarkStart w:id="0" w:name="_Toc419208338"/>
      <w:r>
        <w:rPr>
          <w:i/>
          <w:sz w:val="22"/>
          <w:szCs w:val="22"/>
        </w:rPr>
        <w:t>Submitted by:</w:t>
      </w:r>
      <w:bookmarkEnd w:id="0"/>
    </w:p>
    <w:p w14:paraId="14F48E4B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14:paraId="05037DBC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14:paraId="71FB4865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14:paraId="5015463F" w14:textId="77777777" w:rsidR="00B17F64" w:rsidRPr="00BA526D" w:rsidRDefault="00B17F64" w:rsidP="00BA526D">
      <w:pPr>
        <w:pStyle w:val="Text"/>
      </w:pPr>
    </w:p>
    <w:p w14:paraId="77E286F3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486016D5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17C29FDB" w14:textId="77777777" w:rsidR="00033F75" w:rsidRDefault="00033F75" w:rsidP="00033F75"/>
    <w:p w14:paraId="207B4D22" w14:textId="77777777" w:rsidR="00033F75" w:rsidRDefault="00033F75" w:rsidP="00033F75"/>
    <w:p w14:paraId="354ACA26" w14:textId="77777777" w:rsidR="00033F75" w:rsidRPr="00033F75" w:rsidRDefault="00033F75" w:rsidP="00033F75">
      <w:bookmarkStart w:id="1" w:name="_GoBack"/>
      <w:bookmarkEnd w:id="1"/>
    </w:p>
    <w:p w14:paraId="2958BB47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3F92830D" w14:textId="745FBC2A" w:rsidR="00CD120E" w:rsidRPr="00033F75" w:rsidRDefault="00033F75" w:rsidP="00033F75">
      <w:pPr>
        <w:pStyle w:val="Heading4"/>
        <w:ind w:left="0"/>
        <w:rPr>
          <w:b w:val="0"/>
        </w:rPr>
      </w:pPr>
      <w:r>
        <w:rPr>
          <w:b w:val="0"/>
        </w:rPr>
        <w:t>July 2</w:t>
      </w:r>
      <w:r w:rsidR="0074419A" w:rsidRPr="00DD5D01">
        <w:rPr>
          <w:b w:val="0"/>
        </w:rPr>
        <w:t>, 2015</w:t>
      </w:r>
    </w:p>
    <w:p w14:paraId="68EF2D62" w14:textId="77777777" w:rsidR="00A95100" w:rsidRDefault="00A9510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9483621" w14:textId="7915DD71" w:rsidR="00B17F64" w:rsidRDefault="00B17F64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R="00B17F64" w:rsidSect="0085592F"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14:paraId="11CF0616" w14:textId="571CD5B3" w:rsidR="001D0DEE" w:rsidRPr="004164C6" w:rsidRDefault="001D0DEE" w:rsidP="001D0DEE">
      <w:pPr>
        <w:pStyle w:val="Heading1"/>
      </w:pPr>
      <w:r w:rsidRPr="004164C6">
        <w:lastRenderedPageBreak/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14:paraId="4E2942E6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napToGrid w:val="0"/>
          <w:sz w:val="22"/>
        </w:rPr>
      </w:pPr>
    </w:p>
    <w:p w14:paraId="17CB0D33" w14:textId="77777777" w:rsidR="001D0DEE" w:rsidRPr="001D0DEE" w:rsidRDefault="001D0DEE" w:rsidP="001D0DEE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14:paraId="0084360E" w14:textId="77777777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6E4B6F9" w14:textId="6FF89B14" w:rsidR="006437B6" w:rsidRDefault="001D0DEE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="00BD3B01" w:rsidRPr="001E528B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 w:rsidR="006437B6"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14:paraId="1117BD74" w14:textId="679A5611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BC0006C" w14:textId="77777777" w:rsidR="001D0DEE" w:rsidRPr="001E528B" w:rsidRDefault="001D0DEE" w:rsidP="001E528B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14:paraId="7FDCE76D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24C0FAF6" w14:textId="6DF769AC" w:rsidR="001D0DEE" w:rsidRPr="0056029F" w:rsidRDefault="001D0DEE" w:rsidP="001E528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="00A1708E" w:rsidRPr="00244A66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="001E528B" w:rsidRPr="00244A66">
        <w:rPr>
          <w:snapToGrid w:val="0"/>
        </w:rPr>
        <w:t>for the ED</w:t>
      </w:r>
      <w:r w:rsidR="001E528B" w:rsidRPr="00244A66">
        <w:rPr>
          <w:i/>
          <w:snapToGrid w:val="0"/>
        </w:rPr>
        <w:t>Facts</w:t>
      </w:r>
      <w:r w:rsidR="001E528B" w:rsidRPr="00244A66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14:paraId="347C096C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58246CF" w14:textId="77777777" w:rsidR="001D0DEE" w:rsidRPr="00A1708E" w:rsidRDefault="001D0DEE" w:rsidP="00A1708E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14:paraId="41E32D1E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B02EE5B" w14:textId="77777777" w:rsidR="006437B6" w:rsidRDefault="00290C20" w:rsidP="00A1708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="001D0DEE" w:rsidRPr="00244A66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="001D0DEE" w:rsidRPr="00244A66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="001D0DEE" w:rsidRPr="00244A66">
        <w:rPr>
          <w:snapToGrid w:val="0"/>
        </w:rPr>
        <w:t>%.</w:t>
      </w:r>
    </w:p>
    <w:p w14:paraId="0C76364E" w14:textId="2F4C3E68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2E0E166B" w14:textId="77777777" w:rsidR="001D0DEE" w:rsidRPr="001B5F5C" w:rsidRDefault="001D0DEE" w:rsidP="001B5F5C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14:paraId="6D7ED6AB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7747EC6C" w14:textId="06EA84DB" w:rsidR="001D0DEE" w:rsidRPr="00244A66" w:rsidRDefault="00EA22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="00147A50" w:rsidRPr="00244A66">
        <w:rPr>
          <w:snapToGrid w:val="0"/>
        </w:rPr>
        <w:t>.</w:t>
      </w:r>
    </w:p>
    <w:p w14:paraId="1AE241D7" w14:textId="77777777" w:rsidR="001D0DEE" w:rsidRDefault="001D0D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337C42B7" w14:textId="77777777" w:rsidR="001D0DEE" w:rsidRPr="008539F7" w:rsidRDefault="001D0DEE" w:rsidP="008539F7">
      <w:pPr>
        <w:pStyle w:val="Heading2"/>
        <w:rPr>
          <w:rFonts w:ascii="Arial" w:hAnsi="Arial" w:cs="Arial"/>
          <w:b w:val="0"/>
          <w:snapToGrid w:val="0"/>
        </w:rPr>
      </w:pPr>
      <w:r w:rsidRPr="008539F7">
        <w:rPr>
          <w:rFonts w:ascii="Arial" w:hAnsi="Arial" w:cs="Arial"/>
          <w:b w:val="0"/>
          <w:snapToGrid w:val="0"/>
        </w:rPr>
        <w:t>B.5.</w:t>
      </w:r>
      <w:r w:rsidRPr="008539F7">
        <w:rPr>
          <w:rFonts w:ascii="Arial" w:hAnsi="Arial" w:cs="Arial"/>
          <w:b w:val="0"/>
          <w:snapToGrid w:val="0"/>
        </w:rPr>
        <w:tab/>
        <w:t>Reviewing Individuals</w:t>
      </w:r>
    </w:p>
    <w:p w14:paraId="41183DD9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2"/>
        </w:rPr>
      </w:pPr>
    </w:p>
    <w:p w14:paraId="06CA9EA2" w14:textId="26826903" w:rsidR="00837F3A" w:rsidRDefault="001D0DEE" w:rsidP="00837F3A">
      <w:pPr>
        <w:rPr>
          <w:snapToGrid w:val="0"/>
        </w:rPr>
      </w:pPr>
      <w:r w:rsidRPr="00244A66">
        <w:rPr>
          <w:snapToGrid w:val="0"/>
        </w:rPr>
        <w:t xml:space="preserve">Listed below are individuals who have reviewed, in whole or in part, the </w:t>
      </w:r>
      <w:r w:rsidR="00AC7136" w:rsidRPr="00244A66">
        <w:rPr>
          <w:snapToGrid w:val="0"/>
        </w:rPr>
        <w:t>ED</w:t>
      </w:r>
      <w:r w:rsidR="00AC7136" w:rsidRPr="00244A66">
        <w:rPr>
          <w:i/>
          <w:snapToGrid w:val="0"/>
        </w:rPr>
        <w:t>Facts</w:t>
      </w:r>
      <w:r w:rsidR="00AC7136" w:rsidRPr="00244A66">
        <w:rPr>
          <w:snapToGrid w:val="0"/>
        </w:rPr>
        <w:t xml:space="preserve"> data collection as part of their membership in the Education Information Management Advisory Committee (EIMAC) ED</w:t>
      </w:r>
      <w:r w:rsidR="00AC7136" w:rsidRPr="00244A66">
        <w:rPr>
          <w:i/>
          <w:snapToGrid w:val="0"/>
        </w:rPr>
        <w:t>Facts</w:t>
      </w:r>
      <w:r w:rsidR="00AC7136" w:rsidRPr="00244A66">
        <w:rPr>
          <w:snapToGrid w:val="0"/>
        </w:rPr>
        <w:t xml:space="preserve"> Task Force</w:t>
      </w:r>
      <w:r w:rsidR="00837F3A">
        <w:rPr>
          <w:snapToGrid w:val="0"/>
        </w:rPr>
        <w:t>. Members of the ED</w:t>
      </w:r>
      <w:r w:rsidR="00837F3A" w:rsidRPr="00E97F69">
        <w:rPr>
          <w:i/>
          <w:snapToGrid w:val="0"/>
        </w:rPr>
        <w:t>Facts</w:t>
      </w:r>
      <w:r w:rsidR="00837F3A">
        <w:rPr>
          <w:snapToGrid w:val="0"/>
        </w:rPr>
        <w:t xml:space="preserve"> Governance Board (EDGB) and </w:t>
      </w:r>
      <w:r w:rsidR="00704128">
        <w:rPr>
          <w:snapToGrid w:val="0"/>
        </w:rPr>
        <w:t>NCES ED</w:t>
      </w:r>
      <w:r w:rsidR="00704128" w:rsidRPr="00704128">
        <w:rPr>
          <w:i/>
          <w:snapToGrid w:val="0"/>
        </w:rPr>
        <w:t>Facts</w:t>
      </w:r>
      <w:r w:rsidR="00837F3A">
        <w:rPr>
          <w:snapToGrid w:val="0"/>
        </w:rPr>
        <w:t xml:space="preserve"> Program Office Liaisons also assisted in reviewing package documentation in various capacities throughout the preparation process.</w:t>
      </w:r>
    </w:p>
    <w:p w14:paraId="29C364F3" w14:textId="74035F6B" w:rsidR="00AC7136" w:rsidRPr="00244A66" w:rsidRDefault="00AC7136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napToGrid w:val="0"/>
        </w:rPr>
      </w:pPr>
    </w:p>
    <w:p w14:paraId="6400DBAA" w14:textId="6D1918DE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Rob Curtin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Massachusetts Department of Elementary and Secondary Education</w:t>
      </w:r>
    </w:p>
    <w:p w14:paraId="0FF7E85F" w14:textId="76DBECBD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Sonya Edwards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California Department of Education</w:t>
      </w:r>
    </w:p>
    <w:p w14:paraId="349A2F4C" w14:textId="6E1604AB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Bari </w:t>
      </w:r>
      <w:proofErr w:type="spellStart"/>
      <w:r w:rsidRPr="00244A66">
        <w:rPr>
          <w:snapToGrid w:val="0"/>
        </w:rPr>
        <w:t>Erlichson</w:t>
      </w:r>
      <w:proofErr w:type="spellEnd"/>
      <w:r w:rsidRPr="00244A66">
        <w:rPr>
          <w:snapToGrid w:val="0"/>
        </w:rPr>
        <w:t xml:space="preserve">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New Jersey Department of Education</w:t>
      </w:r>
    </w:p>
    <w:p w14:paraId="1A154596" w14:textId="77777777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Marlene </w:t>
      </w:r>
      <w:proofErr w:type="spellStart"/>
      <w:r w:rsidRPr="00244A66">
        <w:rPr>
          <w:snapToGrid w:val="0"/>
        </w:rPr>
        <w:t>Dorenkamp</w:t>
      </w:r>
      <w:proofErr w:type="spellEnd"/>
      <w:r w:rsidRPr="00244A66">
        <w:rPr>
          <w:snapToGrid w:val="0"/>
        </w:rPr>
        <w:t xml:space="preserve"> - Iowa Department of Education</w:t>
      </w:r>
    </w:p>
    <w:p w14:paraId="3D1B5034" w14:textId="45819FE7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Jody Fields </w:t>
      </w:r>
      <w:r w:rsidR="00244A66">
        <w:rPr>
          <w:snapToGrid w:val="0"/>
        </w:rPr>
        <w:t xml:space="preserve">– </w:t>
      </w:r>
      <w:r w:rsidRPr="00244A66">
        <w:rPr>
          <w:snapToGrid w:val="0"/>
        </w:rPr>
        <w:t>Arkansas Department of Education</w:t>
      </w:r>
    </w:p>
    <w:p w14:paraId="748CF990" w14:textId="77777777" w:rsidR="00033F75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John </w:t>
      </w:r>
      <w:proofErr w:type="spellStart"/>
      <w:r w:rsidRPr="00244A66">
        <w:rPr>
          <w:snapToGrid w:val="0"/>
        </w:rPr>
        <w:t>Kraman</w:t>
      </w:r>
      <w:proofErr w:type="spellEnd"/>
      <w:r w:rsidRPr="00244A66">
        <w:rPr>
          <w:snapToGrid w:val="0"/>
        </w:rPr>
        <w:t xml:space="preserve">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Oklahoma State Department of Education</w:t>
      </w:r>
    </w:p>
    <w:p w14:paraId="54013872" w14:textId="1139E182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Melanie </w:t>
      </w:r>
      <w:proofErr w:type="spellStart"/>
      <w:r w:rsidRPr="00244A66">
        <w:rPr>
          <w:snapToGrid w:val="0"/>
        </w:rPr>
        <w:t>McCalmont</w:t>
      </w:r>
      <w:proofErr w:type="spellEnd"/>
      <w:r w:rsidRPr="00244A66">
        <w:rPr>
          <w:snapToGrid w:val="0"/>
        </w:rPr>
        <w:t xml:space="preserve">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Wisconsin Department of Public Instruction</w:t>
      </w:r>
    </w:p>
    <w:p w14:paraId="4DDF4514" w14:textId="4784EA6B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 xml:space="preserve">June </w:t>
      </w:r>
      <w:proofErr w:type="spellStart"/>
      <w:r w:rsidRPr="00244A66">
        <w:rPr>
          <w:snapToGrid w:val="0"/>
        </w:rPr>
        <w:t>Maginnis</w:t>
      </w:r>
      <w:proofErr w:type="spellEnd"/>
      <w:r w:rsidRPr="00244A66">
        <w:rPr>
          <w:snapToGrid w:val="0"/>
        </w:rPr>
        <w:t xml:space="preserve">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Colorado Department of Education</w:t>
      </w:r>
    </w:p>
    <w:p w14:paraId="0969FE0A" w14:textId="5121EEE6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Julian Montoya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Nevada Department of Education</w:t>
      </w:r>
    </w:p>
    <w:p w14:paraId="42437D14" w14:textId="1DD6DA34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Diane Murphy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Connecticut State Department of Education</w:t>
      </w:r>
    </w:p>
    <w:p w14:paraId="322251FE" w14:textId="567DBEE7" w:rsidR="00EE2B27" w:rsidRPr="00244A66" w:rsidRDefault="00EE2B27" w:rsidP="00EE2B2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Gary Waugh -</w:t>
      </w:r>
      <w:r w:rsidR="00244A66">
        <w:rPr>
          <w:snapToGrid w:val="0"/>
        </w:rPr>
        <w:t xml:space="preserve"> </w:t>
      </w:r>
      <w:r w:rsidRPr="00244A66">
        <w:rPr>
          <w:snapToGrid w:val="0"/>
        </w:rPr>
        <w:t>Ohio Department of Education</w:t>
      </w:r>
    </w:p>
    <w:p w14:paraId="3975F0DE" w14:textId="2B08D8F0" w:rsidR="001D0DEE" w:rsidRDefault="00EE2B27" w:rsidP="007D1A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 w:rsidRPr="00244A66">
        <w:rPr>
          <w:snapToGrid w:val="0"/>
        </w:rPr>
        <w:t>Tom Howell - Center for Educational Performance and Information</w:t>
      </w:r>
    </w:p>
    <w:p w14:paraId="47F7EFBF" w14:textId="77777777" w:rsidR="00837F3A" w:rsidRDefault="00837F3A" w:rsidP="00837F3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>
        <w:rPr>
          <w:snapToGrid w:val="0"/>
        </w:rPr>
        <w:t>Kelly Worthington- U.S. Department of Education, National Center for Education Statistics</w:t>
      </w:r>
    </w:p>
    <w:p w14:paraId="0DB543B0" w14:textId="77777777" w:rsidR="00837F3A" w:rsidRDefault="00837F3A" w:rsidP="00837F3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>
        <w:rPr>
          <w:snapToGrid w:val="0"/>
        </w:rPr>
        <w:t>Barbara Timm- U.S. Department of Education, National Center for Education Statistics</w:t>
      </w:r>
    </w:p>
    <w:p w14:paraId="7DF26D7B" w14:textId="77777777" w:rsidR="00837F3A" w:rsidRDefault="00837F3A" w:rsidP="00837F3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  <w:r>
        <w:rPr>
          <w:snapToGrid w:val="0"/>
        </w:rPr>
        <w:t>Challis Breithaupt- U.S. Department of Education, National Center for Education Statistics</w:t>
      </w:r>
    </w:p>
    <w:p w14:paraId="6356FD4B" w14:textId="77777777" w:rsidR="00837F3A" w:rsidRDefault="00837F3A" w:rsidP="007D1A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14:paraId="7428B2A7" w14:textId="77777777" w:rsidR="00E97F69" w:rsidRDefault="00E97F69" w:rsidP="00E97F69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14:paraId="28139600" w14:textId="238ED67F" w:rsidR="00E97F69" w:rsidRPr="00244A66" w:rsidRDefault="00E97F69" w:rsidP="007D1A1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sectPr w:rsidR="00E97F69" w:rsidRPr="00244A66" w:rsidSect="00871C11">
      <w:footerReference w:type="even" r:id="rId14"/>
      <w:footerReference w:type="default" r:id="rId15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0FCE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7CD7" w14:textId="77777777" w:rsidR="00A63386" w:rsidRDefault="00A63386">
      <w:r>
        <w:separator/>
      </w:r>
    </w:p>
  </w:endnote>
  <w:endnote w:type="continuationSeparator" w:id="0">
    <w:p w14:paraId="4586A3C2" w14:textId="77777777" w:rsidR="00A63386" w:rsidRDefault="00A6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33B7" w14:textId="77777777" w:rsidR="006437B6" w:rsidRDefault="003E4A17">
    <w:pPr>
      <w:pStyle w:val="Footer"/>
      <w:rPr>
        <w:rFonts w:ascii="Arial" w:hAnsi="Arial" w:cs="Arial"/>
        <w:snapToGrid w:val="0"/>
      </w:rPr>
    </w:pPr>
    <w:r>
      <w:tab/>
    </w:r>
    <w:r>
      <w:tab/>
    </w:r>
  </w:p>
  <w:p w14:paraId="194B97C9" w14:textId="5342DC09" w:rsidR="003E4A17" w:rsidRDefault="003E4A17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AC9A1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5E6D3" w14:textId="77777777" w:rsidR="003E4A17" w:rsidRDefault="003E4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C794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F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665F0" w14:textId="77777777" w:rsidR="003E4A17" w:rsidRDefault="003E4A1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9A962" w14:textId="77777777" w:rsidR="00A63386" w:rsidRDefault="00A63386">
      <w:r>
        <w:separator/>
      </w:r>
    </w:p>
  </w:footnote>
  <w:footnote w:type="continuationSeparator" w:id="0">
    <w:p w14:paraId="63E0ABDB" w14:textId="77777777" w:rsidR="00A63386" w:rsidRDefault="00A6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9CC"/>
    <w:multiLevelType w:val="hybridMultilevel"/>
    <w:tmpl w:val="5A2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A8D"/>
    <w:multiLevelType w:val="hybridMultilevel"/>
    <w:tmpl w:val="C5B659DA"/>
    <w:lvl w:ilvl="0" w:tplc="8F32E064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027068A"/>
    <w:multiLevelType w:val="hybridMultilevel"/>
    <w:tmpl w:val="037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C4"/>
    <w:multiLevelType w:val="hybridMultilevel"/>
    <w:tmpl w:val="01EC1426"/>
    <w:lvl w:ilvl="0" w:tplc="4A284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817"/>
    <w:multiLevelType w:val="hybridMultilevel"/>
    <w:tmpl w:val="4F028788"/>
    <w:lvl w:ilvl="0" w:tplc="E7787ADC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69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">
    <w15:presenceInfo w15:providerId="None" w15:userId="D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85"/>
    <w:rsid w:val="00000835"/>
    <w:rsid w:val="00002259"/>
    <w:rsid w:val="000078CE"/>
    <w:rsid w:val="0001350F"/>
    <w:rsid w:val="00014C47"/>
    <w:rsid w:val="000173BD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607F"/>
    <w:rsid w:val="00060B4F"/>
    <w:rsid w:val="000615E6"/>
    <w:rsid w:val="000628F2"/>
    <w:rsid w:val="000678B9"/>
    <w:rsid w:val="00070E94"/>
    <w:rsid w:val="00071C3B"/>
    <w:rsid w:val="00071F21"/>
    <w:rsid w:val="00073866"/>
    <w:rsid w:val="00077F33"/>
    <w:rsid w:val="00080270"/>
    <w:rsid w:val="00084737"/>
    <w:rsid w:val="000853B1"/>
    <w:rsid w:val="0008584B"/>
    <w:rsid w:val="000937DE"/>
    <w:rsid w:val="00094AC7"/>
    <w:rsid w:val="000967A9"/>
    <w:rsid w:val="00096BAD"/>
    <w:rsid w:val="000A102D"/>
    <w:rsid w:val="000A19F8"/>
    <w:rsid w:val="000A1CF6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6E28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75DD"/>
    <w:rsid w:val="00434B29"/>
    <w:rsid w:val="00437D36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3D78"/>
    <w:rsid w:val="004D0128"/>
    <w:rsid w:val="004D33FF"/>
    <w:rsid w:val="004D46DE"/>
    <w:rsid w:val="004D6884"/>
    <w:rsid w:val="004E0616"/>
    <w:rsid w:val="004E0664"/>
    <w:rsid w:val="004E15B6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D5E"/>
    <w:rsid w:val="00564571"/>
    <w:rsid w:val="00576360"/>
    <w:rsid w:val="00581AE6"/>
    <w:rsid w:val="00584A01"/>
    <w:rsid w:val="00586F78"/>
    <w:rsid w:val="0059247F"/>
    <w:rsid w:val="005937F9"/>
    <w:rsid w:val="005A346B"/>
    <w:rsid w:val="005A391A"/>
    <w:rsid w:val="005A7839"/>
    <w:rsid w:val="005B0E29"/>
    <w:rsid w:val="005B3B27"/>
    <w:rsid w:val="005B3C9A"/>
    <w:rsid w:val="005B6331"/>
    <w:rsid w:val="005C30C5"/>
    <w:rsid w:val="005C3377"/>
    <w:rsid w:val="005C63A0"/>
    <w:rsid w:val="005C677F"/>
    <w:rsid w:val="005D02E5"/>
    <w:rsid w:val="005D3A6F"/>
    <w:rsid w:val="005D7A2D"/>
    <w:rsid w:val="005E3B6E"/>
    <w:rsid w:val="005E6A88"/>
    <w:rsid w:val="005F4F9A"/>
    <w:rsid w:val="005F6431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5DEC"/>
    <w:rsid w:val="006C68DE"/>
    <w:rsid w:val="006D716C"/>
    <w:rsid w:val="006E3739"/>
    <w:rsid w:val="006E4F42"/>
    <w:rsid w:val="006E635E"/>
    <w:rsid w:val="006E74AB"/>
    <w:rsid w:val="006E7A0C"/>
    <w:rsid w:val="006E7AFA"/>
    <w:rsid w:val="006F43EA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5A15"/>
    <w:rsid w:val="00760643"/>
    <w:rsid w:val="007607EB"/>
    <w:rsid w:val="00766F7A"/>
    <w:rsid w:val="00767888"/>
    <w:rsid w:val="00767D1B"/>
    <w:rsid w:val="007710B8"/>
    <w:rsid w:val="0077221F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470F"/>
    <w:rsid w:val="00797A04"/>
    <w:rsid w:val="007A0DCF"/>
    <w:rsid w:val="007A116C"/>
    <w:rsid w:val="007A219D"/>
    <w:rsid w:val="007B1A06"/>
    <w:rsid w:val="007B1F13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4A7B"/>
    <w:rsid w:val="00837F3A"/>
    <w:rsid w:val="00847168"/>
    <w:rsid w:val="00851499"/>
    <w:rsid w:val="00852C94"/>
    <w:rsid w:val="008539F7"/>
    <w:rsid w:val="008552E3"/>
    <w:rsid w:val="0085592F"/>
    <w:rsid w:val="00855951"/>
    <w:rsid w:val="0085758B"/>
    <w:rsid w:val="008615C4"/>
    <w:rsid w:val="00862AB3"/>
    <w:rsid w:val="008701F0"/>
    <w:rsid w:val="008717DD"/>
    <w:rsid w:val="00871C11"/>
    <w:rsid w:val="00871F64"/>
    <w:rsid w:val="00875114"/>
    <w:rsid w:val="00876203"/>
    <w:rsid w:val="008770E5"/>
    <w:rsid w:val="00877FCB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D2BEC"/>
    <w:rsid w:val="008D6869"/>
    <w:rsid w:val="008D75AA"/>
    <w:rsid w:val="008E0C89"/>
    <w:rsid w:val="008E0FBE"/>
    <w:rsid w:val="008E15EC"/>
    <w:rsid w:val="008E31EE"/>
    <w:rsid w:val="008E61B9"/>
    <w:rsid w:val="008F1FFA"/>
    <w:rsid w:val="008F2D80"/>
    <w:rsid w:val="008F7DD5"/>
    <w:rsid w:val="009008AF"/>
    <w:rsid w:val="00903A0B"/>
    <w:rsid w:val="0090741F"/>
    <w:rsid w:val="0091090B"/>
    <w:rsid w:val="009110D7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518D9"/>
    <w:rsid w:val="009573EF"/>
    <w:rsid w:val="00961362"/>
    <w:rsid w:val="00965628"/>
    <w:rsid w:val="00971F73"/>
    <w:rsid w:val="009727D1"/>
    <w:rsid w:val="0098139D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F1948"/>
    <w:rsid w:val="009F3C37"/>
    <w:rsid w:val="009F43CF"/>
    <w:rsid w:val="009F5BED"/>
    <w:rsid w:val="009F785F"/>
    <w:rsid w:val="00A07B0E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40A2"/>
    <w:rsid w:val="00BA5224"/>
    <w:rsid w:val="00BA526D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D3B01"/>
    <w:rsid w:val="00BE1BA8"/>
    <w:rsid w:val="00BE1F8A"/>
    <w:rsid w:val="00BE3EF1"/>
    <w:rsid w:val="00BE72C3"/>
    <w:rsid w:val="00BF0F00"/>
    <w:rsid w:val="00BF553A"/>
    <w:rsid w:val="00C04464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4F78"/>
    <w:rsid w:val="00CF5C43"/>
    <w:rsid w:val="00D00B32"/>
    <w:rsid w:val="00D01758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131E"/>
    <w:rsid w:val="00D43510"/>
    <w:rsid w:val="00D44313"/>
    <w:rsid w:val="00D60793"/>
    <w:rsid w:val="00D61711"/>
    <w:rsid w:val="00D66194"/>
    <w:rsid w:val="00D6754A"/>
    <w:rsid w:val="00D67D9B"/>
    <w:rsid w:val="00D82AF4"/>
    <w:rsid w:val="00D83F13"/>
    <w:rsid w:val="00D84E14"/>
    <w:rsid w:val="00D93F96"/>
    <w:rsid w:val="00D97EC8"/>
    <w:rsid w:val="00DA39D9"/>
    <w:rsid w:val="00DB0032"/>
    <w:rsid w:val="00DB1F0E"/>
    <w:rsid w:val="00DB7493"/>
    <w:rsid w:val="00DC1213"/>
    <w:rsid w:val="00DC2A70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73E76"/>
    <w:rsid w:val="00E76B9A"/>
    <w:rsid w:val="00E77B91"/>
    <w:rsid w:val="00E8228B"/>
    <w:rsid w:val="00E82DE3"/>
    <w:rsid w:val="00E85F13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DF8"/>
    <w:rsid w:val="00F06E32"/>
    <w:rsid w:val="00F179D1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E36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 w:qFormat="1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 w:qFormat="1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3" ma:contentTypeDescription="Create a new document." ma:contentTypeScope="" ma:versionID="3053004857bd45a06ec36552e799a742">
  <xsd:schema xmlns:xsd="http://www.w3.org/2001/XMLSchema" xmlns:xs="http://www.w3.org/2001/XMLSchema" xmlns:p="http://schemas.microsoft.com/office/2006/metadata/properties" xmlns:ns2="b7635ab0-52e7-4e33-aa76-893cd120ef45" targetNamespace="http://schemas.microsoft.com/office/2006/metadata/properties" ma:root="true" ma:fieldsID="2d292a8e1733e0338ba4b97debeaa755" ns2:_="">
    <xsd:import namespace="b7635ab0-52e7-4e33-aa76-893cd120ef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635ab0-52e7-4e33-aa76-893cd120ef45">DNVT47QTA7NQ-161-199217</_dlc_DocId>
    <_dlc_DocIdUrl xmlns="b7635ab0-52e7-4e33-aa76-893cd120ef45">
      <Url>https://sharepoint.aemcorp.com/ed/etss/_layouts/DocIdRedir.aspx?ID=DNVT47QTA7NQ-161-199217</Url>
      <Description>DNVT47QTA7NQ-161-199217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C3B6-C9C1-44F8-B622-426898A47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5ab0-52e7-4e33-aa76-893cd120e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F7E3-0495-4107-8F5E-0A5585EAE5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DA1DE5-CBB2-4EF0-B577-BE7625BB8754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b7635ab0-52e7-4e33-aa76-893cd120ef4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FEF9A9-C503-44DE-911B-C03E27A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IPEDS OMB 2008-2011</vt:lpstr>
    </vt:vector>
  </TitlesOfParts>
  <Company>RTI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IPEDS OMB 2008-2011</dc:title>
  <dc:creator>Janice Kelly-Reid</dc:creator>
  <cp:lastModifiedBy>Kubzdela,Kashka</cp:lastModifiedBy>
  <cp:revision>8</cp:revision>
  <cp:lastPrinted>2015-06-18T17:17:00Z</cp:lastPrinted>
  <dcterms:created xsi:type="dcterms:W3CDTF">2015-06-29T22:38:00Z</dcterms:created>
  <dcterms:modified xsi:type="dcterms:W3CDTF">2015-07-02T18:12:00Z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e8399ccc-b51b-472f-a291-6821f03cf3d8</vt:lpwstr>
  </property>
</Properties>
</file>