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779" w:rsidRPr="00C62779" w:rsidRDefault="00C62779" w:rsidP="00C62779">
      <w:pPr>
        <w:rPr>
          <w:b/>
          <w:sz w:val="28"/>
          <w:szCs w:val="28"/>
        </w:rPr>
      </w:pPr>
      <w:bookmarkStart w:id="0" w:name="_Toc152464665"/>
      <w:bookmarkStart w:id="1" w:name="_Toc186528697"/>
      <w:bookmarkStart w:id="2" w:name="_Toc195508845"/>
      <w:bookmarkStart w:id="3" w:name="_Toc416415230"/>
      <w:bookmarkStart w:id="4" w:name="_Toc416416850"/>
      <w:bookmarkStart w:id="5" w:name="_Toc66688729"/>
      <w:bookmarkStart w:id="6" w:name="_Toc152464667"/>
      <w:r w:rsidRPr="00C62779">
        <w:rPr>
          <w:b/>
          <w:sz w:val="28"/>
          <w:szCs w:val="28"/>
        </w:rPr>
        <w:t>Supporting Statement B</w:t>
      </w:r>
    </w:p>
    <w:p w:rsidR="00C62779" w:rsidRPr="00523C64" w:rsidRDefault="00C62779" w:rsidP="00C62779">
      <w:pPr>
        <w:pStyle w:val="Heading1"/>
      </w:pPr>
      <w:r w:rsidRPr="00523C64">
        <w:t>Collection of Information Employing Statistical Methods</w:t>
      </w:r>
      <w:bookmarkEnd w:id="0"/>
      <w:bookmarkEnd w:id="1"/>
      <w:bookmarkEnd w:id="2"/>
      <w:bookmarkEnd w:id="3"/>
      <w:bookmarkEnd w:id="4"/>
    </w:p>
    <w:p w:rsidR="00C62779" w:rsidRPr="005651C9" w:rsidRDefault="00C62779" w:rsidP="00C62779">
      <w:pPr>
        <w:pStyle w:val="BodyText"/>
      </w:pPr>
      <w:r>
        <w:t>Statistical methods are not used in the collection of information.</w:t>
      </w:r>
    </w:p>
    <w:p w:rsidR="00C62779" w:rsidRDefault="00C62779" w:rsidP="00C62779">
      <w:pPr>
        <w:pStyle w:val="Heading2"/>
        <w:numPr>
          <w:ilvl w:val="0"/>
          <w:numId w:val="2"/>
        </w:numPr>
      </w:pPr>
      <w:bookmarkStart w:id="7" w:name="_Toc186528699"/>
      <w:bookmarkStart w:id="8" w:name="_Toc195508848"/>
      <w:bookmarkStart w:id="9" w:name="_Toc416415231"/>
      <w:bookmarkStart w:id="10" w:name="_Toc416416851"/>
      <w:bookmarkStart w:id="11" w:name="_Toc66688730"/>
      <w:bookmarkEnd w:id="5"/>
      <w:bookmarkEnd w:id="6"/>
      <w:r>
        <w:t>Respondent Universe and Sampling Methods</w:t>
      </w:r>
      <w:bookmarkEnd w:id="7"/>
      <w:bookmarkEnd w:id="8"/>
      <w:bookmarkEnd w:id="9"/>
      <w:bookmarkEnd w:id="10"/>
      <w:r>
        <w:t xml:space="preserve"> </w:t>
      </w:r>
    </w:p>
    <w:p w:rsidR="00C62779" w:rsidRDefault="00C62779" w:rsidP="00C62779">
      <w:pPr>
        <w:pStyle w:val="BodyText"/>
      </w:pPr>
      <w:r>
        <w:t xml:space="preserve">Following consultation with the U.S. Department of Education, RTI will interview 100 schools </w:t>
      </w:r>
      <w:r w:rsidR="0021108A">
        <w:t xml:space="preserve">selected from the Common Core of Data </w:t>
      </w:r>
      <w:r>
        <w:t>using the following selection methodology. First, RTI will interview principals or designees of 22 NTN schools that include a 12</w:t>
      </w:r>
      <w:r w:rsidRPr="00726430">
        <w:t>th</w:t>
      </w:r>
      <w:r>
        <w:t xml:space="preserve"> grade. RTI will also attempt to interview principals or designees of 61 NAF magnet schools that include a 12th grade. The remaining 17 schools will be randomly selected CCASN magnet schools that include a 12th grade, excluding any schools that are also part of the NAF network. If RTI is unable to interview all of the 22 NTN or 61 NAF schools, the research team will randomly select as many CCASN schools as needed to reach a total of 100 interviews.</w:t>
      </w:r>
    </w:p>
    <w:p w:rsidR="00C62779" w:rsidRDefault="00C62779" w:rsidP="00C62779">
      <w:pPr>
        <w:pStyle w:val="Heading2"/>
      </w:pPr>
      <w:bookmarkStart w:id="12" w:name="_Toc416415232"/>
      <w:bookmarkStart w:id="13" w:name="_Toc416416852"/>
      <w:r>
        <w:t>Statistical Methods for Sample Selection and Degree of Accuracy Needed</w:t>
      </w:r>
      <w:bookmarkEnd w:id="12"/>
      <w:bookmarkEnd w:id="13"/>
    </w:p>
    <w:p w:rsidR="00C62779" w:rsidRPr="00E03559" w:rsidRDefault="00C62779" w:rsidP="00C62779">
      <w:pPr>
        <w:pStyle w:val="BodyText"/>
      </w:pPr>
      <w:r>
        <w:t>At least 17 magnet schools that include a 12</w:t>
      </w:r>
      <w:r w:rsidRPr="00726430">
        <w:t>th</w:t>
      </w:r>
      <w:r>
        <w:t xml:space="preserve"> grade in the Career Academy Support Network will be randomly selected to reach 100 total school interviews (after attempting to interview 22 NTN and 61 NAF schools). Depending upon how many successful interviews RTI holds with the NTN and NAF, the number of randomly sampled CCASN schools may be higher than 17.  </w:t>
      </w:r>
    </w:p>
    <w:p w:rsidR="00C62779" w:rsidRDefault="00C62779" w:rsidP="00C62779">
      <w:pPr>
        <w:pStyle w:val="Heading2"/>
      </w:pPr>
      <w:bookmarkStart w:id="14" w:name="_Toc416415233"/>
      <w:bookmarkStart w:id="15" w:name="_Toc416416853"/>
      <w:r>
        <w:t>Methods to Maximize Response Rates and Deal with Nonresponse</w:t>
      </w:r>
      <w:bookmarkEnd w:id="14"/>
      <w:bookmarkEnd w:id="15"/>
    </w:p>
    <w:p w:rsidR="00C62779" w:rsidRDefault="00C62779" w:rsidP="00C62779">
      <w:pPr>
        <w:pStyle w:val="BodyText"/>
      </w:pPr>
      <w:r w:rsidRPr="00CE6810">
        <w:t xml:space="preserve">The goal is to complete 100 interviews with </w:t>
      </w:r>
      <w:r>
        <w:t xml:space="preserve">leaders of college- and career-focused schools that may be </w:t>
      </w:r>
      <w:r w:rsidRPr="00CE6810">
        <w:t xml:space="preserve">promising </w:t>
      </w:r>
      <w:r>
        <w:t>candidates for a national evaluation</w:t>
      </w:r>
      <w:r w:rsidR="0021108A">
        <w:t xml:space="preserve"> and we expect a response rate of at least 80 percent. </w:t>
      </w:r>
      <w:bookmarkStart w:id="16" w:name="_GoBack"/>
      <w:bookmarkEnd w:id="16"/>
      <w:r>
        <w:t>RTI will send a list of selected schools to the network leaders, who will then invite the leaders of selected schools in their network to participate (see sample in Appendix X). RTI will send a follow-up email to the selected school leaders referencing the network letter along with a signed letter from the U.S. Department of Education (see Appendix X). The research team will then contact the leaders of selected schools via phone and email to schedule phone interviews. In the event that the research team is unable to contact a potential interviewee after a reasonable number of attempts (approximately three), an invitation will be extended to complete the interview via email, in an effort to increase participation of non-responders.</w:t>
      </w:r>
      <w:r w:rsidR="0021108A">
        <w:t xml:space="preserve">  </w:t>
      </w:r>
    </w:p>
    <w:p w:rsidR="00C62779" w:rsidRDefault="00C62779" w:rsidP="00C62779">
      <w:pPr>
        <w:pStyle w:val="Heading2"/>
      </w:pPr>
      <w:bookmarkStart w:id="17" w:name="_Toc416415234"/>
      <w:bookmarkStart w:id="18" w:name="_Toc416416854"/>
      <w:r>
        <w:t xml:space="preserve">Tests of Procedures or Methods to be </w:t>
      </w:r>
      <w:proofErr w:type="gramStart"/>
      <w:r>
        <w:t>Undertaken</w:t>
      </w:r>
      <w:bookmarkEnd w:id="17"/>
      <w:bookmarkEnd w:id="18"/>
      <w:proofErr w:type="gramEnd"/>
      <w:r>
        <w:t xml:space="preserve"> </w:t>
      </w:r>
    </w:p>
    <w:p w:rsidR="00C62779" w:rsidRDefault="00C62779" w:rsidP="00C62779">
      <w:pPr>
        <w:pStyle w:val="OMBheading-2"/>
        <w:ind w:left="360" w:firstLine="0"/>
        <w:rPr>
          <w:b w:val="0"/>
        </w:rPr>
      </w:pPr>
      <w:r>
        <w:rPr>
          <w:b w:val="0"/>
        </w:rPr>
        <w:t>This data collection will not include a pilot study. The questions asked of schools are guided by consultations with U.S. Department of Education staff and leaders of national networks of college- and career-focused schools</w:t>
      </w:r>
    </w:p>
    <w:p w:rsidR="00C62779" w:rsidRDefault="00C62779" w:rsidP="00C62779">
      <w:pPr>
        <w:pStyle w:val="Heading2"/>
      </w:pPr>
      <w:bookmarkStart w:id="19" w:name="_Toc416415235"/>
      <w:bookmarkStart w:id="20" w:name="_Toc416416855"/>
      <w:r>
        <w:t>Individuals Consulted on Statistical Aspects and Individuals Collecting and/or Analyzing Data</w:t>
      </w:r>
      <w:bookmarkEnd w:id="19"/>
      <w:bookmarkEnd w:id="20"/>
      <w:r>
        <w:t xml:space="preserve"> </w:t>
      </w:r>
    </w:p>
    <w:p w:rsidR="00C62779" w:rsidRDefault="00C62779" w:rsidP="00C62779"/>
    <w:p w:rsidR="00C62779" w:rsidRPr="007F61D9" w:rsidRDefault="00C62779" w:rsidP="00C62779">
      <w:pPr>
        <w:pStyle w:val="Caption"/>
      </w:pPr>
      <w:r>
        <w:t>Exhibit 4. Individuals consulted and individuals collecting and analyzing data</w:t>
      </w:r>
      <w:r>
        <w:fldChar w:fldCharType="begin"/>
      </w:r>
      <w:r>
        <w:instrText xml:space="preserve"> XE "</w:instrText>
      </w:r>
      <w:r w:rsidRPr="00582E29">
        <w:instrText>Exhibit 4. Individuals consulted and individuals collecting and analyzing data</w:instrText>
      </w:r>
      <w:r>
        <w:instrText xml:space="preserve">" </w:instrText>
      </w:r>
      <w:r>
        <w:fldChar w:fldCharType="end"/>
      </w:r>
    </w:p>
    <w:tbl>
      <w:tblPr>
        <w:tblW w:w="8875"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340"/>
        <w:gridCol w:w="4555"/>
        <w:gridCol w:w="1980"/>
      </w:tblGrid>
      <w:tr w:rsidR="00C62779" w:rsidTr="0099022C">
        <w:tc>
          <w:tcPr>
            <w:tcW w:w="2340" w:type="dxa"/>
            <w:vAlign w:val="bottom"/>
          </w:tcPr>
          <w:p w:rsidR="00C62779" w:rsidRDefault="00C62779" w:rsidP="0099022C">
            <w:pPr>
              <w:jc w:val="center"/>
              <w:rPr>
                <w:rFonts w:ascii="Arial" w:hAnsi="Arial" w:cs="Arial"/>
                <w:b/>
              </w:rPr>
            </w:pPr>
            <w:r>
              <w:rPr>
                <w:rFonts w:ascii="Arial" w:hAnsi="Arial" w:cs="Arial"/>
                <w:b/>
              </w:rPr>
              <w:t>Name</w:t>
            </w:r>
          </w:p>
        </w:tc>
        <w:tc>
          <w:tcPr>
            <w:tcW w:w="4555" w:type="dxa"/>
            <w:vAlign w:val="bottom"/>
          </w:tcPr>
          <w:p w:rsidR="00C62779" w:rsidRDefault="00C62779" w:rsidP="0099022C">
            <w:pPr>
              <w:jc w:val="center"/>
              <w:rPr>
                <w:rFonts w:ascii="Arial" w:hAnsi="Arial" w:cs="Arial"/>
                <w:b/>
              </w:rPr>
            </w:pPr>
            <w:bookmarkStart w:id="21" w:name="_Toc120511016"/>
            <w:r>
              <w:rPr>
                <w:rFonts w:ascii="Arial" w:hAnsi="Arial" w:cs="Arial"/>
                <w:b/>
              </w:rPr>
              <w:t>Organization, Title</w:t>
            </w:r>
            <w:bookmarkEnd w:id="21"/>
          </w:p>
        </w:tc>
        <w:tc>
          <w:tcPr>
            <w:tcW w:w="1980" w:type="dxa"/>
            <w:vAlign w:val="bottom"/>
          </w:tcPr>
          <w:p w:rsidR="00C62779" w:rsidRDefault="00C62779" w:rsidP="0099022C">
            <w:pPr>
              <w:jc w:val="center"/>
              <w:rPr>
                <w:rFonts w:ascii="Arial" w:hAnsi="Arial" w:cs="Arial"/>
                <w:b/>
              </w:rPr>
            </w:pPr>
            <w:bookmarkStart w:id="22" w:name="_Toc120511017"/>
            <w:r>
              <w:rPr>
                <w:rFonts w:ascii="Arial" w:hAnsi="Arial" w:cs="Arial"/>
                <w:b/>
              </w:rPr>
              <w:t>Telephone</w:t>
            </w:r>
            <w:bookmarkEnd w:id="22"/>
          </w:p>
        </w:tc>
      </w:tr>
      <w:tr w:rsidR="0021108A" w:rsidTr="0099022C">
        <w:trPr>
          <w:trHeight w:val="323"/>
        </w:trPr>
        <w:tc>
          <w:tcPr>
            <w:tcW w:w="2340" w:type="dxa"/>
            <w:vAlign w:val="center"/>
          </w:tcPr>
          <w:p w:rsidR="0021108A" w:rsidRDefault="0021108A" w:rsidP="0099022C">
            <w:pPr>
              <w:rPr>
                <w:rFonts w:ascii="Arial" w:hAnsi="Arial" w:cs="Arial"/>
              </w:rPr>
            </w:pPr>
            <w:r>
              <w:rPr>
                <w:rFonts w:ascii="Arial" w:hAnsi="Arial" w:cs="Arial"/>
              </w:rPr>
              <w:t>Marsha Silverberg</w:t>
            </w:r>
          </w:p>
        </w:tc>
        <w:tc>
          <w:tcPr>
            <w:tcW w:w="4555" w:type="dxa"/>
            <w:vAlign w:val="center"/>
          </w:tcPr>
          <w:p w:rsidR="0021108A" w:rsidRDefault="0021108A" w:rsidP="0021108A">
            <w:pPr>
              <w:rPr>
                <w:rFonts w:ascii="Arial" w:hAnsi="Arial" w:cs="Arial"/>
              </w:rPr>
            </w:pPr>
            <w:r>
              <w:rPr>
                <w:rFonts w:ascii="Arial" w:hAnsi="Arial" w:cs="Arial"/>
              </w:rPr>
              <w:t>IES, Education Research Analyst</w:t>
            </w:r>
          </w:p>
        </w:tc>
        <w:tc>
          <w:tcPr>
            <w:tcW w:w="1980" w:type="dxa"/>
            <w:vAlign w:val="center"/>
          </w:tcPr>
          <w:p w:rsidR="0021108A" w:rsidRPr="00EF42CA" w:rsidRDefault="0021108A" w:rsidP="0099022C">
            <w:pPr>
              <w:jc w:val="center"/>
              <w:rPr>
                <w:rFonts w:ascii="Arial" w:hAnsi="Arial" w:cs="Arial"/>
              </w:rPr>
            </w:pPr>
            <w:r>
              <w:rPr>
                <w:rFonts w:ascii="Arial" w:hAnsi="Arial" w:cs="Arial"/>
              </w:rPr>
              <w:t>202-208-7178</w:t>
            </w:r>
          </w:p>
        </w:tc>
      </w:tr>
      <w:tr w:rsidR="00C62779" w:rsidTr="0099022C">
        <w:trPr>
          <w:trHeight w:val="323"/>
        </w:trPr>
        <w:tc>
          <w:tcPr>
            <w:tcW w:w="2340" w:type="dxa"/>
            <w:vAlign w:val="center"/>
          </w:tcPr>
          <w:p w:rsidR="00C62779" w:rsidRPr="005651C9" w:rsidRDefault="00C62779" w:rsidP="0099022C">
            <w:pPr>
              <w:rPr>
                <w:rFonts w:ascii="Arial" w:hAnsi="Arial" w:cs="Arial"/>
              </w:rPr>
            </w:pPr>
            <w:r>
              <w:rPr>
                <w:rFonts w:ascii="Arial" w:hAnsi="Arial" w:cs="Arial"/>
              </w:rPr>
              <w:lastRenderedPageBreak/>
              <w:t>Carolyn Lee</w:t>
            </w:r>
          </w:p>
        </w:tc>
        <w:tc>
          <w:tcPr>
            <w:tcW w:w="4555" w:type="dxa"/>
            <w:vAlign w:val="center"/>
          </w:tcPr>
          <w:p w:rsidR="00C62779" w:rsidRPr="005651C9" w:rsidRDefault="00C62779" w:rsidP="0099022C">
            <w:pPr>
              <w:rPr>
                <w:rFonts w:ascii="Arial" w:hAnsi="Arial" w:cs="Arial"/>
              </w:rPr>
            </w:pPr>
            <w:r>
              <w:rPr>
                <w:rFonts w:ascii="Arial" w:hAnsi="Arial" w:cs="Arial"/>
              </w:rPr>
              <w:t>USDOE, Contract’s Office Representative</w:t>
            </w:r>
          </w:p>
        </w:tc>
        <w:tc>
          <w:tcPr>
            <w:tcW w:w="1980" w:type="dxa"/>
            <w:vAlign w:val="center"/>
          </w:tcPr>
          <w:p w:rsidR="00C62779" w:rsidRPr="005651C9" w:rsidRDefault="00C62779" w:rsidP="0099022C">
            <w:pPr>
              <w:jc w:val="center"/>
              <w:rPr>
                <w:rFonts w:ascii="Arial" w:hAnsi="Arial" w:cs="Arial"/>
              </w:rPr>
            </w:pPr>
            <w:r w:rsidRPr="00EF42CA">
              <w:rPr>
                <w:rFonts w:ascii="Arial" w:hAnsi="Arial" w:cs="Arial"/>
              </w:rPr>
              <w:t>202-245-7817</w:t>
            </w:r>
          </w:p>
        </w:tc>
      </w:tr>
      <w:tr w:rsidR="00C62779" w:rsidTr="0099022C">
        <w:tc>
          <w:tcPr>
            <w:tcW w:w="2340" w:type="dxa"/>
            <w:vAlign w:val="center"/>
          </w:tcPr>
          <w:p w:rsidR="00C62779" w:rsidRDefault="00C62779" w:rsidP="0099022C">
            <w:pPr>
              <w:spacing w:before="60"/>
              <w:ind w:left="-30"/>
              <w:rPr>
                <w:rFonts w:ascii="Arial" w:hAnsi="Arial" w:cs="Arial"/>
                <w:color w:val="000000"/>
              </w:rPr>
            </w:pPr>
            <w:r>
              <w:rPr>
                <w:rFonts w:ascii="Arial" w:hAnsi="Arial" w:cs="Arial"/>
                <w:color w:val="000000"/>
              </w:rPr>
              <w:t>Jeff Rosen, PhD</w:t>
            </w:r>
          </w:p>
        </w:tc>
        <w:tc>
          <w:tcPr>
            <w:tcW w:w="4555" w:type="dxa"/>
            <w:vAlign w:val="center"/>
          </w:tcPr>
          <w:p w:rsidR="00C62779" w:rsidRDefault="00C62779" w:rsidP="0099022C">
            <w:pPr>
              <w:spacing w:before="60" w:after="58"/>
              <w:rPr>
                <w:rFonts w:ascii="Arial" w:hAnsi="Arial" w:cs="Arial"/>
                <w:color w:val="000000"/>
              </w:rPr>
            </w:pPr>
            <w:r>
              <w:rPr>
                <w:rFonts w:ascii="Arial" w:hAnsi="Arial" w:cs="Arial"/>
                <w:color w:val="000000"/>
              </w:rPr>
              <w:t>RTI, Research Education Analyst</w:t>
            </w:r>
          </w:p>
        </w:tc>
        <w:tc>
          <w:tcPr>
            <w:tcW w:w="1980" w:type="dxa"/>
            <w:vAlign w:val="center"/>
          </w:tcPr>
          <w:p w:rsidR="00C62779" w:rsidRDefault="00C62779" w:rsidP="0099022C">
            <w:pPr>
              <w:spacing w:before="60" w:after="58"/>
              <w:jc w:val="center"/>
              <w:rPr>
                <w:rFonts w:ascii="Arial" w:hAnsi="Arial" w:cs="Arial"/>
                <w:color w:val="000000"/>
              </w:rPr>
            </w:pPr>
            <w:r>
              <w:rPr>
                <w:rFonts w:ascii="Arial" w:hAnsi="Arial" w:cs="Arial"/>
                <w:color w:val="000000"/>
              </w:rPr>
              <w:t>312-456-5242</w:t>
            </w:r>
          </w:p>
        </w:tc>
      </w:tr>
      <w:tr w:rsidR="00C62779" w:rsidTr="0099022C">
        <w:tc>
          <w:tcPr>
            <w:tcW w:w="2340" w:type="dxa"/>
            <w:vAlign w:val="center"/>
          </w:tcPr>
          <w:p w:rsidR="00C62779" w:rsidRDefault="00C62779" w:rsidP="0099022C">
            <w:pPr>
              <w:spacing w:before="60" w:after="58"/>
              <w:ind w:left="-30"/>
              <w:rPr>
                <w:rFonts w:ascii="Arial" w:hAnsi="Arial" w:cs="Arial"/>
                <w:color w:val="000000"/>
              </w:rPr>
            </w:pPr>
            <w:r>
              <w:rPr>
                <w:rFonts w:ascii="Arial" w:hAnsi="Arial" w:cs="Arial"/>
                <w:color w:val="000000"/>
              </w:rPr>
              <w:t xml:space="preserve">Terri Dempsey, </w:t>
            </w:r>
            <w:proofErr w:type="spellStart"/>
            <w:r>
              <w:rPr>
                <w:rFonts w:ascii="Arial" w:hAnsi="Arial" w:cs="Arial"/>
                <w:color w:val="000000"/>
              </w:rPr>
              <w:t>MAEd</w:t>
            </w:r>
            <w:proofErr w:type="spellEnd"/>
          </w:p>
        </w:tc>
        <w:tc>
          <w:tcPr>
            <w:tcW w:w="4555" w:type="dxa"/>
            <w:vAlign w:val="center"/>
          </w:tcPr>
          <w:p w:rsidR="00C62779" w:rsidRDefault="00C62779" w:rsidP="0099022C">
            <w:pPr>
              <w:spacing w:before="60" w:after="58"/>
              <w:rPr>
                <w:rFonts w:ascii="Arial" w:hAnsi="Arial" w:cs="Arial"/>
                <w:color w:val="000000"/>
              </w:rPr>
            </w:pPr>
            <w:r>
              <w:rPr>
                <w:rFonts w:ascii="Arial" w:hAnsi="Arial" w:cs="Arial"/>
                <w:color w:val="000000"/>
              </w:rPr>
              <w:t>RTI, Research Education Analyst</w:t>
            </w:r>
          </w:p>
        </w:tc>
        <w:tc>
          <w:tcPr>
            <w:tcW w:w="1980" w:type="dxa"/>
            <w:vAlign w:val="center"/>
          </w:tcPr>
          <w:p w:rsidR="00C62779" w:rsidRDefault="00C62779" w:rsidP="0099022C">
            <w:pPr>
              <w:spacing w:before="60"/>
              <w:jc w:val="center"/>
              <w:rPr>
                <w:rFonts w:ascii="Arial" w:hAnsi="Arial" w:cs="Arial"/>
                <w:color w:val="000000"/>
              </w:rPr>
            </w:pPr>
            <w:r>
              <w:rPr>
                <w:rFonts w:ascii="Arial" w:hAnsi="Arial" w:cs="Arial"/>
                <w:color w:val="000000"/>
              </w:rPr>
              <w:t>919-541-6886</w:t>
            </w:r>
          </w:p>
        </w:tc>
      </w:tr>
      <w:tr w:rsidR="00C62779" w:rsidTr="0099022C">
        <w:tc>
          <w:tcPr>
            <w:tcW w:w="2340" w:type="dxa"/>
            <w:vAlign w:val="center"/>
          </w:tcPr>
          <w:p w:rsidR="00C62779" w:rsidRDefault="00C62779" w:rsidP="0099022C">
            <w:pPr>
              <w:spacing w:before="60" w:after="58"/>
              <w:ind w:left="-30"/>
              <w:rPr>
                <w:rFonts w:ascii="Arial" w:hAnsi="Arial" w:cs="Arial"/>
                <w:color w:val="000000"/>
              </w:rPr>
            </w:pPr>
            <w:r>
              <w:rPr>
                <w:rFonts w:ascii="Arial" w:hAnsi="Arial" w:cs="Arial"/>
                <w:color w:val="000000"/>
              </w:rPr>
              <w:t xml:space="preserve">Lisa </w:t>
            </w:r>
            <w:proofErr w:type="spellStart"/>
            <w:r>
              <w:rPr>
                <w:rFonts w:ascii="Arial" w:hAnsi="Arial" w:cs="Arial"/>
                <w:color w:val="000000"/>
              </w:rPr>
              <w:t>McCaskill</w:t>
            </w:r>
            <w:proofErr w:type="spellEnd"/>
            <w:r>
              <w:rPr>
                <w:rFonts w:ascii="Arial" w:hAnsi="Arial" w:cs="Arial"/>
                <w:color w:val="000000"/>
              </w:rPr>
              <w:t>, BA</w:t>
            </w:r>
          </w:p>
        </w:tc>
        <w:tc>
          <w:tcPr>
            <w:tcW w:w="4555" w:type="dxa"/>
            <w:vAlign w:val="center"/>
          </w:tcPr>
          <w:p w:rsidR="00C62779" w:rsidRDefault="00C62779" w:rsidP="0099022C">
            <w:pPr>
              <w:spacing w:before="60" w:after="58"/>
              <w:rPr>
                <w:rFonts w:ascii="Arial" w:hAnsi="Arial" w:cs="Arial"/>
                <w:color w:val="000000"/>
              </w:rPr>
            </w:pPr>
            <w:r>
              <w:rPr>
                <w:rFonts w:ascii="Arial" w:hAnsi="Arial" w:cs="Arial"/>
                <w:color w:val="000000"/>
              </w:rPr>
              <w:t>RTI, Education Analyst</w:t>
            </w:r>
          </w:p>
        </w:tc>
        <w:tc>
          <w:tcPr>
            <w:tcW w:w="1980" w:type="dxa"/>
            <w:vAlign w:val="center"/>
          </w:tcPr>
          <w:p w:rsidR="00C62779" w:rsidRDefault="00C62779" w:rsidP="0099022C">
            <w:pPr>
              <w:spacing w:before="60"/>
              <w:jc w:val="center"/>
              <w:rPr>
                <w:rFonts w:ascii="Arial" w:hAnsi="Arial" w:cs="Arial"/>
                <w:color w:val="000000"/>
              </w:rPr>
            </w:pPr>
            <w:r>
              <w:rPr>
                <w:rFonts w:ascii="Arial" w:hAnsi="Arial" w:cs="Arial"/>
                <w:color w:val="000000"/>
              </w:rPr>
              <w:t>919-541-8019</w:t>
            </w:r>
          </w:p>
        </w:tc>
      </w:tr>
      <w:tr w:rsidR="00C62779" w:rsidTr="0099022C">
        <w:tc>
          <w:tcPr>
            <w:tcW w:w="2340" w:type="dxa"/>
            <w:vAlign w:val="center"/>
          </w:tcPr>
          <w:p w:rsidR="00C62779" w:rsidRDefault="00C62779" w:rsidP="0099022C">
            <w:pPr>
              <w:spacing w:before="60" w:after="58"/>
              <w:ind w:left="-30"/>
              <w:rPr>
                <w:rFonts w:ascii="Arial" w:hAnsi="Arial" w:cs="Arial"/>
                <w:color w:val="000000"/>
              </w:rPr>
            </w:pPr>
            <w:r>
              <w:rPr>
                <w:rFonts w:ascii="Arial" w:hAnsi="Arial" w:cs="Arial"/>
                <w:color w:val="000000"/>
              </w:rPr>
              <w:t xml:space="preserve">Stacey </w:t>
            </w:r>
            <w:proofErr w:type="spellStart"/>
            <w:r>
              <w:rPr>
                <w:rFonts w:ascii="Arial" w:hAnsi="Arial" w:cs="Arial"/>
                <w:color w:val="000000"/>
              </w:rPr>
              <w:t>Cataylo</w:t>
            </w:r>
            <w:proofErr w:type="spellEnd"/>
            <w:r>
              <w:rPr>
                <w:rFonts w:ascii="Arial" w:hAnsi="Arial" w:cs="Arial"/>
                <w:color w:val="000000"/>
              </w:rPr>
              <w:t>, BA</w:t>
            </w:r>
          </w:p>
        </w:tc>
        <w:tc>
          <w:tcPr>
            <w:tcW w:w="4555" w:type="dxa"/>
            <w:vAlign w:val="center"/>
          </w:tcPr>
          <w:p w:rsidR="00C62779" w:rsidRDefault="00C62779" w:rsidP="0099022C">
            <w:pPr>
              <w:spacing w:before="60" w:after="58"/>
              <w:rPr>
                <w:rFonts w:ascii="Arial" w:hAnsi="Arial" w:cs="Arial"/>
                <w:color w:val="000000"/>
              </w:rPr>
            </w:pPr>
            <w:r>
              <w:rPr>
                <w:rFonts w:ascii="Arial" w:hAnsi="Arial" w:cs="Arial"/>
                <w:color w:val="000000"/>
              </w:rPr>
              <w:t>RTI, Project Associate</w:t>
            </w:r>
          </w:p>
        </w:tc>
        <w:tc>
          <w:tcPr>
            <w:tcW w:w="1980" w:type="dxa"/>
            <w:vAlign w:val="center"/>
          </w:tcPr>
          <w:p w:rsidR="00C62779" w:rsidRDefault="00C62779" w:rsidP="0099022C">
            <w:pPr>
              <w:spacing w:before="60"/>
              <w:jc w:val="center"/>
              <w:rPr>
                <w:rFonts w:ascii="Arial" w:hAnsi="Arial" w:cs="Arial"/>
                <w:color w:val="000000"/>
              </w:rPr>
            </w:pPr>
            <w:r>
              <w:rPr>
                <w:rFonts w:ascii="Arial" w:hAnsi="Arial" w:cs="Arial"/>
                <w:color w:val="000000"/>
              </w:rPr>
              <w:t>510-665-8234</w:t>
            </w:r>
          </w:p>
        </w:tc>
      </w:tr>
      <w:tr w:rsidR="00C62779" w:rsidTr="0099022C">
        <w:tc>
          <w:tcPr>
            <w:tcW w:w="2340" w:type="dxa"/>
            <w:vAlign w:val="center"/>
          </w:tcPr>
          <w:p w:rsidR="00C62779" w:rsidRDefault="00C62779" w:rsidP="0099022C">
            <w:pPr>
              <w:spacing w:before="60" w:after="58"/>
              <w:ind w:left="-30"/>
              <w:rPr>
                <w:rFonts w:ascii="Arial" w:hAnsi="Arial" w:cs="Arial"/>
                <w:color w:val="000000"/>
              </w:rPr>
            </w:pPr>
            <w:r>
              <w:rPr>
                <w:rFonts w:ascii="Arial" w:hAnsi="Arial" w:cs="Arial"/>
                <w:color w:val="000000"/>
              </w:rPr>
              <w:t>Justine Hufford, BA</w:t>
            </w:r>
          </w:p>
        </w:tc>
        <w:tc>
          <w:tcPr>
            <w:tcW w:w="4555" w:type="dxa"/>
            <w:vAlign w:val="center"/>
          </w:tcPr>
          <w:p w:rsidR="00C62779" w:rsidRDefault="00C62779" w:rsidP="0099022C">
            <w:pPr>
              <w:spacing w:before="60" w:after="58"/>
              <w:rPr>
                <w:rFonts w:ascii="Arial" w:hAnsi="Arial" w:cs="Arial"/>
                <w:color w:val="000000"/>
              </w:rPr>
            </w:pPr>
            <w:r>
              <w:rPr>
                <w:rFonts w:ascii="Arial" w:hAnsi="Arial" w:cs="Arial"/>
                <w:color w:val="000000"/>
              </w:rPr>
              <w:t>RTI, Education Analyst</w:t>
            </w:r>
          </w:p>
        </w:tc>
        <w:tc>
          <w:tcPr>
            <w:tcW w:w="1980" w:type="dxa"/>
            <w:vAlign w:val="center"/>
          </w:tcPr>
          <w:p w:rsidR="00C62779" w:rsidRDefault="00C62779" w:rsidP="0099022C">
            <w:pPr>
              <w:spacing w:before="60"/>
              <w:jc w:val="center"/>
              <w:rPr>
                <w:rFonts w:ascii="Arial" w:hAnsi="Arial" w:cs="Arial"/>
                <w:color w:val="000000"/>
              </w:rPr>
            </w:pPr>
            <w:r>
              <w:rPr>
                <w:rFonts w:ascii="Arial" w:hAnsi="Arial" w:cs="Arial"/>
                <w:color w:val="000000"/>
              </w:rPr>
              <w:t>510-647-4301</w:t>
            </w:r>
          </w:p>
        </w:tc>
      </w:tr>
    </w:tbl>
    <w:p w:rsidR="00C62779" w:rsidRPr="00F82AEE" w:rsidRDefault="00C62779" w:rsidP="00C62779">
      <w:pPr>
        <w:pStyle w:val="OMBheading-2"/>
      </w:pPr>
    </w:p>
    <w:bookmarkEnd w:id="11"/>
    <w:p w:rsidR="009D7371" w:rsidRDefault="0021108A"/>
    <w:sectPr w:rsidR="009D7371" w:rsidSect="003F472E">
      <w:pgSz w:w="12240" w:h="15840" w:code="1"/>
      <w:pgMar w:top="1440" w:right="1440" w:bottom="1152" w:left="1440" w:header="576" w:footer="57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F2A08"/>
    <w:multiLevelType w:val="hybridMultilevel"/>
    <w:tmpl w:val="A05EC470"/>
    <w:lvl w:ilvl="0" w:tplc="89A0226C">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E47D3B"/>
    <w:multiLevelType w:val="hybridMultilevel"/>
    <w:tmpl w:val="C6EAAD14"/>
    <w:lvl w:ilvl="0" w:tplc="73306510">
      <w:start w:val="2"/>
      <w:numFmt w:val="upperLetter"/>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0"/>
    <w:lvlOverride w:ilvl="0">
      <w:startOverride w:val="1"/>
    </w:lvlOverride>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779"/>
    <w:rsid w:val="0021108A"/>
    <w:rsid w:val="00891D66"/>
    <w:rsid w:val="008F7716"/>
    <w:rsid w:val="00C62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99CA52-DE86-4B75-93F6-F51842AE1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779"/>
    <w:pPr>
      <w:spacing w:after="0" w:line="240" w:lineRule="auto"/>
    </w:pPr>
    <w:rPr>
      <w:rFonts w:ascii="Times New Roman" w:eastAsia="Times New Roman" w:hAnsi="Times New Roman" w:cs="Times New Roman"/>
      <w:sz w:val="20"/>
      <w:szCs w:val="20"/>
    </w:rPr>
  </w:style>
  <w:style w:type="paragraph" w:styleId="Heading1">
    <w:name w:val="heading 1"/>
    <w:basedOn w:val="Heading3"/>
    <w:next w:val="Normal"/>
    <w:link w:val="Heading1Char"/>
    <w:autoRedefine/>
    <w:qFormat/>
    <w:rsid w:val="00C62779"/>
    <w:pPr>
      <w:keepLines w:val="0"/>
      <w:numPr>
        <w:numId w:val="4"/>
      </w:numPr>
      <w:spacing w:before="240" w:after="240"/>
      <w:outlineLvl w:val="0"/>
    </w:pPr>
    <w:rPr>
      <w:rFonts w:ascii="Times New Roman" w:eastAsia="Times New Roman" w:hAnsi="Times New Roman" w:cs="Times New Roman"/>
      <w:snapToGrid w:val="0"/>
      <w:color w:val="auto"/>
      <w:sz w:val="28"/>
      <w:szCs w:val="28"/>
    </w:rPr>
  </w:style>
  <w:style w:type="paragraph" w:styleId="Heading2">
    <w:name w:val="heading 2"/>
    <w:basedOn w:val="Heading6"/>
    <w:next w:val="Normal"/>
    <w:link w:val="Heading2Char"/>
    <w:autoRedefine/>
    <w:qFormat/>
    <w:rsid w:val="00C62779"/>
    <w:pPr>
      <w:keepLines w:val="0"/>
      <w:numPr>
        <w:numId w:val="1"/>
      </w:numPr>
      <w:spacing w:before="0"/>
      <w:outlineLvl w:val="1"/>
    </w:pPr>
    <w:rPr>
      <w:rFonts w:ascii="Times New Roman" w:eastAsia="Times New Roman" w:hAnsi="Times New Roman" w:cs="Times New Roman"/>
      <w:b/>
      <w:bCs/>
      <w:i w:val="0"/>
      <w:iCs w:val="0"/>
      <w:snapToGrid w:val="0"/>
      <w:color w:val="auto"/>
      <w:sz w:val="24"/>
    </w:rPr>
  </w:style>
  <w:style w:type="paragraph" w:styleId="Heading3">
    <w:name w:val="heading 3"/>
    <w:basedOn w:val="Normal"/>
    <w:next w:val="Normal"/>
    <w:link w:val="Heading3Char"/>
    <w:uiPriority w:val="9"/>
    <w:semiHidden/>
    <w:unhideWhenUsed/>
    <w:qFormat/>
    <w:rsid w:val="00C62779"/>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C6277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2779"/>
    <w:rPr>
      <w:rFonts w:ascii="Times New Roman" w:eastAsia="Times New Roman" w:hAnsi="Times New Roman" w:cs="Times New Roman"/>
      <w:b/>
      <w:bCs/>
      <w:snapToGrid w:val="0"/>
      <w:sz w:val="28"/>
      <w:szCs w:val="28"/>
    </w:rPr>
  </w:style>
  <w:style w:type="character" w:customStyle="1" w:styleId="Heading2Char">
    <w:name w:val="Heading 2 Char"/>
    <w:basedOn w:val="DefaultParagraphFont"/>
    <w:link w:val="Heading2"/>
    <w:rsid w:val="00C62779"/>
    <w:rPr>
      <w:rFonts w:ascii="Times New Roman" w:eastAsia="Times New Roman" w:hAnsi="Times New Roman" w:cs="Times New Roman"/>
      <w:b/>
      <w:bCs/>
      <w:snapToGrid w:val="0"/>
      <w:sz w:val="24"/>
      <w:szCs w:val="20"/>
    </w:rPr>
  </w:style>
  <w:style w:type="paragraph" w:customStyle="1" w:styleId="OMBheading-2">
    <w:name w:val="OMB heading-2"/>
    <w:basedOn w:val="Normal"/>
    <w:rsid w:val="00C62779"/>
    <w:pPr>
      <w:keepNext/>
      <w:spacing w:after="200"/>
      <w:ind w:left="720" w:hanging="720"/>
    </w:pPr>
    <w:rPr>
      <w:b/>
      <w:sz w:val="24"/>
    </w:rPr>
  </w:style>
  <w:style w:type="paragraph" w:customStyle="1" w:styleId="BodyText">
    <w:name w:val="BodyText"/>
    <w:basedOn w:val="Normal"/>
    <w:link w:val="BodyTextChar"/>
    <w:qFormat/>
    <w:rsid w:val="00C62779"/>
    <w:pPr>
      <w:spacing w:after="240" w:line="240" w:lineRule="atLeast"/>
      <w:ind w:left="360"/>
    </w:pPr>
    <w:rPr>
      <w:sz w:val="24"/>
      <w:szCs w:val="24"/>
    </w:rPr>
  </w:style>
  <w:style w:type="character" w:customStyle="1" w:styleId="BodyTextChar">
    <w:name w:val="BodyText Char"/>
    <w:link w:val="BodyText"/>
    <w:rsid w:val="00C62779"/>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C62779"/>
    <w:pPr>
      <w:ind w:left="360"/>
    </w:pPr>
    <w:rPr>
      <w:b/>
      <w:bCs/>
    </w:rPr>
  </w:style>
  <w:style w:type="character" w:customStyle="1" w:styleId="Heading3Char">
    <w:name w:val="Heading 3 Char"/>
    <w:basedOn w:val="DefaultParagraphFont"/>
    <w:link w:val="Heading3"/>
    <w:uiPriority w:val="9"/>
    <w:semiHidden/>
    <w:rsid w:val="00C62779"/>
    <w:rPr>
      <w:rFonts w:asciiTheme="majorHAnsi" w:eastAsiaTheme="majorEastAsia" w:hAnsiTheme="majorHAnsi" w:cstheme="majorBidi"/>
      <w:b/>
      <w:bCs/>
      <w:color w:val="4F81BD" w:themeColor="accent1"/>
      <w:sz w:val="20"/>
      <w:szCs w:val="20"/>
    </w:rPr>
  </w:style>
  <w:style w:type="character" w:customStyle="1" w:styleId="Heading6Char">
    <w:name w:val="Heading 6 Char"/>
    <w:basedOn w:val="DefaultParagraphFont"/>
    <w:link w:val="Heading6"/>
    <w:uiPriority w:val="9"/>
    <w:semiHidden/>
    <w:rsid w:val="00C62779"/>
    <w:rPr>
      <w:rFonts w:asciiTheme="majorHAnsi" w:eastAsiaTheme="majorEastAsia" w:hAnsiTheme="majorHAnsi" w:cstheme="majorBidi"/>
      <w:i/>
      <w:iCs/>
      <w:color w:val="243F60"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Braden</cp:lastModifiedBy>
  <cp:revision>2</cp:revision>
  <dcterms:created xsi:type="dcterms:W3CDTF">2015-11-11T14:04:00Z</dcterms:created>
  <dcterms:modified xsi:type="dcterms:W3CDTF">2015-11-11T14:04:00Z</dcterms:modified>
</cp:coreProperties>
</file>