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7A59"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FD753CB" w14:textId="77777777" w:rsidR="00AF1157" w:rsidRPr="007A5D4B" w:rsidRDefault="00AF1157" w:rsidP="00D73D2D">
      <w:pPr>
        <w:suppressAutoHyphens/>
        <w:jc w:val="center"/>
        <w:rPr>
          <w:rFonts w:ascii="Arial" w:hAnsi="Arial" w:cs="Arial"/>
          <w:b/>
          <w:sz w:val="22"/>
          <w:szCs w:val="22"/>
        </w:rPr>
      </w:pPr>
    </w:p>
    <w:p w14:paraId="22B653B6"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7B6331A" w14:textId="77777777" w:rsidR="00AF1157" w:rsidRPr="007A5D4B" w:rsidRDefault="00AF1157" w:rsidP="00D73D2D">
      <w:pPr>
        <w:suppressAutoHyphens/>
        <w:jc w:val="center"/>
        <w:rPr>
          <w:rFonts w:ascii="Arial" w:hAnsi="Arial" w:cs="Arial"/>
          <w:b/>
          <w:sz w:val="22"/>
          <w:szCs w:val="22"/>
        </w:rPr>
      </w:pPr>
    </w:p>
    <w:p w14:paraId="33D338F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93C8736" w14:textId="77777777" w:rsidR="00AF1157" w:rsidRPr="007A5D4B" w:rsidRDefault="00AF1157" w:rsidP="00D73D2D">
      <w:pPr>
        <w:suppressAutoHyphens/>
        <w:jc w:val="center"/>
        <w:rPr>
          <w:rFonts w:ascii="Arial" w:hAnsi="Arial" w:cs="Arial"/>
          <w:b/>
          <w:sz w:val="22"/>
          <w:szCs w:val="22"/>
        </w:rPr>
      </w:pPr>
    </w:p>
    <w:p w14:paraId="321C00A7" w14:textId="77777777" w:rsidR="00AF1157" w:rsidRPr="007A5D4B" w:rsidRDefault="00AF1157" w:rsidP="00D73D2D">
      <w:pPr>
        <w:suppressAutoHyphens/>
        <w:jc w:val="center"/>
        <w:rPr>
          <w:rFonts w:ascii="Arial" w:hAnsi="Arial" w:cs="Arial"/>
          <w:b/>
          <w:sz w:val="22"/>
          <w:szCs w:val="22"/>
        </w:rPr>
      </w:pPr>
      <w:r w:rsidRPr="0086538D">
        <w:rPr>
          <w:rFonts w:ascii="Arial" w:hAnsi="Arial" w:cs="Arial"/>
          <w:b/>
          <w:sz w:val="22"/>
          <w:szCs w:val="22"/>
        </w:rPr>
        <w:t>OMB Control Number 1513</w:t>
      </w:r>
      <w:r w:rsidR="00D73D2D" w:rsidRPr="0086538D">
        <w:rPr>
          <w:rFonts w:ascii="Arial" w:hAnsi="Arial" w:cs="Arial"/>
          <w:b/>
          <w:sz w:val="22"/>
          <w:szCs w:val="22"/>
        </w:rPr>
        <w:t>–</w:t>
      </w:r>
      <w:r w:rsidR="00400439" w:rsidRPr="0086538D">
        <w:rPr>
          <w:rFonts w:ascii="Arial" w:hAnsi="Arial" w:cs="Arial"/>
          <w:b/>
          <w:sz w:val="22"/>
          <w:szCs w:val="22"/>
        </w:rPr>
        <w:t>0107</w:t>
      </w:r>
      <w:r w:rsidR="00D73D2D" w:rsidRPr="007A5D4B">
        <w:rPr>
          <w:rFonts w:ascii="Arial" w:hAnsi="Arial" w:cs="Arial"/>
          <w:b/>
          <w:sz w:val="22"/>
          <w:szCs w:val="22"/>
        </w:rPr>
        <w:t xml:space="preserve"> </w:t>
      </w:r>
    </w:p>
    <w:p w14:paraId="7751DEEE" w14:textId="77777777" w:rsidR="00AF1157" w:rsidRPr="007A5D4B" w:rsidRDefault="00AF1157" w:rsidP="00D73D2D">
      <w:pPr>
        <w:suppressAutoHyphens/>
        <w:rPr>
          <w:rFonts w:ascii="Arial" w:hAnsi="Arial" w:cs="Arial"/>
          <w:sz w:val="22"/>
          <w:szCs w:val="22"/>
        </w:rPr>
      </w:pPr>
    </w:p>
    <w:p w14:paraId="1AE24F9E" w14:textId="77777777" w:rsidR="00D73D2D" w:rsidRPr="007A5D4B" w:rsidRDefault="00D73D2D" w:rsidP="00D73D2D">
      <w:pPr>
        <w:suppressAutoHyphens/>
        <w:rPr>
          <w:rFonts w:ascii="Arial" w:hAnsi="Arial" w:cs="Arial"/>
          <w:sz w:val="22"/>
          <w:szCs w:val="22"/>
        </w:rPr>
      </w:pPr>
    </w:p>
    <w:p w14:paraId="77151D50" w14:textId="77777777" w:rsidR="00400439" w:rsidRPr="000357FC" w:rsidRDefault="00400439" w:rsidP="00400439">
      <w:pPr>
        <w:suppressAutoHyphens/>
        <w:rPr>
          <w:rFonts w:ascii="Arial" w:hAnsi="Arial" w:cs="Arial"/>
          <w:b/>
          <w:sz w:val="22"/>
          <w:szCs w:val="22"/>
        </w:rPr>
      </w:pPr>
      <w:r w:rsidRPr="000357FC">
        <w:rPr>
          <w:rFonts w:ascii="Arial" w:hAnsi="Arial" w:cs="Arial"/>
          <w:b/>
          <w:sz w:val="22"/>
          <w:szCs w:val="22"/>
        </w:rPr>
        <w:t xml:space="preserve">Monthly Report — Importer of Tobacco Products or Processed Tobacco (TTB F 5220.6). </w:t>
      </w:r>
    </w:p>
    <w:p w14:paraId="001279C2" w14:textId="77777777" w:rsidR="00D73D2D" w:rsidRDefault="00D73D2D" w:rsidP="00D73D2D">
      <w:pPr>
        <w:suppressAutoHyphens/>
        <w:rPr>
          <w:rFonts w:ascii="Arial" w:hAnsi="Arial" w:cs="Arial"/>
          <w:sz w:val="22"/>
          <w:szCs w:val="22"/>
        </w:rPr>
      </w:pPr>
    </w:p>
    <w:p w14:paraId="5FD5A5F9" w14:textId="77777777" w:rsidR="00400439" w:rsidRDefault="00400439" w:rsidP="00D73D2D">
      <w:pPr>
        <w:suppressAutoHyphens/>
        <w:rPr>
          <w:rFonts w:ascii="Arial" w:hAnsi="Arial" w:cs="Arial"/>
          <w:sz w:val="22"/>
          <w:szCs w:val="22"/>
        </w:rPr>
      </w:pPr>
    </w:p>
    <w:p w14:paraId="224D1887"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2B2B6B5" w14:textId="77777777" w:rsidR="00AF1157" w:rsidRPr="007A5D4B" w:rsidRDefault="00AF1157" w:rsidP="00D73D2D">
      <w:pPr>
        <w:suppressAutoHyphens/>
        <w:rPr>
          <w:rFonts w:ascii="Arial" w:hAnsi="Arial" w:cs="Arial"/>
          <w:sz w:val="22"/>
          <w:szCs w:val="22"/>
        </w:rPr>
      </w:pPr>
    </w:p>
    <w:p w14:paraId="1D17F20E"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3AADD4B0" w14:textId="77777777" w:rsidR="00400439" w:rsidRPr="007A5D4B" w:rsidRDefault="00400439" w:rsidP="00D73D2D">
      <w:pPr>
        <w:ind w:left="576" w:hanging="576"/>
        <w:rPr>
          <w:rFonts w:ascii="Arial" w:hAnsi="Arial" w:cs="Arial"/>
          <w:sz w:val="22"/>
          <w:szCs w:val="22"/>
        </w:rPr>
      </w:pPr>
    </w:p>
    <w:p w14:paraId="39C52700" w14:textId="77777777" w:rsidR="00400439" w:rsidRPr="0069260A" w:rsidRDefault="00400439"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5B75F447" w14:textId="77777777" w:rsidR="00400439" w:rsidRPr="0069260A" w:rsidRDefault="00400439" w:rsidP="0086538D">
      <w:pPr>
        <w:widowControl w:val="0"/>
        <w:autoSpaceDE w:val="0"/>
        <w:autoSpaceDN w:val="0"/>
        <w:adjustRightInd w:val="0"/>
        <w:ind w:left="360"/>
        <w:rPr>
          <w:rFonts w:ascii="Arial" w:hAnsi="Arial" w:cs="Arial"/>
          <w:sz w:val="22"/>
          <w:szCs w:val="22"/>
        </w:rPr>
      </w:pPr>
    </w:p>
    <w:p w14:paraId="57293A5B" w14:textId="6AC74E0E" w:rsidR="00400439" w:rsidRPr="0069260A" w:rsidRDefault="00703FF1"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Under 26 U.S.C 5722, importers of tobacco products and of processed tobacco are required to make reports containing such information, in such form, at such times, and for such periods as the Secretary shall by regulation prescribe.  Pursuant to this provision, the TTB regulations at 27 CFR 41.206 and 41.262 </w:t>
      </w:r>
      <w:r w:rsidR="002C2ABB" w:rsidRPr="0069260A">
        <w:rPr>
          <w:rFonts w:ascii="Arial" w:hAnsi="Arial" w:cs="Arial"/>
          <w:sz w:val="22"/>
          <w:szCs w:val="22"/>
        </w:rPr>
        <w:t>r</w:t>
      </w:r>
      <w:r w:rsidR="00400439" w:rsidRPr="0069260A">
        <w:rPr>
          <w:rFonts w:ascii="Arial" w:hAnsi="Arial" w:cs="Arial"/>
          <w:sz w:val="22"/>
          <w:szCs w:val="22"/>
        </w:rPr>
        <w:t xml:space="preserve">equire importers of tobacco products </w:t>
      </w:r>
      <w:r w:rsidR="002C2ABB" w:rsidRPr="0069260A">
        <w:rPr>
          <w:rFonts w:ascii="Arial" w:hAnsi="Arial" w:cs="Arial"/>
          <w:sz w:val="22"/>
          <w:szCs w:val="22"/>
        </w:rPr>
        <w:t xml:space="preserve">and importers of processed tobacco </w:t>
      </w:r>
      <w:r w:rsidR="00400439" w:rsidRPr="0069260A">
        <w:rPr>
          <w:rFonts w:ascii="Arial" w:hAnsi="Arial" w:cs="Arial"/>
          <w:sz w:val="22"/>
          <w:szCs w:val="22"/>
        </w:rPr>
        <w:t>to submit a monthly report</w:t>
      </w:r>
      <w:r w:rsidRPr="0069260A">
        <w:rPr>
          <w:rFonts w:ascii="Arial" w:hAnsi="Arial" w:cs="Arial"/>
          <w:sz w:val="22"/>
          <w:szCs w:val="22"/>
        </w:rPr>
        <w:t xml:space="preserve"> on TTB F</w:t>
      </w:r>
      <w:r w:rsidR="0069260A">
        <w:rPr>
          <w:rFonts w:ascii="Arial" w:hAnsi="Arial" w:cs="Arial"/>
          <w:sz w:val="22"/>
          <w:szCs w:val="22"/>
        </w:rPr>
        <w:t> </w:t>
      </w:r>
      <w:r w:rsidRPr="0069260A">
        <w:rPr>
          <w:rFonts w:ascii="Arial" w:hAnsi="Arial" w:cs="Arial"/>
          <w:sz w:val="22"/>
          <w:szCs w:val="22"/>
        </w:rPr>
        <w:t>5220.6.  The report requires accounting</w:t>
      </w:r>
      <w:r w:rsidR="00400439" w:rsidRPr="0069260A">
        <w:rPr>
          <w:rFonts w:ascii="Arial" w:hAnsi="Arial" w:cs="Arial"/>
          <w:sz w:val="22"/>
          <w:szCs w:val="22"/>
        </w:rPr>
        <w:t xml:space="preserve"> </w:t>
      </w:r>
      <w:r w:rsidR="007A5BE3" w:rsidRPr="0069260A">
        <w:rPr>
          <w:rFonts w:ascii="Arial" w:hAnsi="Arial" w:cs="Arial"/>
          <w:sz w:val="22"/>
          <w:szCs w:val="22"/>
        </w:rPr>
        <w:t xml:space="preserve">of </w:t>
      </w:r>
      <w:r w:rsidRPr="0069260A">
        <w:rPr>
          <w:rFonts w:ascii="Arial" w:hAnsi="Arial" w:cs="Arial"/>
          <w:sz w:val="22"/>
          <w:szCs w:val="22"/>
        </w:rPr>
        <w:t>imported tobacco products and processed tobacco on hand, received, and removed</w:t>
      </w:r>
      <w:r w:rsidR="007A5BE3" w:rsidRPr="0069260A">
        <w:rPr>
          <w:rFonts w:ascii="Arial" w:hAnsi="Arial" w:cs="Arial"/>
          <w:sz w:val="22"/>
          <w:szCs w:val="22"/>
        </w:rPr>
        <w:t xml:space="preserve">. </w:t>
      </w:r>
    </w:p>
    <w:p w14:paraId="63B0AAD8" w14:textId="77777777" w:rsidR="00400439" w:rsidRPr="0069260A" w:rsidRDefault="00400439" w:rsidP="0086538D">
      <w:pPr>
        <w:widowControl w:val="0"/>
        <w:autoSpaceDE w:val="0"/>
        <w:autoSpaceDN w:val="0"/>
        <w:adjustRightInd w:val="0"/>
        <w:ind w:left="360"/>
        <w:rPr>
          <w:rFonts w:ascii="Arial" w:hAnsi="Arial" w:cs="Arial"/>
          <w:sz w:val="22"/>
          <w:szCs w:val="22"/>
        </w:rPr>
      </w:pPr>
    </w:p>
    <w:p w14:paraId="0B970EFE" w14:textId="3523C1E9" w:rsidR="00400439" w:rsidRPr="0069260A" w:rsidRDefault="00400439"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In addition, </w:t>
      </w:r>
      <w:r w:rsidR="002C2ABB" w:rsidRPr="0069260A">
        <w:rPr>
          <w:rFonts w:ascii="Arial" w:hAnsi="Arial" w:cs="Arial"/>
          <w:sz w:val="22"/>
          <w:szCs w:val="22"/>
        </w:rPr>
        <w:t xml:space="preserve">pursuant to </w:t>
      </w:r>
      <w:r w:rsidRPr="0069260A">
        <w:rPr>
          <w:rFonts w:ascii="Arial" w:hAnsi="Arial" w:cs="Arial"/>
          <w:sz w:val="22"/>
          <w:szCs w:val="22"/>
        </w:rPr>
        <w:t>the IRC at 26 U.S.C. 5741</w:t>
      </w:r>
      <w:r w:rsidR="002C2ABB" w:rsidRPr="0069260A">
        <w:rPr>
          <w:rFonts w:ascii="Arial" w:hAnsi="Arial" w:cs="Arial"/>
          <w:sz w:val="22"/>
          <w:szCs w:val="22"/>
        </w:rPr>
        <w:t>, the TTB regulations require im</w:t>
      </w:r>
      <w:r w:rsidRPr="0069260A">
        <w:rPr>
          <w:rFonts w:ascii="Arial" w:hAnsi="Arial" w:cs="Arial"/>
          <w:sz w:val="22"/>
          <w:szCs w:val="22"/>
        </w:rPr>
        <w:t xml:space="preserve">porters of tobacco products and processed tobacco to maintain </w:t>
      </w:r>
      <w:r w:rsidR="002C2ABB" w:rsidRPr="0069260A">
        <w:rPr>
          <w:rFonts w:ascii="Arial" w:hAnsi="Arial" w:cs="Arial"/>
          <w:sz w:val="22"/>
          <w:szCs w:val="22"/>
        </w:rPr>
        <w:t xml:space="preserve">all </w:t>
      </w:r>
      <w:r w:rsidRPr="0069260A">
        <w:rPr>
          <w:rFonts w:ascii="Arial" w:hAnsi="Arial" w:cs="Arial"/>
          <w:sz w:val="22"/>
          <w:szCs w:val="22"/>
        </w:rPr>
        <w:t>records</w:t>
      </w:r>
      <w:r w:rsidR="002C2ABB" w:rsidRPr="0069260A">
        <w:rPr>
          <w:rFonts w:ascii="Arial" w:hAnsi="Arial" w:cs="Arial"/>
          <w:sz w:val="22"/>
          <w:szCs w:val="22"/>
        </w:rPr>
        <w:t>, reports, and other documents required by 27 CFR part 41</w:t>
      </w:r>
      <w:r w:rsidR="00390EB9" w:rsidRPr="0069260A">
        <w:rPr>
          <w:rFonts w:ascii="Arial" w:hAnsi="Arial" w:cs="Arial"/>
          <w:sz w:val="22"/>
          <w:szCs w:val="22"/>
        </w:rPr>
        <w:t>, which includes TTB F 5220.6</w:t>
      </w:r>
      <w:r w:rsidR="002C2ABB" w:rsidRPr="0069260A">
        <w:rPr>
          <w:rFonts w:ascii="Arial" w:hAnsi="Arial" w:cs="Arial"/>
          <w:sz w:val="22"/>
          <w:szCs w:val="22"/>
        </w:rPr>
        <w:t xml:space="preserve">.  Specifically, 27 CFR 41.208 requires </w:t>
      </w:r>
      <w:r w:rsidR="00390EB9" w:rsidRPr="0069260A">
        <w:rPr>
          <w:rFonts w:ascii="Arial" w:hAnsi="Arial" w:cs="Arial"/>
          <w:sz w:val="22"/>
          <w:szCs w:val="22"/>
        </w:rPr>
        <w:t>tobacco pr</w:t>
      </w:r>
      <w:r w:rsidR="0086538D" w:rsidRPr="0069260A">
        <w:rPr>
          <w:rFonts w:ascii="Arial" w:hAnsi="Arial" w:cs="Arial"/>
          <w:sz w:val="22"/>
          <w:szCs w:val="22"/>
        </w:rPr>
        <w:t>oduct importer</w:t>
      </w:r>
      <w:r w:rsidR="00703FF1" w:rsidRPr="0069260A">
        <w:rPr>
          <w:rFonts w:ascii="Arial" w:hAnsi="Arial" w:cs="Arial"/>
          <w:sz w:val="22"/>
          <w:szCs w:val="22"/>
        </w:rPr>
        <w:t>s</w:t>
      </w:r>
      <w:r w:rsidR="0086538D" w:rsidRPr="0069260A">
        <w:rPr>
          <w:rFonts w:ascii="Arial" w:hAnsi="Arial" w:cs="Arial"/>
          <w:sz w:val="22"/>
          <w:szCs w:val="22"/>
        </w:rPr>
        <w:t xml:space="preserve"> to maintain such reports </w:t>
      </w:r>
      <w:r w:rsidR="001432BB" w:rsidRPr="0069260A">
        <w:rPr>
          <w:rFonts w:ascii="Arial" w:hAnsi="Arial" w:cs="Arial"/>
          <w:sz w:val="22"/>
          <w:szCs w:val="22"/>
        </w:rPr>
        <w:t xml:space="preserve">chronologically by transaction or reporting date, at the importer's principal place of business </w:t>
      </w:r>
      <w:r w:rsidR="00390EB9" w:rsidRPr="0069260A">
        <w:rPr>
          <w:rFonts w:ascii="Arial" w:hAnsi="Arial" w:cs="Arial"/>
          <w:sz w:val="22"/>
          <w:szCs w:val="22"/>
        </w:rPr>
        <w:t xml:space="preserve">or other TTB-approved location, while 27 CFR 41.263 </w:t>
      </w:r>
      <w:r w:rsidR="001432BB" w:rsidRPr="0069260A">
        <w:rPr>
          <w:rFonts w:ascii="Arial" w:hAnsi="Arial" w:cs="Arial"/>
          <w:sz w:val="22"/>
          <w:szCs w:val="22"/>
        </w:rPr>
        <w:t xml:space="preserve">applies those requirements to </w:t>
      </w:r>
      <w:r w:rsidR="00390EB9" w:rsidRPr="0069260A">
        <w:rPr>
          <w:rFonts w:ascii="Arial" w:hAnsi="Arial" w:cs="Arial"/>
          <w:sz w:val="22"/>
          <w:szCs w:val="22"/>
        </w:rPr>
        <w:t xml:space="preserve">importers of processed tobacco. </w:t>
      </w:r>
    </w:p>
    <w:p w14:paraId="6A30803F" w14:textId="77777777" w:rsidR="0086538D" w:rsidRPr="0069260A" w:rsidRDefault="0086538D" w:rsidP="0086538D">
      <w:pPr>
        <w:widowControl w:val="0"/>
        <w:autoSpaceDE w:val="0"/>
        <w:autoSpaceDN w:val="0"/>
        <w:adjustRightInd w:val="0"/>
        <w:ind w:left="360"/>
        <w:rPr>
          <w:rFonts w:ascii="Arial" w:hAnsi="Arial" w:cs="Arial"/>
          <w:sz w:val="22"/>
          <w:szCs w:val="22"/>
        </w:rPr>
      </w:pPr>
    </w:p>
    <w:p w14:paraId="160691BA" w14:textId="37D2DEDD" w:rsidR="00400439" w:rsidRPr="0069260A" w:rsidRDefault="0086538D" w:rsidP="0086538D">
      <w:pPr>
        <w:widowControl w:val="0"/>
        <w:autoSpaceDE w:val="0"/>
        <w:autoSpaceDN w:val="0"/>
        <w:adjustRightInd w:val="0"/>
        <w:ind w:left="360"/>
        <w:rPr>
          <w:rFonts w:ascii="Arial" w:hAnsi="Arial" w:cs="Arial"/>
          <w:sz w:val="22"/>
          <w:szCs w:val="22"/>
        </w:rPr>
      </w:pPr>
      <w:r w:rsidRPr="0069260A">
        <w:rPr>
          <w:rFonts w:ascii="Arial" w:hAnsi="Arial" w:cs="Arial"/>
          <w:sz w:val="22"/>
          <w:szCs w:val="22"/>
        </w:rPr>
        <w:t xml:space="preserve">TTB requires the information provided on TTB F 5220.6 regarding </w:t>
      </w:r>
      <w:r w:rsidR="00400439" w:rsidRPr="0069260A">
        <w:rPr>
          <w:rFonts w:ascii="Arial" w:hAnsi="Arial" w:cs="Arial"/>
          <w:sz w:val="22"/>
          <w:szCs w:val="22"/>
        </w:rPr>
        <w:t xml:space="preserve">the importation and disposition of tobacco products and processed tobacco to determine whether </w:t>
      </w:r>
      <w:r w:rsidRPr="0069260A">
        <w:rPr>
          <w:rFonts w:ascii="Arial" w:hAnsi="Arial" w:cs="Arial"/>
          <w:sz w:val="22"/>
          <w:szCs w:val="22"/>
        </w:rPr>
        <w:t xml:space="preserve">persons </w:t>
      </w:r>
      <w:r w:rsidR="00400439" w:rsidRPr="0069260A">
        <w:rPr>
          <w:rFonts w:ascii="Arial" w:hAnsi="Arial" w:cs="Arial"/>
          <w:sz w:val="22"/>
          <w:szCs w:val="22"/>
        </w:rPr>
        <w:t xml:space="preserve">issued the permits required by 26 U.S.C. 5713 </w:t>
      </w:r>
      <w:r w:rsidR="001432BB" w:rsidRPr="0069260A">
        <w:rPr>
          <w:rFonts w:ascii="Arial" w:hAnsi="Arial" w:cs="Arial"/>
          <w:sz w:val="22"/>
          <w:szCs w:val="22"/>
        </w:rPr>
        <w:t>are operating in accordance with statutory and regulatory requirements and to ensure that appropriate taxes on such products are paid</w:t>
      </w:r>
      <w:r w:rsidR="00400439" w:rsidRPr="0069260A">
        <w:rPr>
          <w:rFonts w:ascii="Arial" w:hAnsi="Arial" w:cs="Arial"/>
          <w:sz w:val="22"/>
          <w:szCs w:val="22"/>
        </w:rPr>
        <w:t xml:space="preserve">. </w:t>
      </w:r>
    </w:p>
    <w:p w14:paraId="15114F1C" w14:textId="77777777" w:rsidR="00400439" w:rsidRPr="0069260A" w:rsidRDefault="00400439" w:rsidP="0086538D">
      <w:pPr>
        <w:widowControl w:val="0"/>
        <w:autoSpaceDE w:val="0"/>
        <w:autoSpaceDN w:val="0"/>
        <w:adjustRightInd w:val="0"/>
        <w:ind w:left="360"/>
        <w:rPr>
          <w:rFonts w:ascii="Arial" w:hAnsi="Arial" w:cs="Arial"/>
          <w:sz w:val="22"/>
          <w:szCs w:val="22"/>
        </w:rPr>
      </w:pPr>
    </w:p>
    <w:p w14:paraId="103369E3" w14:textId="77777777" w:rsidR="0069260A" w:rsidRDefault="0069260A">
      <w:pPr>
        <w:rPr>
          <w:rFonts w:ascii="Arial" w:hAnsi="Arial" w:cs="Arial"/>
          <w:sz w:val="22"/>
          <w:szCs w:val="22"/>
        </w:rPr>
      </w:pPr>
      <w:r>
        <w:rPr>
          <w:rFonts w:ascii="Arial" w:hAnsi="Arial" w:cs="Arial"/>
          <w:sz w:val="22"/>
          <w:szCs w:val="22"/>
        </w:rPr>
        <w:br w:type="page"/>
      </w:r>
    </w:p>
    <w:p w14:paraId="5359AA1C" w14:textId="46B7B1F9" w:rsidR="005E4F99" w:rsidRPr="0069260A" w:rsidRDefault="005E4F99" w:rsidP="004D086A">
      <w:pPr>
        <w:suppressAutoHyphens/>
        <w:ind w:left="360"/>
        <w:rPr>
          <w:rFonts w:ascii="Arial" w:hAnsi="Arial" w:cs="Arial"/>
          <w:sz w:val="22"/>
          <w:szCs w:val="22"/>
        </w:rPr>
      </w:pPr>
      <w:r w:rsidRPr="0069260A">
        <w:rPr>
          <w:rFonts w:ascii="Arial" w:hAnsi="Arial" w:cs="Arial"/>
          <w:sz w:val="22"/>
          <w:szCs w:val="22"/>
        </w:rPr>
        <w:lastRenderedPageBreak/>
        <w:t>This information collection is aligned with</w:t>
      </w:r>
      <w:r w:rsidR="00D73D2D" w:rsidRPr="0069260A">
        <w:rPr>
          <w:rFonts w:ascii="Arial" w:hAnsi="Arial" w:cs="Arial"/>
          <w:sz w:val="22"/>
          <w:szCs w:val="22"/>
        </w:rPr>
        <w:t xml:space="preserve"> –– </w:t>
      </w:r>
    </w:p>
    <w:p w14:paraId="31DFE743" w14:textId="77777777" w:rsidR="005E4F99" w:rsidRPr="0069260A" w:rsidRDefault="005E4F99" w:rsidP="002D15AB">
      <w:pPr>
        <w:numPr>
          <w:ilvl w:val="0"/>
          <w:numId w:val="1"/>
        </w:numPr>
        <w:tabs>
          <w:tab w:val="left" w:pos="1080"/>
        </w:tabs>
        <w:suppressAutoHyphens/>
        <w:spacing w:before="80"/>
        <w:ind w:left="1080"/>
        <w:rPr>
          <w:rFonts w:ascii="Arial" w:hAnsi="Arial" w:cs="Arial"/>
          <w:sz w:val="22"/>
          <w:szCs w:val="22"/>
        </w:rPr>
      </w:pPr>
      <w:r w:rsidRPr="0069260A">
        <w:rPr>
          <w:rFonts w:ascii="Arial" w:hAnsi="Arial" w:cs="Arial"/>
          <w:sz w:val="22"/>
          <w:szCs w:val="22"/>
        </w:rPr>
        <w:t>Line of Business/Sub-function:  Law Enforcement/Substance Control.</w:t>
      </w:r>
      <w:r w:rsidR="00D73D2D" w:rsidRPr="0069260A">
        <w:rPr>
          <w:rFonts w:ascii="Arial" w:hAnsi="Arial" w:cs="Arial"/>
          <w:sz w:val="22"/>
          <w:szCs w:val="22"/>
        </w:rPr>
        <w:t xml:space="preserve"> </w:t>
      </w:r>
    </w:p>
    <w:p w14:paraId="75B7CF2D" w14:textId="1881504A" w:rsidR="005E4F99" w:rsidRPr="0069260A" w:rsidRDefault="005E4F99" w:rsidP="002D15AB">
      <w:pPr>
        <w:numPr>
          <w:ilvl w:val="0"/>
          <w:numId w:val="1"/>
        </w:numPr>
        <w:tabs>
          <w:tab w:val="left" w:pos="1080"/>
        </w:tabs>
        <w:suppressAutoHyphens/>
        <w:spacing w:before="80"/>
        <w:ind w:left="1080"/>
        <w:rPr>
          <w:rFonts w:ascii="Arial" w:hAnsi="Arial" w:cs="Arial"/>
          <w:sz w:val="22"/>
          <w:szCs w:val="22"/>
        </w:rPr>
      </w:pPr>
      <w:r w:rsidRPr="0069260A">
        <w:rPr>
          <w:rFonts w:ascii="Arial" w:hAnsi="Arial" w:cs="Arial"/>
          <w:sz w:val="22"/>
          <w:szCs w:val="22"/>
        </w:rPr>
        <w:t xml:space="preserve">IT Investment:  </w:t>
      </w:r>
      <w:r w:rsidR="0067628F" w:rsidRPr="0067628F">
        <w:rPr>
          <w:rFonts w:ascii="Arial" w:hAnsi="Arial" w:cs="Arial"/>
          <w:sz w:val="22"/>
          <w:szCs w:val="22"/>
        </w:rPr>
        <w:t>Integrated Revenue Information System</w:t>
      </w:r>
      <w:r w:rsidR="003B459E" w:rsidRPr="0069260A">
        <w:rPr>
          <w:rFonts w:ascii="Arial" w:hAnsi="Arial" w:cs="Arial"/>
          <w:sz w:val="22"/>
          <w:szCs w:val="22"/>
        </w:rPr>
        <w:t xml:space="preserve">. </w:t>
      </w:r>
    </w:p>
    <w:p w14:paraId="2793E962" w14:textId="77777777" w:rsidR="005E4F99" w:rsidRPr="007A5D4B" w:rsidRDefault="005E4F99" w:rsidP="0067628F">
      <w:pPr>
        <w:tabs>
          <w:tab w:val="left" w:pos="1080"/>
        </w:tabs>
        <w:suppressAutoHyphens/>
        <w:ind w:left="1080" w:hanging="360"/>
        <w:rPr>
          <w:rFonts w:ascii="Arial" w:hAnsi="Arial" w:cs="Arial"/>
          <w:sz w:val="28"/>
          <w:szCs w:val="28"/>
        </w:rPr>
      </w:pPr>
    </w:p>
    <w:p w14:paraId="706D2E23"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78FF73E" w14:textId="77777777" w:rsidR="00AF1157" w:rsidRPr="007A5D4B" w:rsidRDefault="00AF1157" w:rsidP="00D73D2D">
      <w:pPr>
        <w:suppressAutoHyphens/>
        <w:ind w:left="480" w:hanging="480"/>
        <w:rPr>
          <w:rFonts w:ascii="Arial" w:hAnsi="Arial" w:cs="Arial"/>
          <w:sz w:val="22"/>
          <w:szCs w:val="22"/>
        </w:rPr>
      </w:pPr>
    </w:p>
    <w:p w14:paraId="2952D0EE" w14:textId="0E42247A" w:rsidR="00CF6206" w:rsidRPr="00CF6206" w:rsidRDefault="00CF6206" w:rsidP="00CF6206">
      <w:pPr>
        <w:ind w:left="360"/>
        <w:rPr>
          <w:rFonts w:ascii="Arial" w:hAnsi="Arial" w:cs="Arial"/>
          <w:sz w:val="22"/>
          <w:szCs w:val="22"/>
        </w:rPr>
      </w:pPr>
      <w:r w:rsidRPr="00CF6206">
        <w:rPr>
          <w:rFonts w:ascii="Arial" w:hAnsi="Arial" w:cs="Arial"/>
          <w:sz w:val="22"/>
          <w:szCs w:val="22"/>
        </w:rPr>
        <w:t xml:space="preserve">TTB uses this report as an accounting tool to protect the revenue.  </w:t>
      </w:r>
      <w:r w:rsidR="001432BB">
        <w:rPr>
          <w:rFonts w:ascii="Arial" w:hAnsi="Arial" w:cs="Arial"/>
          <w:sz w:val="22"/>
          <w:szCs w:val="22"/>
        </w:rPr>
        <w:t xml:space="preserve">Reporting of information on the </w:t>
      </w:r>
      <w:r w:rsidRPr="00CF6206">
        <w:rPr>
          <w:rFonts w:ascii="Arial" w:hAnsi="Arial" w:cs="Arial"/>
          <w:sz w:val="22"/>
          <w:szCs w:val="22"/>
        </w:rPr>
        <w:t xml:space="preserve">receipt and disposition </w:t>
      </w:r>
      <w:r w:rsidR="001432BB">
        <w:rPr>
          <w:rFonts w:ascii="Arial" w:hAnsi="Arial" w:cs="Arial"/>
          <w:sz w:val="22"/>
          <w:szCs w:val="22"/>
        </w:rPr>
        <w:t xml:space="preserve">of imported tobacco products and processed tobacco </w:t>
      </w:r>
      <w:r w:rsidRPr="00CF6206">
        <w:rPr>
          <w:rFonts w:ascii="Arial" w:hAnsi="Arial" w:cs="Arial"/>
          <w:sz w:val="22"/>
          <w:szCs w:val="22"/>
        </w:rPr>
        <w:t xml:space="preserve">are the basic source </w:t>
      </w:r>
      <w:r w:rsidR="001432BB">
        <w:rPr>
          <w:rFonts w:ascii="Arial" w:hAnsi="Arial" w:cs="Arial"/>
          <w:sz w:val="22"/>
          <w:szCs w:val="22"/>
        </w:rPr>
        <w:t>of information on</w:t>
      </w:r>
      <w:r w:rsidRPr="00CF6206">
        <w:rPr>
          <w:rFonts w:ascii="Arial" w:hAnsi="Arial" w:cs="Arial"/>
          <w:sz w:val="22"/>
          <w:szCs w:val="22"/>
        </w:rPr>
        <w:t xml:space="preserve"> the activities of importers of tobacco products and processed tobacco.  </w:t>
      </w:r>
      <w:r w:rsidR="001432BB">
        <w:rPr>
          <w:rFonts w:ascii="Arial" w:hAnsi="Arial" w:cs="Arial"/>
          <w:sz w:val="22"/>
          <w:szCs w:val="22"/>
        </w:rPr>
        <w:t xml:space="preserve">These reports also provide for tracking of processed tobacco, which is tobacco that is untaxed but intended for use in the making of taxable tobacco products.  Reports on its disposition assists TTB in determining whether the processed tobacco is transferred by the importer to non-permitted entities. </w:t>
      </w:r>
    </w:p>
    <w:p w14:paraId="5A8EEABC" w14:textId="68A761DE" w:rsidR="00AF1157" w:rsidRPr="007A5D4B" w:rsidRDefault="00AF1157" w:rsidP="00D73D2D">
      <w:pPr>
        <w:ind w:left="576" w:hanging="576"/>
        <w:rPr>
          <w:rFonts w:ascii="Arial" w:hAnsi="Arial" w:cs="Arial"/>
          <w:sz w:val="28"/>
          <w:szCs w:val="28"/>
        </w:rPr>
      </w:pPr>
    </w:p>
    <w:p w14:paraId="37D02642"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7588466" w14:textId="77777777" w:rsidR="00AF1157" w:rsidRPr="007A5D4B" w:rsidRDefault="00AF1157" w:rsidP="00D73D2D">
      <w:pPr>
        <w:suppressAutoHyphens/>
        <w:rPr>
          <w:rFonts w:ascii="Arial" w:hAnsi="Arial" w:cs="Arial"/>
          <w:sz w:val="22"/>
          <w:szCs w:val="22"/>
        </w:rPr>
      </w:pPr>
    </w:p>
    <w:p w14:paraId="5914D9C6" w14:textId="0804A085" w:rsidR="002A34D7" w:rsidRPr="002A34D7" w:rsidRDefault="002A34D7" w:rsidP="002A34D7">
      <w:pPr>
        <w:ind w:left="360"/>
        <w:rPr>
          <w:rFonts w:ascii="Arial" w:hAnsi="Arial" w:cs="Arial"/>
          <w:sz w:val="22"/>
          <w:szCs w:val="22"/>
        </w:rPr>
      </w:pPr>
      <w:r w:rsidRPr="002A34D7">
        <w:rPr>
          <w:rFonts w:ascii="Arial" w:hAnsi="Arial" w:cs="Arial"/>
          <w:sz w:val="22"/>
          <w:szCs w:val="22"/>
        </w:rPr>
        <w:t>TTB has approved and will continue to approve, on a case by case basis, the use of improved technology for the maintenance of required records.</w:t>
      </w:r>
      <w:r w:rsidR="002457DE">
        <w:rPr>
          <w:rFonts w:ascii="Arial" w:hAnsi="Arial" w:cs="Arial"/>
          <w:sz w:val="22"/>
          <w:szCs w:val="22"/>
        </w:rPr>
        <w:t xml:space="preserve"> </w:t>
      </w:r>
    </w:p>
    <w:p w14:paraId="0FF36FAD" w14:textId="77777777" w:rsidR="002A34D7" w:rsidRPr="002A34D7" w:rsidRDefault="002A34D7" w:rsidP="002A34D7">
      <w:pPr>
        <w:ind w:left="360"/>
        <w:rPr>
          <w:rFonts w:ascii="Arial" w:hAnsi="Arial" w:cs="Arial"/>
          <w:sz w:val="22"/>
          <w:szCs w:val="22"/>
        </w:rPr>
      </w:pPr>
    </w:p>
    <w:p w14:paraId="09100529" w14:textId="01D2ADE5" w:rsidR="002A34D7" w:rsidRPr="002A34D7" w:rsidRDefault="002A34D7" w:rsidP="002A34D7">
      <w:pPr>
        <w:ind w:left="360"/>
        <w:rPr>
          <w:rFonts w:ascii="Arial" w:hAnsi="Arial" w:cs="Arial"/>
          <w:sz w:val="22"/>
          <w:szCs w:val="22"/>
        </w:rPr>
      </w:pPr>
      <w:r w:rsidRPr="002A34D7">
        <w:rPr>
          <w:rFonts w:ascii="Arial" w:hAnsi="Arial" w:cs="Arial"/>
          <w:sz w:val="22"/>
          <w:szCs w:val="22"/>
        </w:rPr>
        <w:t xml:space="preserve">Currently, </w:t>
      </w:r>
      <w:r w:rsidR="00CC20E0">
        <w:rPr>
          <w:rFonts w:ascii="Arial" w:hAnsi="Arial" w:cs="Arial"/>
          <w:sz w:val="22"/>
          <w:szCs w:val="22"/>
        </w:rPr>
        <w:t>T</w:t>
      </w:r>
      <w:r w:rsidRPr="002A34D7">
        <w:rPr>
          <w:rFonts w:ascii="Arial" w:hAnsi="Arial" w:cs="Arial"/>
          <w:sz w:val="22"/>
          <w:szCs w:val="22"/>
        </w:rPr>
        <w:t xml:space="preserve">TB F 5220.6 </w:t>
      </w:r>
      <w:r w:rsidR="00CC20E0">
        <w:rPr>
          <w:rFonts w:ascii="Arial" w:hAnsi="Arial" w:cs="Arial"/>
          <w:sz w:val="22"/>
          <w:szCs w:val="22"/>
        </w:rPr>
        <w:t xml:space="preserve">may be uploaded and submitted to TTB via </w:t>
      </w:r>
      <w:r w:rsidRPr="002A34D7">
        <w:rPr>
          <w:rFonts w:ascii="Arial" w:hAnsi="Arial" w:cs="Arial"/>
          <w:sz w:val="22"/>
          <w:szCs w:val="22"/>
        </w:rPr>
        <w:t>the Pay.gov system (</w:t>
      </w:r>
      <w:r w:rsidR="00CC20E0">
        <w:rPr>
          <w:rFonts w:ascii="Arial" w:hAnsi="Arial" w:cs="Arial"/>
          <w:sz w:val="22"/>
          <w:szCs w:val="22"/>
        </w:rPr>
        <w:t xml:space="preserve">see </w:t>
      </w:r>
      <w:hyperlink r:id="rId11" w:history="1">
        <w:r w:rsidRPr="002A34D7">
          <w:rPr>
            <w:rStyle w:val="Hyperlink"/>
            <w:rFonts w:ascii="Arial" w:hAnsi="Arial" w:cs="Arial"/>
            <w:sz w:val="22"/>
            <w:szCs w:val="22"/>
          </w:rPr>
          <w:t>http://www.ttb.gov/epayment/epayment.shtml</w:t>
        </w:r>
      </w:hyperlink>
      <w:r w:rsidRPr="002A34D7">
        <w:rPr>
          <w:rFonts w:ascii="Arial" w:hAnsi="Arial" w:cs="Arial"/>
          <w:sz w:val="22"/>
          <w:szCs w:val="22"/>
        </w:rPr>
        <w:t xml:space="preserve">).  </w:t>
      </w:r>
      <w:r w:rsidR="00590D9C">
        <w:rPr>
          <w:rFonts w:ascii="Arial" w:hAnsi="Arial" w:cs="Arial"/>
          <w:sz w:val="22"/>
          <w:szCs w:val="22"/>
        </w:rPr>
        <w:t xml:space="preserve">TTB estimates that approximately 30 percent of all responses to this information collection are submitted via Pay.gov.  </w:t>
      </w:r>
      <w:r w:rsidRPr="002A34D7">
        <w:rPr>
          <w:rFonts w:ascii="Arial" w:hAnsi="Arial" w:cs="Arial"/>
          <w:sz w:val="22"/>
          <w:szCs w:val="22"/>
        </w:rPr>
        <w:t xml:space="preserve">A “fillable-printable” version of the form also is available on the TTB website at </w:t>
      </w:r>
      <w:hyperlink r:id="rId12" w:history="1">
        <w:r w:rsidRPr="002A34D7">
          <w:rPr>
            <w:rStyle w:val="Hyperlink"/>
            <w:rFonts w:ascii="Arial" w:hAnsi="Arial" w:cs="Arial"/>
            <w:sz w:val="22"/>
            <w:szCs w:val="22"/>
          </w:rPr>
          <w:t>http://www.ttb.gov/forms/5000.shtml</w:t>
        </w:r>
      </w:hyperlink>
      <w:r w:rsidRPr="002A34D7">
        <w:rPr>
          <w:rFonts w:ascii="Arial" w:hAnsi="Arial" w:cs="Arial"/>
          <w:sz w:val="22"/>
          <w:szCs w:val="22"/>
        </w:rPr>
        <w:t xml:space="preserve">. </w:t>
      </w:r>
    </w:p>
    <w:p w14:paraId="7A47ADCB" w14:textId="77777777" w:rsidR="00AF1157" w:rsidRPr="007A5D4B" w:rsidRDefault="00AF1157" w:rsidP="00D73D2D">
      <w:pPr>
        <w:suppressAutoHyphens/>
        <w:rPr>
          <w:rFonts w:ascii="Arial" w:hAnsi="Arial" w:cs="Arial"/>
          <w:sz w:val="28"/>
          <w:szCs w:val="28"/>
        </w:rPr>
      </w:pPr>
    </w:p>
    <w:p w14:paraId="2AE33A9C"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A4C41DE" w14:textId="77777777" w:rsidR="00AF1157" w:rsidRPr="007A5D4B" w:rsidRDefault="00AF1157" w:rsidP="00D73D2D">
      <w:pPr>
        <w:suppressAutoHyphens/>
        <w:ind w:left="480" w:hanging="480"/>
        <w:rPr>
          <w:rFonts w:ascii="Arial" w:hAnsi="Arial" w:cs="Arial"/>
          <w:sz w:val="22"/>
          <w:szCs w:val="22"/>
        </w:rPr>
      </w:pPr>
    </w:p>
    <w:p w14:paraId="3C1FECCC" w14:textId="4B5A841F" w:rsidR="00DE1D31" w:rsidRPr="00DE1D31" w:rsidRDefault="00DE1D31" w:rsidP="00DE1D31">
      <w:pPr>
        <w:ind w:left="360"/>
        <w:rPr>
          <w:rFonts w:ascii="Arial" w:hAnsi="Arial" w:cs="Arial"/>
          <w:sz w:val="22"/>
          <w:szCs w:val="22"/>
        </w:rPr>
      </w:pPr>
      <w:r w:rsidRPr="00DE1D31">
        <w:rPr>
          <w:rFonts w:ascii="Arial" w:hAnsi="Arial" w:cs="Arial"/>
          <w:sz w:val="22"/>
          <w:szCs w:val="22"/>
        </w:rPr>
        <w:t>Th</w:t>
      </w:r>
      <w:r>
        <w:rPr>
          <w:rFonts w:ascii="Arial" w:hAnsi="Arial" w:cs="Arial"/>
          <w:sz w:val="22"/>
          <w:szCs w:val="22"/>
        </w:rPr>
        <w:t>is</w:t>
      </w:r>
      <w:r w:rsidRPr="00DE1D31">
        <w:rPr>
          <w:rFonts w:ascii="Arial" w:hAnsi="Arial" w:cs="Arial"/>
          <w:sz w:val="22"/>
          <w:szCs w:val="22"/>
        </w:rPr>
        <w:t xml:space="preserve"> information collection request requires reports that are pertinent to each importer’s specific operation</w:t>
      </w:r>
      <w:r>
        <w:rPr>
          <w:rFonts w:ascii="Arial" w:hAnsi="Arial" w:cs="Arial"/>
          <w:sz w:val="22"/>
          <w:szCs w:val="22"/>
        </w:rPr>
        <w:t>s</w:t>
      </w:r>
      <w:r w:rsidRPr="00DE1D31">
        <w:rPr>
          <w:rFonts w:ascii="Arial" w:hAnsi="Arial" w:cs="Arial"/>
          <w:sz w:val="22"/>
          <w:szCs w:val="22"/>
        </w:rPr>
        <w:t>.  As far as we can determine, similar information is not available elsewhere.</w:t>
      </w:r>
      <w:r>
        <w:rPr>
          <w:rFonts w:ascii="Arial" w:hAnsi="Arial" w:cs="Arial"/>
          <w:sz w:val="22"/>
          <w:szCs w:val="22"/>
        </w:rPr>
        <w:t xml:space="preserve"> </w:t>
      </w:r>
    </w:p>
    <w:p w14:paraId="19E79A42" w14:textId="77777777" w:rsidR="007A5D4B" w:rsidRPr="007A5D4B" w:rsidRDefault="007A5D4B" w:rsidP="007A5D4B">
      <w:pPr>
        <w:suppressAutoHyphens/>
        <w:rPr>
          <w:rFonts w:ascii="Arial" w:hAnsi="Arial" w:cs="Arial"/>
          <w:sz w:val="28"/>
          <w:szCs w:val="28"/>
        </w:rPr>
      </w:pPr>
    </w:p>
    <w:p w14:paraId="6515955D"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8100441" w14:textId="77777777" w:rsidR="007A5D4B" w:rsidRPr="007A5D4B" w:rsidRDefault="007A5D4B" w:rsidP="007A5D4B">
      <w:pPr>
        <w:suppressAutoHyphens/>
        <w:ind w:left="480" w:hanging="480"/>
        <w:rPr>
          <w:rFonts w:ascii="Arial" w:hAnsi="Arial" w:cs="Arial"/>
          <w:sz w:val="22"/>
          <w:szCs w:val="22"/>
        </w:rPr>
      </w:pPr>
    </w:p>
    <w:p w14:paraId="697FE191" w14:textId="13AE41EF" w:rsidR="007A5D4B" w:rsidRPr="007A5D4B" w:rsidRDefault="00DE1D31" w:rsidP="004D086A">
      <w:pPr>
        <w:ind w:left="360"/>
        <w:rPr>
          <w:rFonts w:ascii="Arial" w:hAnsi="Arial" w:cs="Arial"/>
          <w:sz w:val="22"/>
          <w:szCs w:val="22"/>
        </w:rPr>
      </w:pPr>
      <w:r w:rsidRPr="00DE1D31">
        <w:rPr>
          <w:rFonts w:ascii="Arial" w:hAnsi="Arial" w:cs="Arial"/>
          <w:sz w:val="22"/>
          <w:szCs w:val="22"/>
        </w:rPr>
        <w:t xml:space="preserve">The preparation </w:t>
      </w:r>
      <w:r w:rsidR="00C6577E">
        <w:rPr>
          <w:rFonts w:ascii="Arial" w:hAnsi="Arial" w:cs="Arial"/>
          <w:sz w:val="22"/>
          <w:szCs w:val="22"/>
        </w:rPr>
        <w:t xml:space="preserve">and submission </w:t>
      </w:r>
      <w:r w:rsidRPr="00DE1D31">
        <w:rPr>
          <w:rFonts w:ascii="Arial" w:hAnsi="Arial" w:cs="Arial"/>
          <w:sz w:val="22"/>
          <w:szCs w:val="22"/>
        </w:rPr>
        <w:t xml:space="preserve">of reports of </w:t>
      </w:r>
      <w:r w:rsidR="00C6577E">
        <w:rPr>
          <w:rFonts w:ascii="Arial" w:hAnsi="Arial" w:cs="Arial"/>
          <w:sz w:val="22"/>
          <w:szCs w:val="22"/>
        </w:rPr>
        <w:t xml:space="preserve">on the disposition of imported </w:t>
      </w:r>
      <w:r w:rsidRPr="00DE1D31">
        <w:rPr>
          <w:rFonts w:ascii="Arial" w:hAnsi="Arial" w:cs="Arial"/>
          <w:sz w:val="22"/>
          <w:szCs w:val="22"/>
        </w:rPr>
        <w:t>tobacco products and processed tobacco</w:t>
      </w:r>
      <w:r w:rsidR="00C6577E">
        <w:rPr>
          <w:rFonts w:ascii="Arial" w:hAnsi="Arial" w:cs="Arial"/>
          <w:sz w:val="22"/>
          <w:szCs w:val="22"/>
        </w:rPr>
        <w:t xml:space="preserve"> are necessary to identify noncompliant or illegal activity</w:t>
      </w:r>
      <w:r w:rsidR="00F811F4">
        <w:rPr>
          <w:rFonts w:ascii="Arial" w:hAnsi="Arial" w:cs="Arial"/>
          <w:sz w:val="22"/>
          <w:szCs w:val="22"/>
        </w:rPr>
        <w:t>,</w:t>
      </w:r>
      <w:r w:rsidR="00C6577E">
        <w:rPr>
          <w:rFonts w:ascii="Arial" w:hAnsi="Arial" w:cs="Arial"/>
          <w:sz w:val="22"/>
          <w:szCs w:val="22"/>
        </w:rPr>
        <w:t xml:space="preserve"> and the </w:t>
      </w:r>
      <w:r w:rsidRPr="00DE1D31">
        <w:rPr>
          <w:rFonts w:ascii="Arial" w:hAnsi="Arial" w:cs="Arial"/>
          <w:sz w:val="22"/>
          <w:szCs w:val="22"/>
        </w:rPr>
        <w:t xml:space="preserve">requirement </w:t>
      </w:r>
      <w:r w:rsidR="00C6577E">
        <w:rPr>
          <w:rFonts w:ascii="Arial" w:hAnsi="Arial" w:cs="Arial"/>
          <w:sz w:val="22"/>
          <w:szCs w:val="22"/>
        </w:rPr>
        <w:t xml:space="preserve">cannot be reduced </w:t>
      </w:r>
      <w:r w:rsidRPr="00DE1D31">
        <w:rPr>
          <w:rFonts w:ascii="Arial" w:hAnsi="Arial" w:cs="Arial"/>
          <w:sz w:val="22"/>
          <w:szCs w:val="22"/>
        </w:rPr>
        <w:t xml:space="preserve">on the basis of the size of the entity.  Although no special provisions are made for the size of the entity, smaller importers of tobacco products or processed tobacco have to gather less source records from which to provide the information required in this report. </w:t>
      </w:r>
    </w:p>
    <w:p w14:paraId="69FD5B1A" w14:textId="77777777" w:rsidR="007A5D4B" w:rsidRPr="007A5D4B" w:rsidRDefault="007A5D4B" w:rsidP="007A5D4B">
      <w:pPr>
        <w:suppressAutoHyphens/>
        <w:rPr>
          <w:rFonts w:ascii="Arial" w:hAnsi="Arial" w:cs="Arial"/>
          <w:sz w:val="28"/>
          <w:szCs w:val="28"/>
        </w:rPr>
      </w:pPr>
    </w:p>
    <w:p w14:paraId="49210D01" w14:textId="77777777" w:rsidR="00F811F4" w:rsidRDefault="00F811F4">
      <w:pPr>
        <w:rPr>
          <w:rFonts w:ascii="Arial" w:hAnsi="Arial" w:cs="Arial"/>
          <w:i/>
          <w:sz w:val="22"/>
          <w:szCs w:val="22"/>
        </w:rPr>
      </w:pPr>
      <w:r>
        <w:rPr>
          <w:rFonts w:ascii="Arial" w:hAnsi="Arial" w:cs="Arial"/>
          <w:i/>
          <w:sz w:val="22"/>
          <w:szCs w:val="22"/>
        </w:rPr>
        <w:br w:type="page"/>
      </w:r>
    </w:p>
    <w:p w14:paraId="379CF612" w14:textId="1F24280C"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B98F386" w14:textId="77777777" w:rsidR="00AF1157" w:rsidRPr="007A5D4B" w:rsidRDefault="00AF1157" w:rsidP="00D73D2D">
      <w:pPr>
        <w:suppressAutoHyphens/>
        <w:ind w:left="480" w:hanging="480"/>
        <w:rPr>
          <w:rFonts w:ascii="Arial" w:hAnsi="Arial" w:cs="Arial"/>
          <w:sz w:val="22"/>
          <w:szCs w:val="22"/>
        </w:rPr>
      </w:pPr>
    </w:p>
    <w:p w14:paraId="55C30D22" w14:textId="7FB566AA" w:rsidR="007A5D4B" w:rsidRPr="007A5D4B" w:rsidRDefault="00DE1D31" w:rsidP="004D086A">
      <w:pPr>
        <w:ind w:left="360"/>
        <w:rPr>
          <w:rFonts w:ascii="Arial" w:hAnsi="Arial" w:cs="Arial"/>
          <w:sz w:val="22"/>
          <w:szCs w:val="22"/>
        </w:rPr>
      </w:pPr>
      <w:r w:rsidRPr="00DE1D31">
        <w:rPr>
          <w:rFonts w:ascii="Arial" w:hAnsi="Arial" w:cs="Arial"/>
          <w:sz w:val="22"/>
          <w:szCs w:val="22"/>
        </w:rPr>
        <w:t xml:space="preserve">Without the information required in this collection of information, TTB would be severely hampered in determining whether these </w:t>
      </w:r>
      <w:r>
        <w:rPr>
          <w:rFonts w:ascii="Arial" w:hAnsi="Arial" w:cs="Arial"/>
          <w:sz w:val="22"/>
          <w:szCs w:val="22"/>
        </w:rPr>
        <w:t>commodities are</w:t>
      </w:r>
      <w:r w:rsidRPr="00DE1D31">
        <w:rPr>
          <w:rFonts w:ascii="Arial" w:hAnsi="Arial" w:cs="Arial"/>
          <w:sz w:val="22"/>
          <w:szCs w:val="22"/>
        </w:rPr>
        <w:t xml:space="preserve"> being illegally diverted</w:t>
      </w:r>
      <w:r>
        <w:rPr>
          <w:rFonts w:ascii="Arial" w:hAnsi="Arial" w:cs="Arial"/>
          <w:sz w:val="22"/>
          <w:szCs w:val="22"/>
        </w:rPr>
        <w:t xml:space="preserve">.  </w:t>
      </w:r>
      <w:r w:rsidRPr="00DE1D31">
        <w:rPr>
          <w:rFonts w:ascii="Arial" w:hAnsi="Arial" w:cs="Arial"/>
          <w:sz w:val="22"/>
          <w:szCs w:val="22"/>
        </w:rPr>
        <w:t xml:space="preserve">Not collecting this information or less frequent collection of this information would pose jeopardy to the revenue. </w:t>
      </w:r>
    </w:p>
    <w:p w14:paraId="36DBA6B2" w14:textId="77777777" w:rsidR="007A5D4B" w:rsidRPr="007A5D4B" w:rsidRDefault="007A5D4B" w:rsidP="007A5D4B">
      <w:pPr>
        <w:suppressAutoHyphens/>
        <w:rPr>
          <w:rFonts w:ascii="Arial" w:hAnsi="Arial" w:cs="Arial"/>
          <w:sz w:val="28"/>
          <w:szCs w:val="28"/>
        </w:rPr>
      </w:pPr>
    </w:p>
    <w:p w14:paraId="2396D03C"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BBF51E8" w14:textId="77777777" w:rsidR="00101DE7" w:rsidRPr="007A5D4B" w:rsidRDefault="00101DE7" w:rsidP="00D73D2D">
      <w:pPr>
        <w:rPr>
          <w:rFonts w:ascii="Arial" w:hAnsi="Arial" w:cs="Arial"/>
          <w:sz w:val="22"/>
          <w:szCs w:val="22"/>
        </w:rPr>
      </w:pPr>
    </w:p>
    <w:p w14:paraId="25B60F65" w14:textId="774A77CD" w:rsidR="00EC4FC3" w:rsidRPr="007A5D4B" w:rsidRDefault="001C1367" w:rsidP="004D086A">
      <w:pPr>
        <w:ind w:left="360"/>
        <w:rPr>
          <w:rFonts w:ascii="Arial" w:hAnsi="Arial" w:cs="Arial"/>
          <w:sz w:val="22"/>
          <w:szCs w:val="22"/>
        </w:rPr>
      </w:pPr>
      <w:r w:rsidRPr="001C1367">
        <w:rPr>
          <w:rFonts w:ascii="Arial" w:hAnsi="Arial" w:cs="Arial"/>
          <w:sz w:val="22"/>
          <w:szCs w:val="22"/>
        </w:rPr>
        <w:t xml:space="preserve">The TTB regulations require importers of tobacco products and importers of processed tobacco to file TTB F 5220.6 on a monthly basis.  TTB believes this frequency of reporting is necessary to </w:t>
      </w:r>
      <w:r w:rsidR="00C6577E">
        <w:rPr>
          <w:rFonts w:ascii="Arial" w:hAnsi="Arial" w:cs="Arial"/>
          <w:sz w:val="22"/>
          <w:szCs w:val="22"/>
        </w:rPr>
        <w:t xml:space="preserve">identify noncompliant activity or </w:t>
      </w:r>
      <w:r w:rsidRPr="001C1367">
        <w:rPr>
          <w:rFonts w:ascii="Arial" w:hAnsi="Arial" w:cs="Arial"/>
          <w:sz w:val="22"/>
          <w:szCs w:val="22"/>
        </w:rPr>
        <w:t>diversion of tobacco products and processed tobacco in a timely fashion</w:t>
      </w:r>
      <w:r>
        <w:rPr>
          <w:rFonts w:ascii="Arial" w:hAnsi="Arial" w:cs="Arial"/>
          <w:sz w:val="22"/>
          <w:szCs w:val="22"/>
        </w:rPr>
        <w:t xml:space="preserve">, thereby protecting </w:t>
      </w:r>
      <w:r w:rsidRPr="001C1367">
        <w:rPr>
          <w:rFonts w:ascii="Arial" w:hAnsi="Arial" w:cs="Arial"/>
          <w:sz w:val="22"/>
          <w:szCs w:val="22"/>
        </w:rPr>
        <w:t xml:space="preserve">the revenue. </w:t>
      </w:r>
    </w:p>
    <w:p w14:paraId="54794E90" w14:textId="77777777" w:rsidR="00EC4FC3" w:rsidRPr="007A5D4B" w:rsidRDefault="00EC4FC3" w:rsidP="00D73D2D">
      <w:pPr>
        <w:rPr>
          <w:rFonts w:ascii="Arial" w:hAnsi="Arial" w:cs="Arial"/>
          <w:sz w:val="28"/>
          <w:szCs w:val="28"/>
        </w:rPr>
      </w:pPr>
    </w:p>
    <w:p w14:paraId="4CC7BEFB"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5F686C4" w14:textId="77777777" w:rsidR="005C282B" w:rsidRPr="007A5D4B" w:rsidRDefault="005C282B" w:rsidP="00D73D2D">
      <w:pPr>
        <w:suppressAutoHyphens/>
        <w:ind w:left="480" w:hanging="480"/>
        <w:rPr>
          <w:rFonts w:ascii="Arial" w:hAnsi="Arial" w:cs="Arial"/>
          <w:sz w:val="22"/>
          <w:szCs w:val="22"/>
        </w:rPr>
      </w:pPr>
    </w:p>
    <w:p w14:paraId="7D9CD009" w14:textId="636608B2" w:rsidR="00734B25" w:rsidRPr="007A5D4B" w:rsidRDefault="001C1367" w:rsidP="006F7E67">
      <w:pPr>
        <w:ind w:left="360"/>
        <w:rPr>
          <w:rFonts w:ascii="Arial" w:hAnsi="Arial" w:cs="Arial"/>
          <w:sz w:val="22"/>
          <w:szCs w:val="22"/>
        </w:rPr>
      </w:pPr>
      <w:r w:rsidRPr="001C1367">
        <w:rPr>
          <w:rFonts w:ascii="Arial" w:hAnsi="Arial" w:cs="Arial"/>
          <w:sz w:val="22"/>
          <w:szCs w:val="22"/>
        </w:rPr>
        <w:t>To solicit comments from the general public, TTB published a “60-day” comment request notice for this information collection in the Federal Register on Friday, April 24, 2015, at 80 FR 23071.  TTB received one comment in response</w:t>
      </w:r>
      <w:r>
        <w:rPr>
          <w:rFonts w:ascii="Arial" w:hAnsi="Arial" w:cs="Arial"/>
          <w:sz w:val="22"/>
          <w:szCs w:val="22"/>
        </w:rPr>
        <w:t xml:space="preserve"> </w:t>
      </w:r>
      <w:r w:rsidR="006F7E67">
        <w:rPr>
          <w:rFonts w:ascii="Arial" w:hAnsi="Arial" w:cs="Arial"/>
          <w:sz w:val="22"/>
          <w:szCs w:val="22"/>
        </w:rPr>
        <w:t xml:space="preserve">to this notice, </w:t>
      </w:r>
      <w:r>
        <w:rPr>
          <w:rFonts w:ascii="Arial" w:hAnsi="Arial" w:cs="Arial"/>
          <w:sz w:val="22"/>
          <w:szCs w:val="22"/>
        </w:rPr>
        <w:t>from the Bureau of Economic Analysis</w:t>
      </w:r>
      <w:r w:rsidR="006F7E67">
        <w:rPr>
          <w:rFonts w:ascii="Arial" w:hAnsi="Arial" w:cs="Arial"/>
          <w:sz w:val="22"/>
          <w:szCs w:val="22"/>
        </w:rPr>
        <w:t xml:space="preserve"> (BEA)</w:t>
      </w:r>
      <w:r>
        <w:rPr>
          <w:rFonts w:ascii="Arial" w:hAnsi="Arial" w:cs="Arial"/>
          <w:sz w:val="22"/>
          <w:szCs w:val="22"/>
        </w:rPr>
        <w:t>, Department of Commerce</w:t>
      </w:r>
      <w:r w:rsidR="006F7E67">
        <w:rPr>
          <w:rFonts w:ascii="Arial" w:hAnsi="Arial" w:cs="Arial"/>
          <w:sz w:val="22"/>
          <w:szCs w:val="22"/>
        </w:rPr>
        <w:t xml:space="preserve">.  In its comment, BEA stated that it “strongly </w:t>
      </w:r>
      <w:r w:rsidR="006F7E67" w:rsidRPr="006F7E67">
        <w:rPr>
          <w:rFonts w:ascii="Arial" w:hAnsi="Arial" w:cs="Arial"/>
          <w:sz w:val="22"/>
          <w:szCs w:val="22"/>
        </w:rPr>
        <w:t>supports the continued collection of data by</w:t>
      </w:r>
      <w:r w:rsidR="006F7E67">
        <w:rPr>
          <w:rFonts w:ascii="Arial" w:hAnsi="Arial" w:cs="Arial"/>
          <w:sz w:val="22"/>
          <w:szCs w:val="22"/>
        </w:rPr>
        <w:t xml:space="preserve"> </w:t>
      </w:r>
      <w:r w:rsidR="006F7E67" w:rsidRPr="006F7E67">
        <w:rPr>
          <w:rFonts w:ascii="Arial" w:hAnsi="Arial" w:cs="Arial"/>
          <w:sz w:val="22"/>
          <w:szCs w:val="22"/>
        </w:rPr>
        <w:t>the Alcohol and Tobacco Tax and Trade Bureau on Form 5220.6, Monthly Report- Importer of</w:t>
      </w:r>
      <w:r w:rsidR="006F7E67">
        <w:rPr>
          <w:rFonts w:ascii="Arial" w:hAnsi="Arial" w:cs="Arial"/>
          <w:sz w:val="22"/>
          <w:szCs w:val="22"/>
        </w:rPr>
        <w:t xml:space="preserve"> </w:t>
      </w:r>
      <w:r w:rsidR="006F7E67" w:rsidRPr="006F7E67">
        <w:rPr>
          <w:rFonts w:ascii="Arial" w:hAnsi="Arial" w:cs="Arial"/>
          <w:sz w:val="22"/>
          <w:szCs w:val="22"/>
        </w:rPr>
        <w:t>Tobacco Products or Processed Tobacco</w:t>
      </w:r>
      <w:r w:rsidR="00F747E9">
        <w:rPr>
          <w:rFonts w:ascii="Arial" w:hAnsi="Arial" w:cs="Arial"/>
          <w:sz w:val="22"/>
          <w:szCs w:val="22"/>
        </w:rPr>
        <w:t>.</w:t>
      </w:r>
      <w:r w:rsidR="006F7E67">
        <w:rPr>
          <w:rFonts w:ascii="Arial" w:hAnsi="Arial" w:cs="Arial"/>
          <w:sz w:val="22"/>
          <w:szCs w:val="22"/>
        </w:rPr>
        <w:t xml:space="preserve">” </w:t>
      </w:r>
      <w:r w:rsidR="00F747E9">
        <w:rPr>
          <w:rFonts w:ascii="Arial" w:hAnsi="Arial" w:cs="Arial"/>
          <w:sz w:val="22"/>
          <w:szCs w:val="22"/>
        </w:rPr>
        <w:t xml:space="preserve"> BEA states that it u</w:t>
      </w:r>
      <w:r w:rsidR="006F7E67">
        <w:rPr>
          <w:rFonts w:ascii="Arial" w:hAnsi="Arial" w:cs="Arial"/>
          <w:sz w:val="22"/>
          <w:szCs w:val="22"/>
        </w:rPr>
        <w:t>ses the collected data to “</w:t>
      </w:r>
      <w:r w:rsidR="006F7E67" w:rsidRPr="006F7E67">
        <w:rPr>
          <w:rFonts w:ascii="Arial" w:hAnsi="Arial" w:cs="Arial"/>
          <w:sz w:val="22"/>
          <w:szCs w:val="22"/>
        </w:rPr>
        <w:t>to estimate monthly personal consumption expenditures</w:t>
      </w:r>
      <w:r w:rsidR="006F7E67">
        <w:rPr>
          <w:rFonts w:ascii="Arial" w:hAnsi="Arial" w:cs="Arial"/>
          <w:sz w:val="22"/>
          <w:szCs w:val="22"/>
        </w:rPr>
        <w:t xml:space="preserve">” on tobacco as part of its estimate </w:t>
      </w:r>
      <w:r w:rsidR="006F7E67" w:rsidRPr="006F7E67">
        <w:rPr>
          <w:rFonts w:ascii="Arial" w:hAnsi="Arial" w:cs="Arial"/>
          <w:sz w:val="22"/>
          <w:szCs w:val="22"/>
        </w:rPr>
        <w:t xml:space="preserve">expenditures in the national income and product accounts. </w:t>
      </w:r>
      <w:r w:rsidR="006F7E67">
        <w:rPr>
          <w:rFonts w:ascii="Arial" w:hAnsi="Arial" w:cs="Arial"/>
          <w:sz w:val="22"/>
          <w:szCs w:val="22"/>
        </w:rPr>
        <w:t xml:space="preserve"> In response, TTB notes that it has no plans </w:t>
      </w:r>
      <w:r w:rsidR="00C6577E">
        <w:rPr>
          <w:rFonts w:ascii="Arial" w:hAnsi="Arial" w:cs="Arial"/>
          <w:sz w:val="22"/>
          <w:szCs w:val="22"/>
        </w:rPr>
        <w:t xml:space="preserve">at this time </w:t>
      </w:r>
      <w:r w:rsidR="006F7E67">
        <w:rPr>
          <w:rFonts w:ascii="Arial" w:hAnsi="Arial" w:cs="Arial"/>
          <w:sz w:val="22"/>
          <w:szCs w:val="22"/>
        </w:rPr>
        <w:t xml:space="preserve">to discontinue the collection of information on TTB F 5220.6. </w:t>
      </w:r>
    </w:p>
    <w:p w14:paraId="03E5EA60" w14:textId="77777777" w:rsidR="00734B25" w:rsidRPr="00D656EA" w:rsidRDefault="00734B25" w:rsidP="00D73D2D">
      <w:pPr>
        <w:suppressAutoHyphens/>
        <w:rPr>
          <w:rFonts w:ascii="Arial" w:hAnsi="Arial" w:cs="Arial"/>
          <w:sz w:val="28"/>
          <w:szCs w:val="28"/>
        </w:rPr>
      </w:pPr>
    </w:p>
    <w:p w14:paraId="265D1727"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C4E086F" w14:textId="77777777" w:rsidR="00EC4FC3" w:rsidRPr="007A5D4B" w:rsidRDefault="00EC4FC3" w:rsidP="00D73D2D">
      <w:pPr>
        <w:suppressAutoHyphens/>
        <w:rPr>
          <w:rFonts w:ascii="Arial" w:hAnsi="Arial" w:cs="Arial"/>
          <w:sz w:val="22"/>
          <w:szCs w:val="22"/>
        </w:rPr>
      </w:pPr>
    </w:p>
    <w:p w14:paraId="38A67F4A" w14:textId="77777777" w:rsidR="00EC4FC3" w:rsidRPr="007A5D4B" w:rsidRDefault="00EC4FC3" w:rsidP="004D086A">
      <w:pPr>
        <w:suppressAutoHyphens/>
        <w:ind w:left="360"/>
        <w:rPr>
          <w:rFonts w:ascii="Arial" w:hAnsi="Arial" w:cs="Arial"/>
          <w:sz w:val="22"/>
          <w:szCs w:val="22"/>
        </w:rPr>
      </w:pPr>
      <w:r w:rsidRPr="002A34D7">
        <w:rPr>
          <w:rFonts w:ascii="Arial" w:hAnsi="Arial" w:cs="Arial"/>
          <w:sz w:val="22"/>
          <w:szCs w:val="22"/>
        </w:rPr>
        <w:t>No payment or gift is associated with this collection.</w:t>
      </w:r>
      <w:r w:rsidR="00D656EA">
        <w:rPr>
          <w:rFonts w:ascii="Arial" w:hAnsi="Arial" w:cs="Arial"/>
          <w:sz w:val="22"/>
          <w:szCs w:val="22"/>
        </w:rPr>
        <w:t xml:space="preserve"> </w:t>
      </w:r>
    </w:p>
    <w:p w14:paraId="666E021D" w14:textId="77777777" w:rsidR="00EC4FC3" w:rsidRPr="00D656EA" w:rsidRDefault="00EC4FC3" w:rsidP="00D73D2D">
      <w:pPr>
        <w:suppressAutoHyphens/>
        <w:rPr>
          <w:rFonts w:ascii="Arial" w:hAnsi="Arial" w:cs="Arial"/>
          <w:sz w:val="28"/>
          <w:szCs w:val="28"/>
        </w:rPr>
      </w:pPr>
    </w:p>
    <w:p w14:paraId="2553F046" w14:textId="77777777" w:rsidR="00EC4FC3" w:rsidRPr="00D656EA" w:rsidRDefault="00D656EA" w:rsidP="00D73D2D">
      <w:pPr>
        <w:suppressAutoHyphens/>
        <w:rPr>
          <w:rFonts w:ascii="Arial" w:hAnsi="Arial" w:cs="Arial"/>
          <w:i/>
          <w:sz w:val="22"/>
          <w:szCs w:val="22"/>
        </w:rPr>
      </w:pPr>
      <w:r w:rsidRPr="00CC20E0">
        <w:rPr>
          <w:rFonts w:ascii="Arial" w:hAnsi="Arial" w:cs="Arial"/>
          <w:i/>
          <w:sz w:val="22"/>
          <w:szCs w:val="22"/>
        </w:rPr>
        <w:t>10.</w:t>
      </w:r>
      <w:r w:rsidR="00EC4FC3" w:rsidRPr="00CC20E0">
        <w:rPr>
          <w:rFonts w:ascii="Arial" w:hAnsi="Arial" w:cs="Arial"/>
          <w:i/>
          <w:sz w:val="22"/>
          <w:szCs w:val="22"/>
        </w:rPr>
        <w:t xml:space="preserve">  What assurance of confidentiality was provided to respondents</w:t>
      </w:r>
      <w:r w:rsidRPr="00CC20E0">
        <w:rPr>
          <w:rFonts w:ascii="Arial" w:hAnsi="Arial" w:cs="Arial"/>
          <w:i/>
          <w:sz w:val="22"/>
          <w:szCs w:val="22"/>
        </w:rPr>
        <w:t>,</w:t>
      </w:r>
      <w:r w:rsidR="00EC4FC3" w:rsidRPr="00CC20E0">
        <w:rPr>
          <w:rFonts w:ascii="Arial" w:hAnsi="Arial" w:cs="Arial"/>
          <w:i/>
          <w:sz w:val="22"/>
          <w:szCs w:val="22"/>
        </w:rPr>
        <w:t xml:space="preserve"> and what was the basis for the assurance in statute, regulations,</w:t>
      </w:r>
      <w:r w:rsidR="00734B25" w:rsidRPr="00CC20E0">
        <w:rPr>
          <w:rFonts w:ascii="Arial" w:hAnsi="Arial" w:cs="Arial"/>
          <w:i/>
          <w:sz w:val="22"/>
          <w:szCs w:val="22"/>
        </w:rPr>
        <w:t xml:space="preserve"> </w:t>
      </w:r>
      <w:r w:rsidR="00EC4FC3" w:rsidRPr="00CC20E0">
        <w:rPr>
          <w:rFonts w:ascii="Arial" w:hAnsi="Arial" w:cs="Arial"/>
          <w:i/>
          <w:sz w:val="22"/>
          <w:szCs w:val="22"/>
        </w:rPr>
        <w:t>or agency policy?</w:t>
      </w:r>
      <w:r>
        <w:rPr>
          <w:rFonts w:ascii="Arial" w:hAnsi="Arial" w:cs="Arial"/>
          <w:i/>
          <w:sz w:val="22"/>
          <w:szCs w:val="22"/>
        </w:rPr>
        <w:t xml:space="preserve"> </w:t>
      </w:r>
    </w:p>
    <w:p w14:paraId="203569D3" w14:textId="77777777" w:rsidR="00EC4FC3" w:rsidRPr="007A5D4B" w:rsidRDefault="00EC4FC3" w:rsidP="00D73D2D">
      <w:pPr>
        <w:rPr>
          <w:rFonts w:ascii="Arial" w:hAnsi="Arial" w:cs="Arial"/>
          <w:sz w:val="22"/>
          <w:szCs w:val="22"/>
        </w:rPr>
      </w:pPr>
    </w:p>
    <w:p w14:paraId="3C298690" w14:textId="0A65D3C8" w:rsidR="00AF1157" w:rsidRPr="007A5D4B" w:rsidRDefault="002A34D7" w:rsidP="002A34D7">
      <w:pPr>
        <w:ind w:left="360"/>
        <w:rPr>
          <w:rFonts w:ascii="Arial" w:hAnsi="Arial" w:cs="Arial"/>
          <w:sz w:val="22"/>
          <w:szCs w:val="22"/>
        </w:rPr>
      </w:pPr>
      <w:r w:rsidRPr="002A34D7">
        <w:rPr>
          <w:rFonts w:ascii="Arial" w:hAnsi="Arial" w:cs="Arial"/>
          <w:sz w:val="22"/>
          <w:szCs w:val="22"/>
        </w:rPr>
        <w:t xml:space="preserve">No specific assurance of confidentiality is provided on TTB F 5220.6.  Paper copies of TTB F 5220.6 are maintained by TTB secure file rooms with controlled public access, and TTB secures electronically-submitted copies of the form in password- and firewall-protected electronic systems accessible only by authorized TTB employees.  However, any proprietary information or tax return information submitted with the application is protected from disclosure under Federal law at 5 U.S.C. 522 or 26 U.S.C. 6103, respectively.  The records for these reports are maintained at the premises of importers of tobacco products. </w:t>
      </w:r>
    </w:p>
    <w:p w14:paraId="201C2405" w14:textId="77777777" w:rsidR="00AF1157" w:rsidRPr="00D656EA" w:rsidRDefault="00AF1157" w:rsidP="00D73D2D">
      <w:pPr>
        <w:suppressAutoHyphens/>
        <w:rPr>
          <w:rFonts w:ascii="Arial" w:hAnsi="Arial" w:cs="Arial"/>
          <w:sz w:val="28"/>
          <w:szCs w:val="28"/>
        </w:rPr>
      </w:pPr>
    </w:p>
    <w:p w14:paraId="729EA842"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w:t>
      </w:r>
      <w:r w:rsidR="0038747C" w:rsidRPr="008F6EA7">
        <w:rPr>
          <w:rFonts w:ascii="Arial" w:hAnsi="Arial" w:cs="Arial"/>
          <w:i/>
          <w:sz w:val="22"/>
          <w:szCs w:val="22"/>
        </w:rPr>
        <w:lastRenderedPageBreak/>
        <w:t xml:space="preserve">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4BA9E104" w14:textId="77777777" w:rsidR="0038747C" w:rsidRPr="007A5D4B" w:rsidRDefault="0038747C" w:rsidP="00D73D2D">
      <w:pPr>
        <w:rPr>
          <w:rFonts w:ascii="Arial" w:hAnsi="Arial" w:cs="Arial"/>
          <w:sz w:val="22"/>
          <w:szCs w:val="22"/>
        </w:rPr>
      </w:pPr>
    </w:p>
    <w:p w14:paraId="3538BC02" w14:textId="77777777" w:rsidR="00CC20E0" w:rsidRDefault="002A34D7" w:rsidP="004D086A">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TTB F 5220.6 contains no questions of a sensitive nature.  </w:t>
      </w:r>
    </w:p>
    <w:p w14:paraId="52695BE8" w14:textId="77777777" w:rsidR="00CC20E0" w:rsidRDefault="00CC20E0" w:rsidP="004D086A">
      <w:pPr>
        <w:widowControl w:val="0"/>
        <w:suppressAutoHyphens/>
        <w:autoSpaceDE w:val="0"/>
        <w:autoSpaceDN w:val="0"/>
        <w:adjustRightInd w:val="0"/>
        <w:ind w:left="360"/>
        <w:rPr>
          <w:rFonts w:ascii="Arial" w:hAnsi="Arial" w:cs="Arial"/>
          <w:sz w:val="22"/>
          <w:szCs w:val="22"/>
        </w:rPr>
      </w:pPr>
    </w:p>
    <w:p w14:paraId="47F5C1C4" w14:textId="017513BF" w:rsidR="00CC20E0" w:rsidRPr="00437568" w:rsidRDefault="00CC20E0" w:rsidP="00CC20E0">
      <w:pPr>
        <w:widowControl w:val="0"/>
        <w:suppressAutoHyphens/>
        <w:autoSpaceDE w:val="0"/>
        <w:autoSpaceDN w:val="0"/>
        <w:adjustRightInd w:val="0"/>
        <w:ind w:left="360"/>
        <w:rPr>
          <w:rFonts w:ascii="Arial" w:hAnsi="Arial" w:cs="Arial"/>
          <w:sz w:val="22"/>
          <w:szCs w:val="22"/>
        </w:rPr>
      </w:pPr>
      <w:r w:rsidRPr="00437568">
        <w:rPr>
          <w:rFonts w:ascii="Arial" w:hAnsi="Arial" w:cs="Arial"/>
          <w:sz w:val="22"/>
          <w:szCs w:val="22"/>
        </w:rPr>
        <w:t xml:space="preserve">A Privacy Impact Assessment (PIA) has been conducted for information collected under this request as part of the </w:t>
      </w:r>
      <w:r w:rsidRPr="0067628F">
        <w:rPr>
          <w:rFonts w:ascii="Arial" w:hAnsi="Arial" w:cs="Arial"/>
          <w:sz w:val="22"/>
          <w:szCs w:val="22"/>
        </w:rPr>
        <w:t>Integrated Revenue Information System</w:t>
      </w:r>
      <w:r w:rsidRPr="00437568">
        <w:rPr>
          <w:rFonts w:ascii="Arial" w:hAnsi="Arial" w:cs="Arial"/>
          <w:sz w:val="22"/>
          <w:szCs w:val="22"/>
        </w:rPr>
        <w:t>, and a Privacy Act System of Records notice (SORN) has been issued for th</w:t>
      </w:r>
      <w:r>
        <w:rPr>
          <w:rFonts w:ascii="Arial" w:hAnsi="Arial" w:cs="Arial"/>
          <w:sz w:val="22"/>
          <w:szCs w:val="22"/>
        </w:rPr>
        <w:t>at</w:t>
      </w:r>
      <w:r w:rsidRPr="00437568">
        <w:rPr>
          <w:rFonts w:ascii="Arial" w:hAnsi="Arial" w:cs="Arial"/>
          <w:sz w:val="22"/>
          <w:szCs w:val="22"/>
        </w:rPr>
        <w:t xml:space="preserve"> system under TTB .001–Regulatory Enforcement Record System and published in the Federal Register on January 28, 2015, at 80 FR 4637.  TTB’s PIAs are available on the TTB website at </w:t>
      </w:r>
      <w:hyperlink r:id="rId13" w:history="1">
        <w:r w:rsidRPr="00437568">
          <w:rPr>
            <w:rStyle w:val="Hyperlink"/>
            <w:rFonts w:ascii="Arial" w:hAnsi="Arial" w:cs="Arial"/>
            <w:sz w:val="22"/>
            <w:szCs w:val="22"/>
          </w:rPr>
          <w:t>http://www.ttb.gov/foia/pia.shtml</w:t>
        </w:r>
      </w:hyperlink>
      <w:r w:rsidRPr="00437568">
        <w:rPr>
          <w:rFonts w:ascii="Arial" w:hAnsi="Arial" w:cs="Arial"/>
          <w:sz w:val="22"/>
          <w:szCs w:val="22"/>
        </w:rPr>
        <w:t xml:space="preserve">. </w:t>
      </w:r>
    </w:p>
    <w:p w14:paraId="1EF91107" w14:textId="77777777" w:rsidR="00AF1157" w:rsidRPr="00AF060A" w:rsidRDefault="00AF1157" w:rsidP="00D73D2D">
      <w:pPr>
        <w:suppressAutoHyphens/>
        <w:rPr>
          <w:rFonts w:ascii="Arial" w:hAnsi="Arial" w:cs="Arial"/>
          <w:sz w:val="28"/>
          <w:szCs w:val="28"/>
        </w:rPr>
      </w:pPr>
    </w:p>
    <w:p w14:paraId="540EEE11"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5BCFE8AD" w14:textId="77777777" w:rsidR="00AF1157" w:rsidRDefault="00AF1157" w:rsidP="00D73D2D">
      <w:pPr>
        <w:suppressAutoHyphens/>
        <w:rPr>
          <w:rFonts w:ascii="Arial" w:hAnsi="Arial" w:cs="Arial"/>
          <w:sz w:val="22"/>
          <w:szCs w:val="22"/>
        </w:rPr>
      </w:pPr>
    </w:p>
    <w:p w14:paraId="6B903C24" w14:textId="557A0D59" w:rsidR="005F1843" w:rsidRDefault="00590D9C" w:rsidP="007A5BE3">
      <w:pPr>
        <w:suppressAutoHyphens/>
        <w:ind w:left="360"/>
        <w:rPr>
          <w:rFonts w:ascii="Arial" w:hAnsi="Arial" w:cs="Arial"/>
          <w:sz w:val="22"/>
          <w:szCs w:val="22"/>
        </w:rPr>
      </w:pPr>
      <w:r>
        <w:rPr>
          <w:rFonts w:ascii="Arial" w:hAnsi="Arial" w:cs="Arial"/>
          <w:sz w:val="22"/>
          <w:szCs w:val="22"/>
        </w:rPr>
        <w:t xml:space="preserve">TTB estimates that 330 importers of tobacco products or processed tobacco will be required to prepare and submit monthly reports on TTB F 5220.6.  TTB also estimates that each response will take 56 minutes.  Therefore: </w:t>
      </w:r>
    </w:p>
    <w:p w14:paraId="4D649D16" w14:textId="77777777" w:rsidR="00590D9C" w:rsidRDefault="00590D9C" w:rsidP="007A5BE3">
      <w:pPr>
        <w:suppressAutoHyphens/>
        <w:ind w:left="360"/>
        <w:rPr>
          <w:rFonts w:ascii="Arial" w:hAnsi="Arial" w:cs="Arial"/>
          <w:sz w:val="22"/>
          <w:szCs w:val="22"/>
        </w:rPr>
      </w:pPr>
    </w:p>
    <w:p w14:paraId="07B7CD4B" w14:textId="23C2E557" w:rsidR="00590D9C" w:rsidRDefault="00590D9C" w:rsidP="007A5BE3">
      <w:pPr>
        <w:suppressAutoHyphens/>
        <w:ind w:left="360"/>
        <w:rPr>
          <w:rFonts w:ascii="Arial" w:hAnsi="Arial" w:cs="Arial"/>
          <w:sz w:val="22"/>
          <w:szCs w:val="22"/>
        </w:rPr>
      </w:pPr>
      <w:r>
        <w:rPr>
          <w:rFonts w:ascii="Arial" w:hAnsi="Arial" w:cs="Arial"/>
          <w:sz w:val="22"/>
          <w:szCs w:val="22"/>
        </w:rPr>
        <w:t xml:space="preserve">330 respondents x 12 reports per year = 3,960 total annual responses x 56 minutes per response = 221,760 minutes / 60 minutes per hour = 3,696 total annual burden hours. </w:t>
      </w:r>
    </w:p>
    <w:p w14:paraId="7C7D0F8D" w14:textId="00A66440" w:rsidR="009244FD" w:rsidRDefault="009244FD" w:rsidP="007A5BE3">
      <w:pPr>
        <w:suppressAutoHyphens/>
        <w:ind w:left="360"/>
        <w:rPr>
          <w:rFonts w:ascii="Arial" w:hAnsi="Arial" w:cs="Arial"/>
          <w:sz w:val="22"/>
          <w:szCs w:val="22"/>
        </w:rPr>
      </w:pPr>
    </w:p>
    <w:p w14:paraId="395B5A5D" w14:textId="55AF5D62" w:rsidR="009244FD" w:rsidRDefault="009244FD" w:rsidP="007A5BE3">
      <w:pPr>
        <w:suppressAutoHyphens/>
        <w:ind w:left="360"/>
        <w:rPr>
          <w:rFonts w:ascii="Arial" w:hAnsi="Arial" w:cs="Arial"/>
          <w:sz w:val="22"/>
          <w:szCs w:val="22"/>
        </w:rPr>
      </w:pPr>
      <w:r>
        <w:rPr>
          <w:rFonts w:ascii="Arial" w:hAnsi="Arial" w:cs="Arial"/>
          <w:sz w:val="22"/>
          <w:szCs w:val="22"/>
        </w:rPr>
        <w:t>Postage costs are approximately $6.00 per year per respondent submitting TTB F 5220.6.</w:t>
      </w:r>
    </w:p>
    <w:p w14:paraId="68EF2789" w14:textId="77777777" w:rsidR="00AF060A" w:rsidRPr="00AF060A" w:rsidRDefault="00AF060A" w:rsidP="00D73D2D">
      <w:pPr>
        <w:rPr>
          <w:rFonts w:ascii="Arial" w:hAnsi="Arial" w:cs="Arial"/>
          <w:sz w:val="28"/>
          <w:szCs w:val="28"/>
        </w:rPr>
      </w:pPr>
    </w:p>
    <w:p w14:paraId="39CC9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793AB752" w14:textId="77777777" w:rsidR="00101DE7" w:rsidRPr="007A5D4B" w:rsidRDefault="00101DE7" w:rsidP="00D73D2D">
      <w:pPr>
        <w:suppressAutoHyphens/>
        <w:ind w:left="480" w:hanging="480"/>
        <w:rPr>
          <w:rFonts w:ascii="Arial" w:hAnsi="Arial" w:cs="Arial"/>
          <w:sz w:val="22"/>
          <w:szCs w:val="22"/>
        </w:rPr>
      </w:pPr>
    </w:p>
    <w:p w14:paraId="46B92B89" w14:textId="5E23897F" w:rsidR="007A5BE3" w:rsidRPr="00B7216D" w:rsidRDefault="007A5BE3" w:rsidP="004D086A">
      <w:pPr>
        <w:suppressAutoHyphens/>
        <w:ind w:left="360"/>
        <w:rPr>
          <w:rFonts w:ascii="Arial" w:hAnsi="Arial" w:cs="Arial"/>
          <w:sz w:val="22"/>
          <w:szCs w:val="22"/>
        </w:rPr>
      </w:pPr>
      <w:r w:rsidRPr="00B7216D">
        <w:rPr>
          <w:rFonts w:ascii="Arial" w:hAnsi="Arial" w:cs="Arial"/>
          <w:sz w:val="22"/>
          <w:szCs w:val="22"/>
        </w:rPr>
        <w:t xml:space="preserve">TTB believes </w:t>
      </w:r>
      <w:r w:rsidR="00C6577E">
        <w:rPr>
          <w:rFonts w:ascii="Arial" w:hAnsi="Arial" w:cs="Arial"/>
          <w:sz w:val="22"/>
          <w:szCs w:val="22"/>
        </w:rPr>
        <w:t xml:space="preserve">that the information collected on TTB F 5220.6 tracks receipts and disposition of products that make up the business of importers and is based on information that </w:t>
      </w:r>
      <w:r w:rsidRPr="00B7216D">
        <w:rPr>
          <w:rFonts w:ascii="Arial" w:hAnsi="Arial" w:cs="Arial"/>
          <w:sz w:val="22"/>
          <w:szCs w:val="22"/>
        </w:rPr>
        <w:t xml:space="preserve">these businesses would track during the normal course of business.  Therefore, this information collection imposes no </w:t>
      </w:r>
      <w:r w:rsidR="00911C31">
        <w:rPr>
          <w:rFonts w:ascii="Arial" w:hAnsi="Arial" w:cs="Arial"/>
          <w:sz w:val="22"/>
          <w:szCs w:val="22"/>
        </w:rPr>
        <w:t xml:space="preserve">capital or start-up costs, or operations and maintenances costs, </w:t>
      </w:r>
      <w:r w:rsidRPr="00B7216D">
        <w:rPr>
          <w:rFonts w:ascii="Arial" w:hAnsi="Arial" w:cs="Arial"/>
          <w:sz w:val="22"/>
          <w:szCs w:val="22"/>
        </w:rPr>
        <w:t xml:space="preserve">on such businesses beyond postage for those who elect to submit paper copies of the report to TTB. </w:t>
      </w:r>
      <w:r w:rsidR="00911C31">
        <w:rPr>
          <w:rFonts w:ascii="Arial" w:hAnsi="Arial" w:cs="Arial"/>
          <w:sz w:val="22"/>
          <w:szCs w:val="22"/>
        </w:rPr>
        <w:t xml:space="preserve"> </w:t>
      </w:r>
    </w:p>
    <w:p w14:paraId="44A99ED0" w14:textId="77777777" w:rsidR="00AF1157" w:rsidRPr="00B7216D" w:rsidRDefault="00AF1157" w:rsidP="00D73D2D">
      <w:pPr>
        <w:suppressAutoHyphens/>
        <w:rPr>
          <w:rFonts w:ascii="Arial" w:hAnsi="Arial" w:cs="Arial"/>
          <w:sz w:val="28"/>
          <w:szCs w:val="28"/>
        </w:rPr>
      </w:pPr>
    </w:p>
    <w:p w14:paraId="3A3E7D9C"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A65A0AB" w14:textId="77777777" w:rsidR="00AF1157" w:rsidRPr="007A5D4B" w:rsidRDefault="00AF1157" w:rsidP="00D73D2D">
      <w:pPr>
        <w:suppressAutoHyphens/>
        <w:ind w:left="480" w:hanging="480"/>
        <w:rPr>
          <w:rFonts w:ascii="Arial" w:hAnsi="Arial" w:cs="Arial"/>
          <w:sz w:val="22"/>
          <w:szCs w:val="22"/>
        </w:rPr>
      </w:pPr>
    </w:p>
    <w:p w14:paraId="77D16F2C" w14:textId="77777777" w:rsidR="00AF1157" w:rsidRPr="007A5D4B" w:rsidRDefault="00AF1157" w:rsidP="004D086A">
      <w:pPr>
        <w:ind w:left="360"/>
        <w:rPr>
          <w:rFonts w:ascii="Arial" w:hAnsi="Arial" w:cs="Arial"/>
          <w:sz w:val="22"/>
          <w:szCs w:val="22"/>
        </w:rPr>
      </w:pPr>
      <w:r w:rsidRPr="007A5D4B">
        <w:rPr>
          <w:rFonts w:ascii="Arial" w:hAnsi="Arial" w:cs="Arial"/>
          <w:sz w:val="22"/>
          <w:szCs w:val="22"/>
        </w:rPr>
        <w:t>Estimates of annual cost to the Federal Government are:</w:t>
      </w:r>
      <w:r w:rsidR="00AF060A">
        <w:rPr>
          <w:rFonts w:ascii="Arial" w:hAnsi="Arial" w:cs="Arial"/>
          <w:sz w:val="22"/>
          <w:szCs w:val="22"/>
        </w:rPr>
        <w:t xml:space="preserve"> </w:t>
      </w: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735"/>
        <w:gridCol w:w="1821"/>
      </w:tblGrid>
      <w:tr w:rsidR="00AF060A" w:rsidRPr="007B4E08" w14:paraId="30893ED5" w14:textId="77777777" w:rsidTr="000F4A2B">
        <w:trPr>
          <w:trHeight w:val="368"/>
          <w:jc w:val="center"/>
        </w:trPr>
        <w:tc>
          <w:tcPr>
            <w:tcW w:w="3735" w:type="dxa"/>
            <w:shd w:val="clear" w:color="auto" w:fill="auto"/>
            <w:vAlign w:val="center"/>
          </w:tcPr>
          <w:p w14:paraId="36AB04BB"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Printing</w:t>
            </w:r>
          </w:p>
        </w:tc>
        <w:tc>
          <w:tcPr>
            <w:tcW w:w="1821" w:type="dxa"/>
            <w:shd w:val="clear" w:color="auto" w:fill="auto"/>
            <w:vAlign w:val="center"/>
          </w:tcPr>
          <w:p w14:paraId="59E13A5F" w14:textId="77777777" w:rsidR="00AF060A" w:rsidRPr="007B4E08" w:rsidRDefault="00AF060A" w:rsidP="007B4E08">
            <w:pPr>
              <w:ind w:left="360"/>
              <w:jc w:val="right"/>
              <w:rPr>
                <w:rFonts w:ascii="Arial" w:hAnsi="Arial" w:cs="Arial"/>
                <w:sz w:val="22"/>
                <w:szCs w:val="22"/>
              </w:rPr>
            </w:pPr>
            <w:r w:rsidRPr="007B4E08">
              <w:rPr>
                <w:rFonts w:ascii="Arial" w:hAnsi="Arial" w:cs="Arial"/>
                <w:sz w:val="22"/>
                <w:szCs w:val="22"/>
              </w:rPr>
              <w:t>$ 0</w:t>
            </w:r>
          </w:p>
        </w:tc>
      </w:tr>
      <w:tr w:rsidR="00AF060A" w:rsidRPr="007B4E08" w14:paraId="47FD5230" w14:textId="77777777" w:rsidTr="000F4A2B">
        <w:trPr>
          <w:trHeight w:val="350"/>
          <w:jc w:val="center"/>
        </w:trPr>
        <w:tc>
          <w:tcPr>
            <w:tcW w:w="3735" w:type="dxa"/>
            <w:shd w:val="clear" w:color="auto" w:fill="auto"/>
            <w:vAlign w:val="center"/>
          </w:tcPr>
          <w:p w14:paraId="1C3C2F92"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Distribution</w:t>
            </w:r>
          </w:p>
        </w:tc>
        <w:tc>
          <w:tcPr>
            <w:tcW w:w="1821" w:type="dxa"/>
            <w:shd w:val="clear" w:color="auto" w:fill="auto"/>
            <w:vAlign w:val="center"/>
          </w:tcPr>
          <w:p w14:paraId="4BF9C4BD" w14:textId="77777777" w:rsidR="00AF060A" w:rsidRPr="007B4E08" w:rsidRDefault="00AF060A" w:rsidP="007B4E08">
            <w:pPr>
              <w:ind w:left="360"/>
              <w:jc w:val="right"/>
              <w:rPr>
                <w:rFonts w:ascii="Arial" w:hAnsi="Arial" w:cs="Arial"/>
                <w:sz w:val="22"/>
                <w:szCs w:val="22"/>
              </w:rPr>
            </w:pPr>
            <w:r w:rsidRPr="007B4E08">
              <w:rPr>
                <w:rFonts w:ascii="Arial" w:hAnsi="Arial" w:cs="Arial"/>
                <w:sz w:val="22"/>
                <w:szCs w:val="22"/>
              </w:rPr>
              <w:t>0</w:t>
            </w:r>
          </w:p>
        </w:tc>
      </w:tr>
      <w:tr w:rsidR="00816013" w:rsidRPr="007B4E08" w14:paraId="389E4181" w14:textId="77777777" w:rsidTr="000F4A2B">
        <w:trPr>
          <w:trHeight w:val="350"/>
          <w:jc w:val="center"/>
        </w:trPr>
        <w:tc>
          <w:tcPr>
            <w:tcW w:w="3735" w:type="dxa"/>
            <w:shd w:val="clear" w:color="auto" w:fill="auto"/>
            <w:vAlign w:val="center"/>
          </w:tcPr>
          <w:p w14:paraId="4C98D4BD" w14:textId="2A43B407" w:rsidR="00816013" w:rsidRPr="007B4E08" w:rsidRDefault="00816013" w:rsidP="007B4E08">
            <w:pPr>
              <w:ind w:left="72"/>
              <w:rPr>
                <w:rFonts w:ascii="Arial" w:hAnsi="Arial" w:cs="Arial"/>
                <w:sz w:val="22"/>
                <w:szCs w:val="22"/>
              </w:rPr>
            </w:pPr>
            <w:r>
              <w:rPr>
                <w:rFonts w:ascii="Arial" w:hAnsi="Arial" w:cs="Arial"/>
                <w:sz w:val="22"/>
                <w:szCs w:val="22"/>
              </w:rPr>
              <w:t>Contractor (Clerical)</w:t>
            </w:r>
          </w:p>
        </w:tc>
        <w:tc>
          <w:tcPr>
            <w:tcW w:w="1821" w:type="dxa"/>
            <w:shd w:val="clear" w:color="auto" w:fill="auto"/>
            <w:vAlign w:val="center"/>
          </w:tcPr>
          <w:p w14:paraId="1E262676" w14:textId="025E32EF" w:rsidR="00816013" w:rsidRPr="007B4E08" w:rsidRDefault="00816013" w:rsidP="007B4E08">
            <w:pPr>
              <w:ind w:left="360"/>
              <w:jc w:val="right"/>
              <w:rPr>
                <w:rFonts w:ascii="Arial" w:hAnsi="Arial" w:cs="Arial"/>
                <w:sz w:val="22"/>
                <w:szCs w:val="22"/>
              </w:rPr>
            </w:pPr>
            <w:r>
              <w:rPr>
                <w:rFonts w:ascii="Arial" w:hAnsi="Arial" w:cs="Arial"/>
                <w:sz w:val="22"/>
                <w:szCs w:val="22"/>
              </w:rPr>
              <w:t>3,960</w:t>
            </w:r>
          </w:p>
        </w:tc>
      </w:tr>
      <w:tr w:rsidR="00AF060A" w:rsidRPr="007B4E08" w14:paraId="4514475F" w14:textId="77777777" w:rsidTr="000F4A2B">
        <w:trPr>
          <w:trHeight w:val="350"/>
          <w:jc w:val="center"/>
        </w:trPr>
        <w:tc>
          <w:tcPr>
            <w:tcW w:w="3735" w:type="dxa"/>
            <w:shd w:val="clear" w:color="auto" w:fill="auto"/>
            <w:vAlign w:val="center"/>
          </w:tcPr>
          <w:p w14:paraId="5C46D8DF" w14:textId="3B865CC9" w:rsidR="00AF060A" w:rsidRPr="007B4E08" w:rsidRDefault="00816013" w:rsidP="00816013">
            <w:pPr>
              <w:ind w:left="72"/>
              <w:rPr>
                <w:rFonts w:ascii="Arial" w:hAnsi="Arial" w:cs="Arial"/>
                <w:sz w:val="22"/>
                <w:szCs w:val="22"/>
              </w:rPr>
            </w:pPr>
            <w:r>
              <w:rPr>
                <w:rFonts w:ascii="Arial" w:hAnsi="Arial" w:cs="Arial"/>
                <w:sz w:val="22"/>
                <w:szCs w:val="22"/>
              </w:rPr>
              <w:t>Specialist</w:t>
            </w:r>
          </w:p>
        </w:tc>
        <w:tc>
          <w:tcPr>
            <w:tcW w:w="1821" w:type="dxa"/>
            <w:shd w:val="clear" w:color="auto" w:fill="auto"/>
            <w:vAlign w:val="center"/>
          </w:tcPr>
          <w:p w14:paraId="24FAD042" w14:textId="65926256" w:rsidR="00AF060A" w:rsidRPr="007B4E08" w:rsidRDefault="00816013" w:rsidP="00816013">
            <w:pPr>
              <w:ind w:left="360"/>
              <w:jc w:val="right"/>
              <w:rPr>
                <w:rFonts w:ascii="Arial" w:hAnsi="Arial" w:cs="Arial"/>
                <w:sz w:val="22"/>
                <w:szCs w:val="22"/>
              </w:rPr>
            </w:pPr>
            <w:r>
              <w:rPr>
                <w:rFonts w:ascii="Arial" w:hAnsi="Arial" w:cs="Arial"/>
                <w:sz w:val="22"/>
                <w:szCs w:val="22"/>
              </w:rPr>
              <w:t>11,009</w:t>
            </w:r>
          </w:p>
        </w:tc>
      </w:tr>
      <w:tr w:rsidR="00AF060A" w:rsidRPr="007B4E08" w14:paraId="5FFE173E" w14:textId="77777777" w:rsidTr="000F4A2B">
        <w:trPr>
          <w:trHeight w:val="350"/>
          <w:jc w:val="center"/>
        </w:trPr>
        <w:tc>
          <w:tcPr>
            <w:tcW w:w="3735" w:type="dxa"/>
            <w:shd w:val="clear" w:color="auto" w:fill="auto"/>
            <w:vAlign w:val="center"/>
          </w:tcPr>
          <w:p w14:paraId="3602E7B8"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Other Salary (review, supervisory, etc.)</w:t>
            </w:r>
          </w:p>
        </w:tc>
        <w:tc>
          <w:tcPr>
            <w:tcW w:w="1821" w:type="dxa"/>
            <w:shd w:val="clear" w:color="auto" w:fill="auto"/>
            <w:vAlign w:val="center"/>
          </w:tcPr>
          <w:p w14:paraId="28806060" w14:textId="6F2F0C6C" w:rsidR="00AF060A" w:rsidRPr="007B4E08" w:rsidRDefault="00816013" w:rsidP="007B4E08">
            <w:pPr>
              <w:ind w:left="360"/>
              <w:jc w:val="right"/>
              <w:rPr>
                <w:rFonts w:ascii="Arial" w:hAnsi="Arial" w:cs="Arial"/>
                <w:sz w:val="22"/>
                <w:szCs w:val="22"/>
              </w:rPr>
            </w:pPr>
            <w:r>
              <w:rPr>
                <w:rFonts w:ascii="Arial" w:hAnsi="Arial" w:cs="Arial"/>
                <w:sz w:val="22"/>
                <w:szCs w:val="22"/>
              </w:rPr>
              <w:t>0</w:t>
            </w:r>
          </w:p>
        </w:tc>
      </w:tr>
      <w:tr w:rsidR="00AF060A" w:rsidRPr="007B4E08" w14:paraId="0AA4E460" w14:textId="77777777" w:rsidTr="000F4A2B">
        <w:trPr>
          <w:trHeight w:val="395"/>
          <w:jc w:val="center"/>
        </w:trPr>
        <w:tc>
          <w:tcPr>
            <w:tcW w:w="3735" w:type="dxa"/>
            <w:shd w:val="clear" w:color="auto" w:fill="auto"/>
            <w:vAlign w:val="center"/>
          </w:tcPr>
          <w:p w14:paraId="31CE9398" w14:textId="77777777" w:rsidR="00AF060A" w:rsidRPr="00816013" w:rsidRDefault="00AF060A" w:rsidP="007B4E08">
            <w:pPr>
              <w:ind w:left="72"/>
              <w:rPr>
                <w:rFonts w:ascii="Arial" w:hAnsi="Arial" w:cs="Arial"/>
                <w:b/>
                <w:sz w:val="22"/>
                <w:szCs w:val="22"/>
              </w:rPr>
            </w:pPr>
            <w:r w:rsidRPr="00816013">
              <w:rPr>
                <w:rFonts w:ascii="Arial" w:hAnsi="Arial" w:cs="Arial"/>
                <w:b/>
                <w:sz w:val="22"/>
                <w:szCs w:val="22"/>
              </w:rPr>
              <w:t>TOTAL</w:t>
            </w:r>
          </w:p>
        </w:tc>
        <w:tc>
          <w:tcPr>
            <w:tcW w:w="1821" w:type="dxa"/>
            <w:shd w:val="clear" w:color="auto" w:fill="auto"/>
            <w:vAlign w:val="center"/>
          </w:tcPr>
          <w:p w14:paraId="5D01018A" w14:textId="145EB24B" w:rsidR="00AF060A" w:rsidRPr="00816013" w:rsidRDefault="00816013" w:rsidP="00816013">
            <w:pPr>
              <w:ind w:left="360"/>
              <w:jc w:val="right"/>
              <w:rPr>
                <w:rFonts w:ascii="Arial" w:hAnsi="Arial" w:cs="Arial"/>
                <w:b/>
                <w:sz w:val="22"/>
                <w:szCs w:val="22"/>
              </w:rPr>
            </w:pPr>
            <w:r w:rsidRPr="00816013">
              <w:rPr>
                <w:rFonts w:ascii="Arial" w:hAnsi="Arial" w:cs="Arial"/>
                <w:b/>
                <w:sz w:val="22"/>
                <w:szCs w:val="22"/>
              </w:rPr>
              <w:t>$14,699</w:t>
            </w:r>
          </w:p>
        </w:tc>
      </w:tr>
    </w:tbl>
    <w:p w14:paraId="72D9F729" w14:textId="77777777" w:rsidR="00AF1157" w:rsidRPr="007A5D4B" w:rsidRDefault="00AF1157" w:rsidP="004D086A">
      <w:pPr>
        <w:ind w:left="360"/>
        <w:rPr>
          <w:rFonts w:ascii="Arial" w:hAnsi="Arial" w:cs="Arial"/>
          <w:sz w:val="22"/>
          <w:szCs w:val="22"/>
        </w:rPr>
      </w:pPr>
    </w:p>
    <w:p w14:paraId="2EEBDA41" w14:textId="0BE83F85" w:rsidR="00D6325C" w:rsidRPr="007A5D4B" w:rsidRDefault="00D6325C" w:rsidP="004D086A">
      <w:pPr>
        <w:ind w:left="360"/>
        <w:rPr>
          <w:rFonts w:ascii="Arial" w:hAnsi="Arial" w:cs="Arial"/>
          <w:sz w:val="22"/>
          <w:szCs w:val="22"/>
        </w:rPr>
      </w:pPr>
      <w:r w:rsidRPr="00816013">
        <w:rPr>
          <w:rFonts w:ascii="Arial" w:hAnsi="Arial" w:cs="Arial"/>
          <w:sz w:val="22"/>
          <w:szCs w:val="22"/>
        </w:rPr>
        <w:lastRenderedPageBreak/>
        <w:t xml:space="preserve">Printing and distribution costs have been deleted from TTB’s cost estimate due to the various electronic methods that we have made available to the public to obtain copies of TTB forms.  </w:t>
      </w:r>
    </w:p>
    <w:p w14:paraId="2920BAEB" w14:textId="77777777" w:rsidR="00D6325C" w:rsidRPr="00AF060A" w:rsidRDefault="00D6325C" w:rsidP="00D73D2D">
      <w:pPr>
        <w:rPr>
          <w:rFonts w:ascii="Arial" w:hAnsi="Arial" w:cs="Arial"/>
          <w:sz w:val="28"/>
          <w:szCs w:val="28"/>
        </w:rPr>
      </w:pPr>
    </w:p>
    <w:p w14:paraId="67AF91E6"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57D1E2A" w14:textId="77777777" w:rsidR="00AF1157" w:rsidRDefault="00AF1157" w:rsidP="00D73D2D">
      <w:pPr>
        <w:suppressAutoHyphens/>
        <w:rPr>
          <w:rFonts w:ascii="Arial" w:hAnsi="Arial" w:cs="Arial"/>
          <w:sz w:val="22"/>
          <w:szCs w:val="22"/>
        </w:rPr>
      </w:pPr>
    </w:p>
    <w:p w14:paraId="3BFB0388" w14:textId="59CE3D61" w:rsidR="00AF060A" w:rsidRDefault="00911C31" w:rsidP="004D086A">
      <w:pPr>
        <w:ind w:left="360"/>
        <w:rPr>
          <w:rFonts w:ascii="Arial" w:hAnsi="Arial" w:cs="Arial"/>
          <w:sz w:val="22"/>
          <w:szCs w:val="22"/>
        </w:rPr>
      </w:pPr>
      <w:r>
        <w:rPr>
          <w:rFonts w:ascii="Arial" w:hAnsi="Arial" w:cs="Arial"/>
          <w:sz w:val="22"/>
          <w:szCs w:val="22"/>
        </w:rPr>
        <w:t xml:space="preserve">TTB is reporting an adjustment in the </w:t>
      </w:r>
      <w:r w:rsidR="00816013" w:rsidRPr="008924B7">
        <w:rPr>
          <w:rFonts w:ascii="Arial" w:hAnsi="Arial" w:cs="Arial"/>
          <w:sz w:val="22"/>
          <w:szCs w:val="22"/>
        </w:rPr>
        <w:t xml:space="preserve">number of importers of tobacco products or processed tobacco </w:t>
      </w:r>
      <w:r w:rsidR="008924B7" w:rsidRPr="008924B7">
        <w:rPr>
          <w:rFonts w:ascii="Arial" w:hAnsi="Arial" w:cs="Arial"/>
          <w:sz w:val="22"/>
          <w:szCs w:val="22"/>
        </w:rPr>
        <w:t>filing TTB F 5220.6</w:t>
      </w:r>
      <w:r>
        <w:rPr>
          <w:rFonts w:ascii="Arial" w:hAnsi="Arial" w:cs="Arial"/>
          <w:sz w:val="22"/>
          <w:szCs w:val="22"/>
        </w:rPr>
        <w:t>.  The number of respondents filing TTB F 5220.6</w:t>
      </w:r>
      <w:r w:rsidR="008924B7" w:rsidRPr="008924B7">
        <w:rPr>
          <w:rFonts w:ascii="Arial" w:hAnsi="Arial" w:cs="Arial"/>
          <w:sz w:val="22"/>
          <w:szCs w:val="22"/>
        </w:rPr>
        <w:t xml:space="preserve"> with TTB </w:t>
      </w:r>
      <w:r w:rsidR="00816013" w:rsidRPr="008924B7">
        <w:rPr>
          <w:rFonts w:ascii="Arial" w:hAnsi="Arial" w:cs="Arial"/>
          <w:sz w:val="22"/>
          <w:szCs w:val="22"/>
        </w:rPr>
        <w:t>has dropped from the 586 respondents reported in 2012 to the 330 respondents currently reported.  The decrease in the number of respondents has led to a corresponding decrease in the number of responses, 7,032 in 2012 to 3,960 currently, and a drop in the total annual burde</w:t>
      </w:r>
      <w:r w:rsidR="008924B7" w:rsidRPr="008924B7">
        <w:rPr>
          <w:rFonts w:ascii="Arial" w:hAnsi="Arial" w:cs="Arial"/>
          <w:sz w:val="22"/>
          <w:szCs w:val="22"/>
        </w:rPr>
        <w:t xml:space="preserve">n, from 6,563 to 3,696 total hours. </w:t>
      </w:r>
    </w:p>
    <w:p w14:paraId="2A00E46D" w14:textId="77777777" w:rsidR="008924B7" w:rsidRDefault="008924B7" w:rsidP="004D086A">
      <w:pPr>
        <w:ind w:left="360"/>
        <w:rPr>
          <w:rFonts w:ascii="Arial" w:hAnsi="Arial" w:cs="Arial"/>
          <w:sz w:val="22"/>
          <w:szCs w:val="22"/>
        </w:rPr>
      </w:pPr>
    </w:p>
    <w:p w14:paraId="7F47F07A" w14:textId="571E8426" w:rsidR="008924B7" w:rsidRDefault="008924B7" w:rsidP="004D086A">
      <w:pPr>
        <w:ind w:left="360"/>
        <w:rPr>
          <w:rFonts w:ascii="Arial" w:hAnsi="Arial" w:cs="Arial"/>
          <w:sz w:val="22"/>
          <w:szCs w:val="22"/>
        </w:rPr>
      </w:pPr>
      <w:r>
        <w:rPr>
          <w:rFonts w:ascii="Arial" w:hAnsi="Arial" w:cs="Arial"/>
          <w:sz w:val="22"/>
          <w:szCs w:val="22"/>
        </w:rPr>
        <w:t>In addition, for the reason</w:t>
      </w:r>
      <w:r w:rsidR="00911C31">
        <w:rPr>
          <w:rFonts w:ascii="Arial" w:hAnsi="Arial" w:cs="Arial"/>
          <w:sz w:val="22"/>
          <w:szCs w:val="22"/>
        </w:rPr>
        <w:t>s</w:t>
      </w:r>
      <w:r>
        <w:rPr>
          <w:rFonts w:ascii="Arial" w:hAnsi="Arial" w:cs="Arial"/>
          <w:sz w:val="22"/>
          <w:szCs w:val="22"/>
        </w:rPr>
        <w:t xml:space="preserve"> noted in Question 13, TTB </w:t>
      </w:r>
      <w:r w:rsidR="00911C31">
        <w:rPr>
          <w:rFonts w:ascii="Arial" w:hAnsi="Arial" w:cs="Arial"/>
          <w:sz w:val="22"/>
          <w:szCs w:val="22"/>
        </w:rPr>
        <w:t xml:space="preserve">is reporting an </w:t>
      </w:r>
      <w:r w:rsidR="00066797">
        <w:rPr>
          <w:rFonts w:ascii="Arial" w:hAnsi="Arial" w:cs="Arial"/>
          <w:sz w:val="22"/>
          <w:szCs w:val="22"/>
        </w:rPr>
        <w:t>adjustment to</w:t>
      </w:r>
      <w:r w:rsidR="00911C31">
        <w:rPr>
          <w:rFonts w:ascii="Arial" w:hAnsi="Arial" w:cs="Arial"/>
          <w:sz w:val="22"/>
          <w:szCs w:val="22"/>
        </w:rPr>
        <w:t xml:space="preserve"> the</w:t>
      </w:r>
      <w:r>
        <w:rPr>
          <w:rFonts w:ascii="Arial" w:hAnsi="Arial" w:cs="Arial"/>
          <w:sz w:val="22"/>
          <w:szCs w:val="22"/>
        </w:rPr>
        <w:t xml:space="preserve"> cost</w:t>
      </w:r>
      <w:r w:rsidR="00911C31">
        <w:rPr>
          <w:rFonts w:ascii="Arial" w:hAnsi="Arial" w:cs="Arial"/>
          <w:sz w:val="22"/>
          <w:szCs w:val="22"/>
        </w:rPr>
        <w:t>s</w:t>
      </w:r>
      <w:r>
        <w:rPr>
          <w:rFonts w:ascii="Arial" w:hAnsi="Arial" w:cs="Arial"/>
          <w:sz w:val="22"/>
          <w:szCs w:val="22"/>
        </w:rPr>
        <w:t xml:space="preserve"> to the respondent associated with this information collection to exclude the cost of the burden hours associated with the collection. </w:t>
      </w:r>
      <w:r w:rsidR="00911C31">
        <w:rPr>
          <w:rFonts w:ascii="Arial" w:hAnsi="Arial" w:cs="Arial"/>
          <w:sz w:val="22"/>
          <w:szCs w:val="22"/>
        </w:rPr>
        <w:t xml:space="preserve"> TTB </w:t>
      </w:r>
      <w:r w:rsidR="00066797">
        <w:rPr>
          <w:rFonts w:ascii="Arial" w:hAnsi="Arial" w:cs="Arial"/>
          <w:sz w:val="22"/>
          <w:szCs w:val="22"/>
        </w:rPr>
        <w:t xml:space="preserve">mistakenly </w:t>
      </w:r>
      <w:r w:rsidR="00911C31">
        <w:rPr>
          <w:rFonts w:ascii="Arial" w:hAnsi="Arial" w:cs="Arial"/>
          <w:sz w:val="22"/>
          <w:szCs w:val="22"/>
        </w:rPr>
        <w:t>included the cost of the burden hours</w:t>
      </w:r>
      <w:r w:rsidR="00066797">
        <w:rPr>
          <w:rFonts w:ascii="Arial" w:hAnsi="Arial" w:cs="Arial"/>
          <w:sz w:val="22"/>
          <w:szCs w:val="22"/>
        </w:rPr>
        <w:t xml:space="preserve"> in previous reports. </w:t>
      </w:r>
    </w:p>
    <w:p w14:paraId="34E2498D" w14:textId="77777777" w:rsidR="008924B7" w:rsidRDefault="008924B7" w:rsidP="004D086A">
      <w:pPr>
        <w:ind w:left="360"/>
        <w:rPr>
          <w:rFonts w:ascii="Arial" w:hAnsi="Arial" w:cs="Arial"/>
          <w:sz w:val="22"/>
          <w:szCs w:val="22"/>
        </w:rPr>
      </w:pPr>
    </w:p>
    <w:p w14:paraId="0AD2BEAC" w14:textId="6671132A" w:rsidR="008924B7" w:rsidRPr="007A5D4B" w:rsidRDefault="008924B7" w:rsidP="004D086A">
      <w:pPr>
        <w:ind w:left="360"/>
        <w:rPr>
          <w:rFonts w:ascii="Arial" w:hAnsi="Arial" w:cs="Arial"/>
          <w:sz w:val="22"/>
          <w:szCs w:val="22"/>
        </w:rPr>
      </w:pPr>
      <w:r>
        <w:rPr>
          <w:rFonts w:ascii="Arial" w:hAnsi="Arial" w:cs="Arial"/>
          <w:sz w:val="22"/>
          <w:szCs w:val="22"/>
        </w:rPr>
        <w:t xml:space="preserve">There are no changes to the TTB F 5220.6 form. </w:t>
      </w:r>
    </w:p>
    <w:p w14:paraId="27C33CD1" w14:textId="77777777" w:rsidR="00AF060A" w:rsidRPr="007A5D4B" w:rsidRDefault="00AF060A" w:rsidP="00AF060A">
      <w:pPr>
        <w:suppressAutoHyphens/>
        <w:rPr>
          <w:rFonts w:ascii="Arial" w:hAnsi="Arial" w:cs="Arial"/>
          <w:sz w:val="28"/>
          <w:szCs w:val="28"/>
        </w:rPr>
      </w:pPr>
    </w:p>
    <w:p w14:paraId="0800F18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73F569C" w14:textId="77777777" w:rsidR="00AF1157" w:rsidRPr="007A5D4B" w:rsidRDefault="00AF1157" w:rsidP="00D73D2D">
      <w:pPr>
        <w:suppressAutoHyphens/>
        <w:ind w:left="480" w:hanging="480"/>
        <w:rPr>
          <w:rFonts w:ascii="Arial" w:hAnsi="Arial" w:cs="Arial"/>
          <w:sz w:val="22"/>
          <w:szCs w:val="22"/>
        </w:rPr>
      </w:pPr>
    </w:p>
    <w:p w14:paraId="236B5871" w14:textId="712B3F41" w:rsidR="008924B7" w:rsidRPr="00F472D3" w:rsidRDefault="00F472D3" w:rsidP="004D086A">
      <w:pPr>
        <w:suppressAutoHyphens/>
        <w:ind w:left="360"/>
        <w:rPr>
          <w:rFonts w:ascii="Arial" w:hAnsi="Arial" w:cs="Arial"/>
          <w:sz w:val="22"/>
          <w:szCs w:val="22"/>
        </w:rPr>
      </w:pPr>
      <w:r w:rsidRPr="00F472D3">
        <w:rPr>
          <w:rFonts w:ascii="Arial" w:hAnsi="Arial" w:cs="Arial"/>
          <w:sz w:val="22"/>
          <w:szCs w:val="22"/>
        </w:rPr>
        <w:t>Th</w:t>
      </w:r>
      <w:r w:rsidR="009838E8">
        <w:rPr>
          <w:rFonts w:ascii="Arial" w:hAnsi="Arial" w:cs="Arial"/>
          <w:sz w:val="22"/>
          <w:szCs w:val="22"/>
        </w:rPr>
        <w:t>is information collection is not published</w:t>
      </w:r>
      <w:r w:rsidRPr="00F472D3">
        <w:rPr>
          <w:rFonts w:ascii="Arial" w:hAnsi="Arial" w:cs="Arial"/>
          <w:sz w:val="22"/>
          <w:szCs w:val="22"/>
        </w:rPr>
        <w:t xml:space="preserve">. </w:t>
      </w:r>
    </w:p>
    <w:p w14:paraId="1491319A" w14:textId="77777777" w:rsidR="00AF1157" w:rsidRPr="00AF060A" w:rsidRDefault="00AF1157" w:rsidP="00D73D2D">
      <w:pPr>
        <w:suppressAutoHyphens/>
        <w:rPr>
          <w:rFonts w:ascii="Arial" w:hAnsi="Arial" w:cs="Arial"/>
          <w:sz w:val="28"/>
          <w:szCs w:val="28"/>
        </w:rPr>
      </w:pPr>
    </w:p>
    <w:p w14:paraId="21289E17"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2E459439" w14:textId="77777777" w:rsidR="00AF1157" w:rsidRPr="007A5D4B" w:rsidRDefault="00AF1157" w:rsidP="00D73D2D">
      <w:pPr>
        <w:suppressAutoHyphens/>
        <w:rPr>
          <w:rFonts w:ascii="Arial" w:hAnsi="Arial" w:cs="Arial"/>
          <w:sz w:val="22"/>
          <w:szCs w:val="22"/>
        </w:rPr>
      </w:pPr>
    </w:p>
    <w:p w14:paraId="41EE5EC6" w14:textId="48A42195" w:rsidR="00F472D3" w:rsidRPr="00F472D3" w:rsidRDefault="00F472D3" w:rsidP="00F472D3">
      <w:pPr>
        <w:autoSpaceDE w:val="0"/>
        <w:autoSpaceDN w:val="0"/>
        <w:ind w:left="360"/>
        <w:rPr>
          <w:rFonts w:ascii="Arial" w:hAnsi="Arial" w:cs="Arial"/>
          <w:sz w:val="22"/>
          <w:szCs w:val="22"/>
        </w:rPr>
      </w:pPr>
      <w:r w:rsidRPr="00F472D3">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w:t>
      </w:r>
    </w:p>
    <w:p w14:paraId="25DC63EC" w14:textId="77777777" w:rsidR="00014CEB" w:rsidRPr="00014CEB" w:rsidRDefault="00014CEB" w:rsidP="00014CEB">
      <w:pPr>
        <w:autoSpaceDE w:val="0"/>
        <w:autoSpaceDN w:val="0"/>
        <w:ind w:left="360"/>
        <w:rPr>
          <w:rFonts w:ascii="Arial" w:hAnsi="Arial" w:cs="Arial"/>
          <w:sz w:val="28"/>
          <w:szCs w:val="28"/>
        </w:rPr>
      </w:pPr>
    </w:p>
    <w:p w14:paraId="12F21AB8" w14:textId="2326A696"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9838E8">
        <w:rPr>
          <w:rFonts w:ascii="Arial" w:hAnsi="Arial" w:cs="Arial"/>
          <w:i/>
          <w:sz w:val="22"/>
          <w:szCs w:val="22"/>
        </w:rPr>
        <w:t xml:space="preserve"> </w:t>
      </w:r>
    </w:p>
    <w:p w14:paraId="6CF7D158" w14:textId="77777777" w:rsidR="00AF1157" w:rsidRDefault="00AF1157" w:rsidP="00BA1A21">
      <w:pPr>
        <w:suppressAutoHyphens/>
        <w:ind w:left="360"/>
        <w:rPr>
          <w:rFonts w:ascii="Arial" w:hAnsi="Arial" w:cs="Arial"/>
          <w:sz w:val="22"/>
          <w:szCs w:val="22"/>
        </w:rPr>
      </w:pPr>
    </w:p>
    <w:p w14:paraId="5D43C743" w14:textId="4DDBF902" w:rsidR="00A802C2" w:rsidRPr="00A802C2" w:rsidRDefault="00A802C2" w:rsidP="00A802C2">
      <w:pPr>
        <w:suppressAutoHyphens/>
        <w:ind w:left="360"/>
        <w:rPr>
          <w:rFonts w:ascii="Arial" w:hAnsi="Arial" w:cs="Arial"/>
          <w:sz w:val="22"/>
          <w:szCs w:val="22"/>
        </w:rPr>
      </w:pPr>
      <w:r>
        <w:rPr>
          <w:rFonts w:ascii="Arial" w:hAnsi="Arial" w:cs="Arial"/>
          <w:sz w:val="22"/>
          <w:szCs w:val="22"/>
        </w:rPr>
        <w:t>For this information collection, t</w:t>
      </w:r>
      <w:r w:rsidRPr="00A802C2">
        <w:rPr>
          <w:rFonts w:ascii="Arial" w:hAnsi="Arial" w:cs="Arial"/>
          <w:sz w:val="22"/>
          <w:szCs w:val="22"/>
        </w:rPr>
        <w:t>here are no exceptions to the certification statement.</w:t>
      </w:r>
      <w:r>
        <w:rPr>
          <w:rFonts w:ascii="Arial" w:hAnsi="Arial" w:cs="Arial"/>
          <w:sz w:val="22"/>
          <w:szCs w:val="22"/>
        </w:rPr>
        <w:t xml:space="preserve"> </w:t>
      </w:r>
    </w:p>
    <w:p w14:paraId="5C96D644" w14:textId="77777777" w:rsidR="00A802C2" w:rsidRDefault="00A802C2" w:rsidP="00BA1A21">
      <w:pPr>
        <w:suppressAutoHyphens/>
        <w:ind w:left="360"/>
        <w:rPr>
          <w:rFonts w:ascii="Arial" w:hAnsi="Arial" w:cs="Arial"/>
          <w:sz w:val="22"/>
          <w:szCs w:val="22"/>
        </w:rPr>
      </w:pPr>
    </w:p>
    <w:p w14:paraId="0EF4B387" w14:textId="67D99952" w:rsidR="00066797" w:rsidRPr="00066797" w:rsidRDefault="00066797" w:rsidP="00D73D2D">
      <w:pPr>
        <w:rPr>
          <w:rFonts w:ascii="Arial" w:hAnsi="Arial" w:cs="Arial"/>
          <w:b/>
          <w:bCs/>
          <w:sz w:val="28"/>
          <w:szCs w:val="28"/>
        </w:rPr>
      </w:pPr>
    </w:p>
    <w:p w14:paraId="7C380DD1" w14:textId="1CD199A4"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D76F361" w14:textId="77777777" w:rsidR="00BD3333" w:rsidRPr="007A5D4B" w:rsidRDefault="00BD3333" w:rsidP="00D73D2D">
      <w:pPr>
        <w:pStyle w:val="Header"/>
        <w:tabs>
          <w:tab w:val="clear" w:pos="4320"/>
          <w:tab w:val="clear" w:pos="8640"/>
        </w:tabs>
        <w:rPr>
          <w:rFonts w:ascii="Arial" w:hAnsi="Arial" w:cs="Arial"/>
          <w:sz w:val="22"/>
          <w:szCs w:val="22"/>
        </w:rPr>
      </w:pPr>
    </w:p>
    <w:p w14:paraId="1972BEC0" w14:textId="087A054E" w:rsidR="00BA1A21" w:rsidRPr="007A5D4B" w:rsidRDefault="00BD3333" w:rsidP="004164CD">
      <w:pPr>
        <w:pStyle w:val="Header"/>
        <w:tabs>
          <w:tab w:val="clear" w:pos="4320"/>
          <w:tab w:val="clear" w:pos="8640"/>
        </w:tabs>
        <w:ind w:left="360"/>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0F4A2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A5F63" w14:textId="77777777" w:rsidR="00911C31" w:rsidRDefault="00911C31">
      <w:r>
        <w:separator/>
      </w:r>
    </w:p>
  </w:endnote>
  <w:endnote w:type="continuationSeparator" w:id="0">
    <w:p w14:paraId="61BA021F" w14:textId="77777777" w:rsidR="00911C31" w:rsidRDefault="0091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D9610" w14:textId="77777777" w:rsidR="00D26C3B" w:rsidRDefault="00D26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E116" w14:textId="77777777" w:rsidR="00911C31" w:rsidRPr="007A5D4B" w:rsidRDefault="00911C3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8206" w14:textId="77777777" w:rsidR="00911C31" w:rsidRPr="007A5D4B" w:rsidRDefault="00911C31"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0E4BF" w14:textId="77777777" w:rsidR="00911C31" w:rsidRDefault="00911C31">
      <w:r>
        <w:separator/>
      </w:r>
    </w:p>
  </w:footnote>
  <w:footnote w:type="continuationSeparator" w:id="0">
    <w:p w14:paraId="68DCC77E" w14:textId="77777777" w:rsidR="00911C31" w:rsidRDefault="0091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CC3F" w14:textId="77777777" w:rsidR="00D26C3B" w:rsidRDefault="00D26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7DE36" w14:textId="77777777" w:rsidR="00911C31" w:rsidRPr="007A5D4B" w:rsidRDefault="00911C3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164C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AB202" w14:textId="77777777" w:rsidR="00911C31" w:rsidRPr="007A5D4B" w:rsidRDefault="00911C3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357FC"/>
    <w:rsid w:val="0004764C"/>
    <w:rsid w:val="00066797"/>
    <w:rsid w:val="00074898"/>
    <w:rsid w:val="000779EA"/>
    <w:rsid w:val="000A2E33"/>
    <w:rsid w:val="000A4E1A"/>
    <w:rsid w:val="000B3E08"/>
    <w:rsid w:val="000F4A2B"/>
    <w:rsid w:val="00101DE7"/>
    <w:rsid w:val="001432BB"/>
    <w:rsid w:val="001C1367"/>
    <w:rsid w:val="0022156B"/>
    <w:rsid w:val="002457DE"/>
    <w:rsid w:val="002A34D7"/>
    <w:rsid w:val="002B47FB"/>
    <w:rsid w:val="002C2ABB"/>
    <w:rsid w:val="002D1324"/>
    <w:rsid w:val="002D15AB"/>
    <w:rsid w:val="0033260C"/>
    <w:rsid w:val="00381FFC"/>
    <w:rsid w:val="0038747C"/>
    <w:rsid w:val="00390EB9"/>
    <w:rsid w:val="003B459E"/>
    <w:rsid w:val="00400439"/>
    <w:rsid w:val="00402F57"/>
    <w:rsid w:val="004164CD"/>
    <w:rsid w:val="00447B6B"/>
    <w:rsid w:val="004A3DE5"/>
    <w:rsid w:val="004D086A"/>
    <w:rsid w:val="004D1808"/>
    <w:rsid w:val="004D4299"/>
    <w:rsid w:val="004E2C89"/>
    <w:rsid w:val="004E76AD"/>
    <w:rsid w:val="004F2739"/>
    <w:rsid w:val="004F62C7"/>
    <w:rsid w:val="0050368E"/>
    <w:rsid w:val="005278E4"/>
    <w:rsid w:val="00536D29"/>
    <w:rsid w:val="00590D9C"/>
    <w:rsid w:val="005C282B"/>
    <w:rsid w:val="005E4F99"/>
    <w:rsid w:val="005E4F9B"/>
    <w:rsid w:val="005F1843"/>
    <w:rsid w:val="00614008"/>
    <w:rsid w:val="006244FF"/>
    <w:rsid w:val="00631780"/>
    <w:rsid w:val="00663972"/>
    <w:rsid w:val="0067628F"/>
    <w:rsid w:val="0069260A"/>
    <w:rsid w:val="006F7E67"/>
    <w:rsid w:val="00703FF1"/>
    <w:rsid w:val="00721C76"/>
    <w:rsid w:val="00734B25"/>
    <w:rsid w:val="00736DD6"/>
    <w:rsid w:val="007A5BE3"/>
    <w:rsid w:val="007A5D4B"/>
    <w:rsid w:val="007B4E08"/>
    <w:rsid w:val="007D5727"/>
    <w:rsid w:val="007F40E3"/>
    <w:rsid w:val="00804B0C"/>
    <w:rsid w:val="00811A04"/>
    <w:rsid w:val="00816013"/>
    <w:rsid w:val="0086538D"/>
    <w:rsid w:val="008924B7"/>
    <w:rsid w:val="008C399F"/>
    <w:rsid w:val="008F6EA7"/>
    <w:rsid w:val="00911C31"/>
    <w:rsid w:val="00920899"/>
    <w:rsid w:val="009244FD"/>
    <w:rsid w:val="009838E8"/>
    <w:rsid w:val="009A1CD5"/>
    <w:rsid w:val="009C67B9"/>
    <w:rsid w:val="009D1766"/>
    <w:rsid w:val="009E4E4C"/>
    <w:rsid w:val="00A17E04"/>
    <w:rsid w:val="00A802C2"/>
    <w:rsid w:val="00AA6881"/>
    <w:rsid w:val="00AC686F"/>
    <w:rsid w:val="00AF060A"/>
    <w:rsid w:val="00AF1157"/>
    <w:rsid w:val="00B23FF6"/>
    <w:rsid w:val="00B31E02"/>
    <w:rsid w:val="00B7216D"/>
    <w:rsid w:val="00B72AC4"/>
    <w:rsid w:val="00B95061"/>
    <w:rsid w:val="00BA1A21"/>
    <w:rsid w:val="00BB67E5"/>
    <w:rsid w:val="00BD3333"/>
    <w:rsid w:val="00BD7307"/>
    <w:rsid w:val="00C2315D"/>
    <w:rsid w:val="00C6577E"/>
    <w:rsid w:val="00C71838"/>
    <w:rsid w:val="00CA7E3C"/>
    <w:rsid w:val="00CC20E0"/>
    <w:rsid w:val="00CD5C0F"/>
    <w:rsid w:val="00CF6206"/>
    <w:rsid w:val="00D004D6"/>
    <w:rsid w:val="00D01AA2"/>
    <w:rsid w:val="00D03A61"/>
    <w:rsid w:val="00D26C3B"/>
    <w:rsid w:val="00D6325C"/>
    <w:rsid w:val="00D656EA"/>
    <w:rsid w:val="00D73D2D"/>
    <w:rsid w:val="00D76DF0"/>
    <w:rsid w:val="00DE1D31"/>
    <w:rsid w:val="00DF5F98"/>
    <w:rsid w:val="00E115FD"/>
    <w:rsid w:val="00E41ED9"/>
    <w:rsid w:val="00E45CBA"/>
    <w:rsid w:val="00E74BF4"/>
    <w:rsid w:val="00EC4FC3"/>
    <w:rsid w:val="00ED7233"/>
    <w:rsid w:val="00EF394F"/>
    <w:rsid w:val="00F058FA"/>
    <w:rsid w:val="00F472D3"/>
    <w:rsid w:val="00F618E0"/>
    <w:rsid w:val="00F747E9"/>
    <w:rsid w:val="00F811F4"/>
    <w:rsid w:val="00FA228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F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703F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34D7"/>
    <w:rPr>
      <w:color w:val="0563C1" w:themeColor="hyperlink"/>
      <w:u w:val="single"/>
    </w:rPr>
  </w:style>
  <w:style w:type="character" w:styleId="FollowedHyperlink">
    <w:name w:val="FollowedHyperlink"/>
    <w:basedOn w:val="DefaultParagraphFont"/>
    <w:rsid w:val="003B459E"/>
    <w:rPr>
      <w:color w:val="954F72" w:themeColor="followedHyperlink"/>
      <w:u w:val="single"/>
    </w:rPr>
  </w:style>
  <w:style w:type="character" w:customStyle="1" w:styleId="Heading2Char">
    <w:name w:val="Heading 2 Char"/>
    <w:basedOn w:val="DefaultParagraphFont"/>
    <w:link w:val="Heading2"/>
    <w:semiHidden/>
    <w:rsid w:val="00703FF1"/>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703F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34D7"/>
    <w:rPr>
      <w:color w:val="0563C1" w:themeColor="hyperlink"/>
      <w:u w:val="single"/>
    </w:rPr>
  </w:style>
  <w:style w:type="character" w:styleId="FollowedHyperlink">
    <w:name w:val="FollowedHyperlink"/>
    <w:basedOn w:val="DefaultParagraphFont"/>
    <w:rsid w:val="003B459E"/>
    <w:rPr>
      <w:color w:val="954F72" w:themeColor="followedHyperlink"/>
      <w:u w:val="single"/>
    </w:rPr>
  </w:style>
  <w:style w:type="character" w:customStyle="1" w:styleId="Heading2Char">
    <w:name w:val="Heading 2 Char"/>
    <w:basedOn w:val="DefaultParagraphFont"/>
    <w:link w:val="Heading2"/>
    <w:semiHidden/>
    <w:rsid w:val="00703FF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8372">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62131517">
      <w:bodyDiv w:val="1"/>
      <w:marLeft w:val="0"/>
      <w:marRight w:val="0"/>
      <w:marTop w:val="0"/>
      <w:marBottom w:val="0"/>
      <w:divBdr>
        <w:top w:val="none" w:sz="0" w:space="0" w:color="auto"/>
        <w:left w:val="none" w:sz="0" w:space="0" w:color="auto"/>
        <w:bottom w:val="none" w:sz="0" w:space="0" w:color="auto"/>
        <w:right w:val="none" w:sz="0" w:space="0" w:color="auto"/>
      </w:divBdr>
    </w:div>
    <w:div w:id="1312293013">
      <w:bodyDiv w:val="1"/>
      <w:marLeft w:val="0"/>
      <w:marRight w:val="0"/>
      <w:marTop w:val="30"/>
      <w:marBottom w:val="750"/>
      <w:divBdr>
        <w:top w:val="none" w:sz="0" w:space="0" w:color="auto"/>
        <w:left w:val="none" w:sz="0" w:space="0" w:color="auto"/>
        <w:bottom w:val="none" w:sz="0" w:space="0" w:color="auto"/>
        <w:right w:val="none" w:sz="0" w:space="0" w:color="auto"/>
      </w:divBdr>
      <w:divsChild>
        <w:div w:id="1875531171">
          <w:marLeft w:val="0"/>
          <w:marRight w:val="0"/>
          <w:marTop w:val="0"/>
          <w:marBottom w:val="0"/>
          <w:divBdr>
            <w:top w:val="none" w:sz="0" w:space="0" w:color="auto"/>
            <w:left w:val="none" w:sz="0" w:space="0" w:color="auto"/>
            <w:bottom w:val="none" w:sz="0" w:space="0" w:color="auto"/>
            <w:right w:val="none" w:sz="0" w:space="0" w:color="auto"/>
          </w:divBdr>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812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tb.gov/foia/pia.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tb.gov/forms/5000.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tb.gov/epayment/epayment.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1261B-B3E8-4D7F-9697-C0F25BA7A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5BD48C-B281-41E4-9480-989B5F522FBC}">
  <ds:schemaRefs>
    <ds:schemaRef ds:uri="http://schemas.microsoft.com/sharepoint/v3/contenttype/forms"/>
  </ds:schemaRefs>
</ds:datastoreItem>
</file>

<file path=customXml/itemProps3.xml><?xml version="1.0" encoding="utf-8"?>
<ds:datastoreItem xmlns:ds="http://schemas.openxmlformats.org/officeDocument/2006/customXml" ds:itemID="{B5DFF8ED-F9E1-458A-8E99-6CFC6F6A9440}">
  <ds:schemaRef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13326</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2015-07-31T21:03:00Z</dcterms:created>
  <dcterms:modified xsi:type="dcterms:W3CDTF">2015-07-31T21:06:00Z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