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F657D" w14:textId="77777777" w:rsidR="00295103" w:rsidRPr="0033700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337000">
        <w:rPr>
          <w:b/>
          <w:bCs/>
          <w:sz w:val="28"/>
          <w:szCs w:val="28"/>
        </w:rPr>
        <w:t xml:space="preserve">Supporting Statement </w:t>
      </w:r>
      <w:r w:rsidR="0032343E">
        <w:rPr>
          <w:b/>
          <w:bCs/>
          <w:sz w:val="28"/>
          <w:szCs w:val="28"/>
        </w:rPr>
        <w:t>B</w:t>
      </w:r>
    </w:p>
    <w:p w14:paraId="425552B0" w14:textId="77777777" w:rsidR="009B359F" w:rsidRPr="00337000" w:rsidRDefault="008215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337000">
        <w:rPr>
          <w:b/>
          <w:bCs/>
          <w:sz w:val="28"/>
          <w:szCs w:val="28"/>
        </w:rPr>
        <w:t>Atlantic Of</w:t>
      </w:r>
      <w:r w:rsidR="009F49AF">
        <w:rPr>
          <w:b/>
          <w:bCs/>
          <w:sz w:val="28"/>
          <w:szCs w:val="28"/>
        </w:rPr>
        <w:t>fshore Wind Energy Development–</w:t>
      </w:r>
      <w:r w:rsidRPr="00337000">
        <w:rPr>
          <w:b/>
          <w:bCs/>
          <w:sz w:val="28"/>
          <w:szCs w:val="28"/>
        </w:rPr>
        <w:t>Public Attitudes, Values, and Implications for Tourism and Recreation</w:t>
      </w:r>
    </w:p>
    <w:p w14:paraId="5E520187" w14:textId="77777777" w:rsidR="00295103" w:rsidRPr="00337000"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337000">
        <w:rPr>
          <w:b/>
          <w:bCs/>
          <w:sz w:val="28"/>
          <w:szCs w:val="28"/>
        </w:rPr>
        <w:t xml:space="preserve">OMB Control Number </w:t>
      </w:r>
      <w:r w:rsidR="0013647F" w:rsidRPr="00337000">
        <w:rPr>
          <w:b/>
          <w:bCs/>
          <w:sz w:val="28"/>
          <w:szCs w:val="28"/>
        </w:rPr>
        <w:t>10</w:t>
      </w:r>
      <w:r w:rsidR="0013647F">
        <w:rPr>
          <w:b/>
          <w:bCs/>
          <w:sz w:val="28"/>
          <w:szCs w:val="28"/>
        </w:rPr>
        <w:t>10</w:t>
      </w:r>
      <w:r w:rsidRPr="00337000">
        <w:rPr>
          <w:b/>
          <w:bCs/>
          <w:sz w:val="28"/>
          <w:szCs w:val="28"/>
        </w:rPr>
        <w:t>-XXXX</w:t>
      </w:r>
    </w:p>
    <w:p w14:paraId="0B117ED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3C0667" w14:textId="77777777" w:rsidR="001D1900" w:rsidRPr="00755C22" w:rsidRDefault="0032343E" w:rsidP="0071694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16945">
        <w:rPr>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Pr="00716945">
        <w:rPr>
          <w:b/>
          <w:sz w:val="24"/>
          <w:szCs w:val="24"/>
        </w:rPr>
        <w:br/>
      </w:r>
    </w:p>
    <w:p w14:paraId="4ECE6067" w14:textId="14E21640" w:rsidR="00E865D8" w:rsidRDefault="009E3AB9" w:rsidP="00E865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Our analysis will use</w:t>
      </w:r>
      <w:r w:rsidR="00E737AB">
        <w:rPr>
          <w:sz w:val="24"/>
          <w:szCs w:val="24"/>
        </w:rPr>
        <w:t xml:space="preserve"> </w:t>
      </w:r>
      <w:r w:rsidR="00CD5F27">
        <w:rPr>
          <w:sz w:val="24"/>
          <w:szCs w:val="24"/>
        </w:rPr>
        <w:t xml:space="preserve">separate </w:t>
      </w:r>
      <w:r w:rsidR="00E737AB">
        <w:rPr>
          <w:sz w:val="24"/>
          <w:szCs w:val="24"/>
        </w:rPr>
        <w:t xml:space="preserve">samples: </w:t>
      </w:r>
      <w:r>
        <w:rPr>
          <w:sz w:val="24"/>
          <w:szCs w:val="24"/>
        </w:rPr>
        <w:t xml:space="preserve">a </w:t>
      </w:r>
      <w:r w:rsidR="00E737AB">
        <w:rPr>
          <w:sz w:val="24"/>
          <w:szCs w:val="24"/>
        </w:rPr>
        <w:t>G</w:t>
      </w:r>
      <w:r w:rsidR="00235D42">
        <w:rPr>
          <w:sz w:val="24"/>
          <w:szCs w:val="24"/>
        </w:rPr>
        <w:t xml:space="preserve">eneral Population </w:t>
      </w:r>
      <w:r w:rsidR="00CD5F27">
        <w:rPr>
          <w:sz w:val="24"/>
          <w:szCs w:val="24"/>
        </w:rPr>
        <w:t>Sample and a Beachgoer</w:t>
      </w:r>
      <w:r w:rsidR="00E97D39">
        <w:rPr>
          <w:sz w:val="24"/>
          <w:szCs w:val="24"/>
        </w:rPr>
        <w:t>-Only</w:t>
      </w:r>
      <w:r>
        <w:rPr>
          <w:sz w:val="24"/>
          <w:szCs w:val="24"/>
        </w:rPr>
        <w:t xml:space="preserve"> Sample</w:t>
      </w:r>
      <w:r w:rsidR="00CD5F27">
        <w:rPr>
          <w:sz w:val="24"/>
          <w:szCs w:val="24"/>
        </w:rPr>
        <w:t xml:space="preserve">. </w:t>
      </w:r>
      <w:r w:rsidR="002629BF">
        <w:rPr>
          <w:sz w:val="24"/>
          <w:szCs w:val="24"/>
        </w:rPr>
        <w:t>The same survey</w:t>
      </w:r>
      <w:r>
        <w:rPr>
          <w:sz w:val="24"/>
          <w:szCs w:val="24"/>
        </w:rPr>
        <w:t xml:space="preserve"> will be administered for both samples</w:t>
      </w:r>
      <w:r w:rsidR="002629BF">
        <w:rPr>
          <w:sz w:val="24"/>
          <w:szCs w:val="24"/>
        </w:rPr>
        <w:t xml:space="preserve">. </w:t>
      </w:r>
      <w:proofErr w:type="spellStart"/>
      <w:r w:rsidR="00E865D8" w:rsidRPr="00B0325E">
        <w:rPr>
          <w:rFonts w:cs="Arial"/>
          <w:sz w:val="24"/>
          <w:szCs w:val="24"/>
        </w:rPr>
        <w:t>GfK</w:t>
      </w:r>
      <w:proofErr w:type="spellEnd"/>
      <w:r w:rsidR="00E865D8" w:rsidRPr="00B0325E">
        <w:rPr>
          <w:rFonts w:cs="Arial"/>
          <w:sz w:val="24"/>
          <w:szCs w:val="24"/>
        </w:rPr>
        <w:t xml:space="preserve"> Custom Research (</w:t>
      </w:r>
      <w:proofErr w:type="spellStart"/>
      <w:r w:rsidR="00E865D8" w:rsidRPr="00B0325E">
        <w:rPr>
          <w:rFonts w:cs="Arial"/>
          <w:sz w:val="24"/>
          <w:szCs w:val="24"/>
        </w:rPr>
        <w:t>GfK</w:t>
      </w:r>
      <w:proofErr w:type="spellEnd"/>
      <w:r w:rsidR="00E865D8" w:rsidRPr="00B0325E">
        <w:rPr>
          <w:rFonts w:cs="Arial"/>
          <w:sz w:val="24"/>
          <w:szCs w:val="24"/>
        </w:rPr>
        <w:t>) (formally Knowledge Networks) will conduct the surve</w:t>
      </w:r>
      <w:r w:rsidR="00E865D8">
        <w:rPr>
          <w:rFonts w:cs="Arial"/>
          <w:sz w:val="24"/>
          <w:szCs w:val="24"/>
        </w:rPr>
        <w:t>y using their Knowledge</w:t>
      </w:r>
      <w:r w:rsidR="007A439B">
        <w:rPr>
          <w:rFonts w:cs="Arial"/>
          <w:sz w:val="24"/>
          <w:szCs w:val="24"/>
        </w:rPr>
        <w:t xml:space="preserve"> </w:t>
      </w:r>
      <w:r w:rsidR="00E865D8">
        <w:rPr>
          <w:rFonts w:cs="Arial"/>
          <w:sz w:val="24"/>
          <w:szCs w:val="24"/>
        </w:rPr>
        <w:t>Panel -- a</w:t>
      </w:r>
      <w:r w:rsidR="00E865D8" w:rsidRPr="00B0325E">
        <w:rPr>
          <w:rFonts w:cs="Arial"/>
          <w:sz w:val="24"/>
          <w:szCs w:val="24"/>
        </w:rPr>
        <w:t xml:space="preserve"> nationally rep</w:t>
      </w:r>
      <w:r w:rsidR="00B127BA">
        <w:rPr>
          <w:rFonts w:cs="Arial"/>
          <w:sz w:val="24"/>
          <w:szCs w:val="24"/>
        </w:rPr>
        <w:t xml:space="preserve">resentative and probability-based </w:t>
      </w:r>
      <w:r w:rsidR="00E865D8" w:rsidRPr="00B0325E">
        <w:rPr>
          <w:rFonts w:cs="Arial"/>
          <w:sz w:val="24"/>
          <w:szCs w:val="24"/>
        </w:rPr>
        <w:t>online panel</w:t>
      </w:r>
      <w:r w:rsidR="00E865D8" w:rsidRPr="00B0325E">
        <w:rPr>
          <w:sz w:val="24"/>
          <w:szCs w:val="24"/>
        </w:rPr>
        <w:t xml:space="preserve">. </w:t>
      </w:r>
      <w:r w:rsidR="00371EF4">
        <w:rPr>
          <w:sz w:val="24"/>
          <w:szCs w:val="24"/>
        </w:rPr>
        <w:br/>
      </w:r>
    </w:p>
    <w:p w14:paraId="747A0416" w14:textId="7591783F" w:rsidR="00371EF4" w:rsidRPr="00C2062B" w:rsidRDefault="008E4C4C" w:rsidP="00E865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response rate for the sample used to form the Knowledge Panel is near 10%. The details of the how that screening is done is covered in the </w:t>
      </w:r>
      <w:proofErr w:type="spellStart"/>
      <w:r>
        <w:rPr>
          <w:sz w:val="24"/>
          <w:szCs w:val="24"/>
        </w:rPr>
        <w:t>GfK</w:t>
      </w:r>
      <w:proofErr w:type="spellEnd"/>
      <w:r>
        <w:rPr>
          <w:sz w:val="24"/>
          <w:szCs w:val="24"/>
        </w:rPr>
        <w:t xml:space="preserve"> attachment on sampling &amp; weighting procedures included along with the submission of this supplement. </w:t>
      </w:r>
      <w:r w:rsidR="00371EF4" w:rsidRPr="00C2062B">
        <w:rPr>
          <w:sz w:val="24"/>
          <w:szCs w:val="24"/>
        </w:rPr>
        <w:t xml:space="preserve">Given the efforts made to make the sample representative of the population along numerous demographic and other lines in pre- and post-sampling procedures, we believe the Knowledge Panel is the best on-line sample available for our purposes. Also, there are numerous examples of past projects approved by OMB, which use </w:t>
      </w:r>
      <w:proofErr w:type="spellStart"/>
      <w:r w:rsidR="00371EF4" w:rsidRPr="00C2062B">
        <w:rPr>
          <w:sz w:val="24"/>
          <w:szCs w:val="24"/>
        </w:rPr>
        <w:t>GfK’s</w:t>
      </w:r>
      <w:proofErr w:type="spellEnd"/>
      <w:r w:rsidR="00371EF4" w:rsidRPr="00C2062B">
        <w:rPr>
          <w:sz w:val="24"/>
          <w:szCs w:val="24"/>
        </w:rPr>
        <w:t xml:space="preserve"> Knowledge Panel. Some of these are reported in the </w:t>
      </w:r>
      <w:proofErr w:type="spellStart"/>
      <w:r w:rsidR="00371EF4" w:rsidRPr="00C2062B">
        <w:rPr>
          <w:sz w:val="24"/>
          <w:szCs w:val="24"/>
        </w:rPr>
        <w:t>GfK</w:t>
      </w:r>
      <w:proofErr w:type="spellEnd"/>
      <w:r w:rsidR="00371EF4" w:rsidRPr="00C2062B">
        <w:rPr>
          <w:sz w:val="24"/>
          <w:szCs w:val="24"/>
        </w:rPr>
        <w:t xml:space="preserve"> Documentation sent here. There are also many published </w:t>
      </w:r>
      <w:r w:rsidR="008B0478" w:rsidRPr="00C2062B">
        <w:rPr>
          <w:sz w:val="24"/>
          <w:szCs w:val="24"/>
        </w:rPr>
        <w:t xml:space="preserve">peer-review </w:t>
      </w:r>
      <w:r w:rsidR="00371EF4" w:rsidRPr="00C2062B">
        <w:rPr>
          <w:sz w:val="24"/>
          <w:szCs w:val="24"/>
        </w:rPr>
        <w:t xml:space="preserve">articles in the economics literature using the Knowledge Panel, which </w:t>
      </w:r>
      <w:r w:rsidR="005C3DDF" w:rsidRPr="00C2062B">
        <w:rPr>
          <w:sz w:val="24"/>
          <w:szCs w:val="24"/>
        </w:rPr>
        <w:t xml:space="preserve">is </w:t>
      </w:r>
      <w:r w:rsidR="00371EF4" w:rsidRPr="00C2062B">
        <w:rPr>
          <w:sz w:val="24"/>
          <w:szCs w:val="24"/>
        </w:rPr>
        <w:t>testimony fro</w:t>
      </w:r>
      <w:bookmarkStart w:id="0" w:name="_GoBack"/>
      <w:bookmarkEnd w:id="0"/>
      <w:r w:rsidR="00371EF4" w:rsidRPr="00C2062B">
        <w:rPr>
          <w:sz w:val="24"/>
          <w:szCs w:val="24"/>
        </w:rPr>
        <w:t xml:space="preserve">m the profession on the quality of the data. We have listed a several articles based on </w:t>
      </w:r>
      <w:proofErr w:type="spellStart"/>
      <w:r w:rsidR="00371EF4" w:rsidRPr="00C2062B">
        <w:rPr>
          <w:sz w:val="24"/>
          <w:szCs w:val="24"/>
        </w:rPr>
        <w:t>GfK</w:t>
      </w:r>
      <w:proofErr w:type="spellEnd"/>
      <w:r w:rsidR="00371EF4" w:rsidRPr="00C2062B">
        <w:rPr>
          <w:sz w:val="24"/>
          <w:szCs w:val="24"/>
        </w:rPr>
        <w:t xml:space="preserve"> data at the end of this section. </w:t>
      </w:r>
    </w:p>
    <w:p w14:paraId="5E553817" w14:textId="77777777" w:rsidR="00235D42" w:rsidRDefault="00235D42" w:rsidP="00716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55C10C" w14:textId="77777777" w:rsidR="00235D42" w:rsidRDefault="00E737AB" w:rsidP="00235D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population for the General Population Sample is all </w:t>
      </w:r>
      <w:r w:rsidR="00716945" w:rsidRPr="0094068C">
        <w:rPr>
          <w:sz w:val="24"/>
          <w:szCs w:val="24"/>
        </w:rPr>
        <w:t>individuals</w:t>
      </w:r>
      <w:r w:rsidR="00755C22" w:rsidRPr="0094068C">
        <w:rPr>
          <w:sz w:val="24"/>
          <w:szCs w:val="24"/>
        </w:rPr>
        <w:t xml:space="preserve"> </w:t>
      </w:r>
      <w:r w:rsidR="004C7B9F">
        <w:rPr>
          <w:sz w:val="24"/>
          <w:szCs w:val="24"/>
        </w:rPr>
        <w:t xml:space="preserve">over 17 years old </w:t>
      </w:r>
      <w:r w:rsidR="00716945" w:rsidRPr="0094068C">
        <w:rPr>
          <w:sz w:val="24"/>
          <w:szCs w:val="24"/>
        </w:rPr>
        <w:t xml:space="preserve">in </w:t>
      </w:r>
      <w:r>
        <w:rPr>
          <w:sz w:val="24"/>
          <w:szCs w:val="24"/>
        </w:rPr>
        <w:t xml:space="preserve">the </w:t>
      </w:r>
      <w:r w:rsidR="007824B6">
        <w:rPr>
          <w:sz w:val="24"/>
          <w:szCs w:val="24"/>
        </w:rPr>
        <w:t>20</w:t>
      </w:r>
      <w:r w:rsidR="00DB65F7" w:rsidRPr="0094068C">
        <w:rPr>
          <w:sz w:val="24"/>
          <w:szCs w:val="24"/>
        </w:rPr>
        <w:t xml:space="preserve"> </w:t>
      </w:r>
      <w:r w:rsidR="004C7B9F">
        <w:rPr>
          <w:sz w:val="24"/>
          <w:szCs w:val="24"/>
        </w:rPr>
        <w:t>State</w:t>
      </w:r>
      <w:r w:rsidR="00DB65F7" w:rsidRPr="0094068C">
        <w:rPr>
          <w:sz w:val="24"/>
          <w:szCs w:val="24"/>
        </w:rPr>
        <w:t>s</w:t>
      </w:r>
      <w:r w:rsidR="007824B6">
        <w:rPr>
          <w:sz w:val="24"/>
          <w:szCs w:val="24"/>
        </w:rPr>
        <w:t xml:space="preserve"> (including Washington DC)</w:t>
      </w:r>
      <w:r w:rsidR="00716945" w:rsidRPr="0094068C">
        <w:rPr>
          <w:sz w:val="24"/>
          <w:szCs w:val="24"/>
        </w:rPr>
        <w:t xml:space="preserve"> </w:t>
      </w:r>
      <w:r w:rsidR="00D3527E" w:rsidRPr="0094068C">
        <w:rPr>
          <w:sz w:val="24"/>
          <w:szCs w:val="24"/>
        </w:rPr>
        <w:t>sh</w:t>
      </w:r>
      <w:r w:rsidR="00E97D39">
        <w:rPr>
          <w:sz w:val="24"/>
          <w:szCs w:val="24"/>
        </w:rPr>
        <w:t>own in T</w:t>
      </w:r>
      <w:r w:rsidR="002B67EE" w:rsidRPr="0094068C">
        <w:rPr>
          <w:sz w:val="24"/>
          <w:szCs w:val="24"/>
        </w:rPr>
        <w:t xml:space="preserve">able </w:t>
      </w:r>
      <w:r w:rsidR="00E97D39">
        <w:rPr>
          <w:sz w:val="24"/>
          <w:szCs w:val="24"/>
        </w:rPr>
        <w:t xml:space="preserve">1 </w:t>
      </w:r>
      <w:r w:rsidR="002B67EE" w:rsidRPr="0094068C">
        <w:rPr>
          <w:sz w:val="24"/>
          <w:szCs w:val="24"/>
        </w:rPr>
        <w:t>belo</w:t>
      </w:r>
      <w:r>
        <w:rPr>
          <w:sz w:val="24"/>
          <w:szCs w:val="24"/>
        </w:rPr>
        <w:t>w. T</w:t>
      </w:r>
      <w:r w:rsidR="00E97D39">
        <w:rPr>
          <w:sz w:val="24"/>
          <w:szCs w:val="24"/>
        </w:rPr>
        <w:t>he population for the Beachgoer-Only Sample</w:t>
      </w:r>
      <w:r>
        <w:rPr>
          <w:sz w:val="24"/>
          <w:szCs w:val="24"/>
        </w:rPr>
        <w:t xml:space="preserve"> is all individuals over 17 years old in the same 20 states </w:t>
      </w:r>
      <w:r w:rsidR="002B67EE" w:rsidRPr="0094068C">
        <w:rPr>
          <w:sz w:val="24"/>
          <w:szCs w:val="24"/>
        </w:rPr>
        <w:t>w</w:t>
      </w:r>
      <w:r>
        <w:rPr>
          <w:sz w:val="24"/>
          <w:szCs w:val="24"/>
        </w:rPr>
        <w:t xml:space="preserve">ho have visited a beach on the east coast in the last 12 months. </w:t>
      </w:r>
      <w:r w:rsidR="00E97D39">
        <w:rPr>
          <w:sz w:val="24"/>
          <w:szCs w:val="24"/>
        </w:rPr>
        <w:t xml:space="preserve">Beachgoers, of course, are of special interest in our analysis. </w:t>
      </w:r>
      <w:r w:rsidR="00CD5F27">
        <w:rPr>
          <w:sz w:val="24"/>
          <w:szCs w:val="24"/>
        </w:rPr>
        <w:t xml:space="preserve">Our </w:t>
      </w:r>
      <w:r w:rsidR="00356944" w:rsidRPr="0094068C">
        <w:rPr>
          <w:sz w:val="24"/>
          <w:szCs w:val="24"/>
        </w:rPr>
        <w:t xml:space="preserve">definition of an </w:t>
      </w:r>
      <w:r w:rsidR="0050248A" w:rsidRPr="0094068C">
        <w:rPr>
          <w:sz w:val="24"/>
          <w:szCs w:val="24"/>
        </w:rPr>
        <w:t>“east coast</w:t>
      </w:r>
      <w:r w:rsidR="00356944" w:rsidRPr="0094068C">
        <w:rPr>
          <w:sz w:val="24"/>
          <w:szCs w:val="24"/>
        </w:rPr>
        <w:t xml:space="preserve"> beach</w:t>
      </w:r>
      <w:r w:rsidR="0050248A" w:rsidRPr="0094068C">
        <w:rPr>
          <w:sz w:val="24"/>
          <w:szCs w:val="24"/>
        </w:rPr>
        <w:t xml:space="preserve">” </w:t>
      </w:r>
      <w:r w:rsidR="00356944" w:rsidRPr="0094068C">
        <w:rPr>
          <w:sz w:val="24"/>
          <w:szCs w:val="24"/>
        </w:rPr>
        <w:t>is a</w:t>
      </w:r>
      <w:r w:rsidR="00F40CE2">
        <w:rPr>
          <w:sz w:val="24"/>
          <w:szCs w:val="24"/>
        </w:rPr>
        <w:t>n</w:t>
      </w:r>
      <w:r w:rsidR="00356944" w:rsidRPr="0094068C">
        <w:rPr>
          <w:sz w:val="24"/>
          <w:szCs w:val="24"/>
        </w:rPr>
        <w:t xml:space="preserve"> </w:t>
      </w:r>
      <w:r w:rsidR="00F40CE2">
        <w:rPr>
          <w:sz w:val="24"/>
          <w:szCs w:val="24"/>
        </w:rPr>
        <w:t xml:space="preserve">ocean </w:t>
      </w:r>
      <w:r w:rsidR="00356944" w:rsidRPr="0094068C">
        <w:rPr>
          <w:sz w:val="24"/>
          <w:szCs w:val="24"/>
        </w:rPr>
        <w:t xml:space="preserve">beach in any </w:t>
      </w:r>
      <w:r w:rsidR="008C243B">
        <w:rPr>
          <w:sz w:val="24"/>
          <w:szCs w:val="24"/>
        </w:rPr>
        <w:t>s</w:t>
      </w:r>
      <w:r w:rsidR="004C7B9F">
        <w:rPr>
          <w:sz w:val="24"/>
          <w:szCs w:val="24"/>
        </w:rPr>
        <w:t>tate</w:t>
      </w:r>
      <w:r w:rsidR="00356944" w:rsidRPr="0094068C">
        <w:rPr>
          <w:sz w:val="24"/>
          <w:szCs w:val="24"/>
        </w:rPr>
        <w:t xml:space="preserve"> from </w:t>
      </w:r>
      <w:r w:rsidR="0050248A" w:rsidRPr="0094068C">
        <w:rPr>
          <w:sz w:val="24"/>
          <w:szCs w:val="24"/>
        </w:rPr>
        <w:t>Massachusetts to South Carolina.</w:t>
      </w:r>
      <w:r w:rsidR="00E044AB">
        <w:rPr>
          <w:sz w:val="24"/>
          <w:szCs w:val="24"/>
        </w:rPr>
        <w:t xml:space="preserve"> </w:t>
      </w:r>
      <w:r w:rsidR="004E6E35">
        <w:rPr>
          <w:sz w:val="24"/>
          <w:szCs w:val="24"/>
        </w:rPr>
        <w:t xml:space="preserve">In both samples, respondents are randomly drawn from their respective populations. </w:t>
      </w:r>
    </w:p>
    <w:p w14:paraId="22DB920C" w14:textId="03149162" w:rsidR="00726ADF" w:rsidRPr="00006BC7" w:rsidRDefault="00460E58" w:rsidP="00716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br/>
        <w:t xml:space="preserve">The </w:t>
      </w:r>
      <w:r w:rsidR="00E044AB">
        <w:rPr>
          <w:sz w:val="24"/>
          <w:szCs w:val="24"/>
        </w:rPr>
        <w:t xml:space="preserve">target sample size for the General Population </w:t>
      </w:r>
      <w:r w:rsidR="00564B72">
        <w:rPr>
          <w:sz w:val="24"/>
          <w:szCs w:val="24"/>
        </w:rPr>
        <w:t xml:space="preserve">Sample </w:t>
      </w:r>
      <w:r w:rsidR="00726ADF">
        <w:rPr>
          <w:sz w:val="24"/>
          <w:szCs w:val="24"/>
        </w:rPr>
        <w:t>is 500</w:t>
      </w:r>
      <w:r w:rsidR="00E044AB">
        <w:rPr>
          <w:sz w:val="24"/>
          <w:szCs w:val="24"/>
        </w:rPr>
        <w:t xml:space="preserve">. Since we expect a </w:t>
      </w:r>
      <w:r w:rsidR="002D7866">
        <w:rPr>
          <w:sz w:val="24"/>
          <w:szCs w:val="24"/>
        </w:rPr>
        <w:t>Knowledge Panel</w:t>
      </w:r>
      <w:r w:rsidR="00DC5399">
        <w:rPr>
          <w:sz w:val="24"/>
          <w:szCs w:val="24"/>
        </w:rPr>
        <w:t xml:space="preserve"> </w:t>
      </w:r>
      <w:r w:rsidR="00E044AB">
        <w:rPr>
          <w:sz w:val="24"/>
          <w:szCs w:val="24"/>
        </w:rPr>
        <w:t>response rate of 85%</w:t>
      </w:r>
      <w:r w:rsidR="00CD5F27">
        <w:rPr>
          <w:sz w:val="24"/>
          <w:szCs w:val="24"/>
        </w:rPr>
        <w:t xml:space="preserve">, </w:t>
      </w:r>
      <w:r w:rsidR="00564B72">
        <w:rPr>
          <w:sz w:val="24"/>
          <w:szCs w:val="24"/>
        </w:rPr>
        <w:t>we</w:t>
      </w:r>
      <w:r w:rsidR="00085022">
        <w:rPr>
          <w:sz w:val="24"/>
          <w:szCs w:val="24"/>
        </w:rPr>
        <w:t xml:space="preserve"> need to solicit around</w:t>
      </w:r>
      <w:r w:rsidR="00242A46">
        <w:rPr>
          <w:sz w:val="24"/>
          <w:szCs w:val="24"/>
        </w:rPr>
        <w:t xml:space="preserve"> 588</w:t>
      </w:r>
      <w:r w:rsidR="00085022">
        <w:rPr>
          <w:sz w:val="24"/>
          <w:szCs w:val="24"/>
        </w:rPr>
        <w:t xml:space="preserve"> people</w:t>
      </w:r>
      <w:r w:rsidR="00235D42">
        <w:rPr>
          <w:sz w:val="24"/>
          <w:szCs w:val="24"/>
        </w:rPr>
        <w:t xml:space="preserve"> (500 = .85 x 588)</w:t>
      </w:r>
      <w:r w:rsidR="00085022">
        <w:rPr>
          <w:sz w:val="24"/>
          <w:szCs w:val="24"/>
        </w:rPr>
        <w:t>.</w:t>
      </w:r>
      <w:r w:rsidR="00235D42">
        <w:rPr>
          <w:sz w:val="24"/>
          <w:szCs w:val="24"/>
        </w:rPr>
        <w:t xml:space="preserve"> </w:t>
      </w:r>
      <w:r w:rsidR="00CD5F27">
        <w:rPr>
          <w:sz w:val="24"/>
          <w:szCs w:val="24"/>
        </w:rPr>
        <w:t>The response rate of 85% may s</w:t>
      </w:r>
      <w:r w:rsidR="00E97D39">
        <w:rPr>
          <w:sz w:val="24"/>
          <w:szCs w:val="24"/>
        </w:rPr>
        <w:t>eem high, but recall that we will be</w:t>
      </w:r>
      <w:r w:rsidR="00CD5F27">
        <w:rPr>
          <w:sz w:val="24"/>
          <w:szCs w:val="24"/>
        </w:rPr>
        <w:t xml:space="preserve"> using a prescreened sample</w:t>
      </w:r>
      <w:r w:rsidR="00C9010B">
        <w:rPr>
          <w:sz w:val="24"/>
          <w:szCs w:val="24"/>
        </w:rPr>
        <w:t xml:space="preserve">. </w:t>
      </w:r>
    </w:p>
    <w:p w14:paraId="5C7EA209" w14:textId="77777777" w:rsidR="00726ADF" w:rsidRDefault="00CD5F27" w:rsidP="00716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14:paraId="011B1EA5" w14:textId="1608D8F4" w:rsidR="00235D42" w:rsidRDefault="003D0D06" w:rsidP="00716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564B72">
        <w:rPr>
          <w:sz w:val="24"/>
          <w:szCs w:val="24"/>
        </w:rPr>
        <w:t>targe</w:t>
      </w:r>
      <w:r w:rsidR="00E97D39">
        <w:rPr>
          <w:sz w:val="24"/>
          <w:szCs w:val="24"/>
        </w:rPr>
        <w:t>t sample size for the Beachgoer-Only</w:t>
      </w:r>
      <w:r w:rsidR="00564B72">
        <w:rPr>
          <w:sz w:val="24"/>
          <w:szCs w:val="24"/>
        </w:rPr>
        <w:t xml:space="preserve"> Sample </w:t>
      </w:r>
      <w:r>
        <w:rPr>
          <w:sz w:val="24"/>
          <w:szCs w:val="24"/>
        </w:rPr>
        <w:t>is 1</w:t>
      </w:r>
      <w:r w:rsidR="00646041">
        <w:rPr>
          <w:sz w:val="24"/>
          <w:szCs w:val="24"/>
        </w:rPr>
        <w:t>,</w:t>
      </w:r>
      <w:r>
        <w:rPr>
          <w:sz w:val="24"/>
          <w:szCs w:val="24"/>
        </w:rPr>
        <w:t xml:space="preserve">600.  </w:t>
      </w:r>
      <w:r w:rsidR="00242A46">
        <w:rPr>
          <w:sz w:val="24"/>
          <w:szCs w:val="24"/>
        </w:rPr>
        <w:t>Since we expect about 35% of the population will be beachgoers based on past surveys and again expect a</w:t>
      </w:r>
      <w:r w:rsidR="002D7866">
        <w:rPr>
          <w:sz w:val="24"/>
          <w:szCs w:val="24"/>
        </w:rPr>
        <w:t xml:space="preserve"> Knowledge Panel</w:t>
      </w:r>
      <w:r w:rsidR="00242A46">
        <w:rPr>
          <w:sz w:val="24"/>
          <w:szCs w:val="24"/>
        </w:rPr>
        <w:t xml:space="preserve"> response rate of 85%, we will need to solicit around 5</w:t>
      </w:r>
      <w:r w:rsidR="00646041">
        <w:rPr>
          <w:sz w:val="24"/>
          <w:szCs w:val="24"/>
        </w:rPr>
        <w:t>,</w:t>
      </w:r>
      <w:r w:rsidR="00242A46">
        <w:rPr>
          <w:sz w:val="24"/>
          <w:szCs w:val="24"/>
        </w:rPr>
        <w:t>378 people (</w:t>
      </w:r>
      <w:r w:rsidR="00235D42">
        <w:rPr>
          <w:sz w:val="24"/>
          <w:szCs w:val="24"/>
        </w:rPr>
        <w:t>1</w:t>
      </w:r>
      <w:r w:rsidR="00646041">
        <w:rPr>
          <w:sz w:val="24"/>
          <w:szCs w:val="24"/>
        </w:rPr>
        <w:t>,</w:t>
      </w:r>
      <w:r w:rsidR="00235D42">
        <w:rPr>
          <w:sz w:val="24"/>
          <w:szCs w:val="24"/>
        </w:rPr>
        <w:t>600 = .85 X .35 x 5</w:t>
      </w:r>
      <w:r w:rsidR="00646041">
        <w:rPr>
          <w:sz w:val="24"/>
          <w:szCs w:val="24"/>
        </w:rPr>
        <w:t>,</w:t>
      </w:r>
      <w:r w:rsidR="00235D42">
        <w:rPr>
          <w:sz w:val="24"/>
          <w:szCs w:val="24"/>
        </w:rPr>
        <w:t>378</w:t>
      </w:r>
      <w:r w:rsidR="00242A46">
        <w:rPr>
          <w:sz w:val="24"/>
          <w:szCs w:val="24"/>
        </w:rPr>
        <w:t>)</w:t>
      </w:r>
      <w:r w:rsidR="00235D42">
        <w:rPr>
          <w:sz w:val="24"/>
          <w:szCs w:val="24"/>
        </w:rPr>
        <w:t>.</w:t>
      </w:r>
      <w:r w:rsidR="00242A46">
        <w:rPr>
          <w:sz w:val="24"/>
          <w:szCs w:val="24"/>
        </w:rPr>
        <w:t xml:space="preserve"> </w:t>
      </w:r>
      <w:r w:rsidR="005C3DDF">
        <w:rPr>
          <w:sz w:val="24"/>
          <w:szCs w:val="24"/>
        </w:rPr>
        <w:t xml:space="preserve">The past survey used to estimate the beach-going rate was a Knowledge Panel survey done by </w:t>
      </w:r>
      <w:r w:rsidR="005C3DDF">
        <w:rPr>
          <w:sz w:val="24"/>
          <w:szCs w:val="24"/>
        </w:rPr>
        <w:lastRenderedPageBreak/>
        <w:t>the University of Delaware on beach use in the Mid-Atlantic from a similar set of east coast states</w:t>
      </w:r>
      <w:r w:rsidR="00663850">
        <w:rPr>
          <w:sz w:val="24"/>
          <w:szCs w:val="24"/>
        </w:rPr>
        <w:t xml:space="preserve"> in 2005</w:t>
      </w:r>
      <w:r w:rsidR="005C3DDF">
        <w:rPr>
          <w:sz w:val="24"/>
          <w:szCs w:val="24"/>
        </w:rPr>
        <w:t xml:space="preserve">. </w:t>
      </w:r>
    </w:p>
    <w:p w14:paraId="08735E96" w14:textId="77777777" w:rsidR="002629BF" w:rsidRDefault="002629BF" w:rsidP="00716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004E46" w14:textId="77777777" w:rsidR="00022B22" w:rsidRDefault="002629BF" w:rsidP="00716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As noted above, the same survey is adm</w:t>
      </w:r>
      <w:r w:rsidR="004E6E35">
        <w:rPr>
          <w:sz w:val="24"/>
          <w:szCs w:val="24"/>
        </w:rPr>
        <w:t>inistered for bo</w:t>
      </w:r>
      <w:r w:rsidR="007A439B">
        <w:rPr>
          <w:sz w:val="24"/>
          <w:szCs w:val="24"/>
        </w:rPr>
        <w:t>th sample</w:t>
      </w:r>
      <w:r w:rsidR="004E6E35">
        <w:rPr>
          <w:sz w:val="24"/>
          <w:szCs w:val="24"/>
        </w:rPr>
        <w:t>s. T</w:t>
      </w:r>
      <w:r>
        <w:rPr>
          <w:sz w:val="24"/>
          <w:szCs w:val="24"/>
        </w:rPr>
        <w:t xml:space="preserve">he </w:t>
      </w:r>
      <w:r w:rsidR="00E97D39">
        <w:rPr>
          <w:sz w:val="24"/>
          <w:szCs w:val="24"/>
        </w:rPr>
        <w:t xml:space="preserve">survey </w:t>
      </w:r>
      <w:r>
        <w:rPr>
          <w:sz w:val="24"/>
          <w:szCs w:val="24"/>
        </w:rPr>
        <w:t>protocol</w:t>
      </w:r>
      <w:r w:rsidR="004E6E35">
        <w:rPr>
          <w:sz w:val="24"/>
          <w:szCs w:val="24"/>
        </w:rPr>
        <w:t>, however, is different</w:t>
      </w:r>
      <w:r>
        <w:rPr>
          <w:sz w:val="24"/>
          <w:szCs w:val="24"/>
        </w:rPr>
        <w:t xml:space="preserve"> for the t</w:t>
      </w:r>
      <w:r w:rsidR="004E6E35">
        <w:rPr>
          <w:sz w:val="24"/>
          <w:szCs w:val="24"/>
        </w:rPr>
        <w:t>wo samples</w:t>
      </w:r>
      <w:r>
        <w:rPr>
          <w:sz w:val="24"/>
          <w:szCs w:val="24"/>
        </w:rPr>
        <w:t xml:space="preserve">. </w:t>
      </w:r>
      <w:r w:rsidR="00093FE9">
        <w:rPr>
          <w:sz w:val="24"/>
          <w:szCs w:val="24"/>
        </w:rPr>
        <w:t xml:space="preserve">The question on page 14 of the survey (included </w:t>
      </w:r>
      <w:r w:rsidR="007A439B">
        <w:rPr>
          <w:sz w:val="24"/>
          <w:szCs w:val="24"/>
        </w:rPr>
        <w:t xml:space="preserve">here </w:t>
      </w:r>
      <w:r w:rsidR="00093FE9">
        <w:rPr>
          <w:sz w:val="24"/>
          <w:szCs w:val="24"/>
        </w:rPr>
        <w:t xml:space="preserve">along with the supplements) is used to identify beachgoers and non-beachgoers. </w:t>
      </w:r>
      <w:r>
        <w:rPr>
          <w:sz w:val="24"/>
          <w:szCs w:val="24"/>
        </w:rPr>
        <w:t>F</w:t>
      </w:r>
      <w:r w:rsidR="00093FE9">
        <w:rPr>
          <w:sz w:val="24"/>
          <w:szCs w:val="24"/>
        </w:rPr>
        <w:t>or the General Population Sample</w:t>
      </w:r>
      <w:r>
        <w:rPr>
          <w:sz w:val="24"/>
          <w:szCs w:val="24"/>
        </w:rPr>
        <w:t>,</w:t>
      </w:r>
      <w:r w:rsidR="00093FE9">
        <w:rPr>
          <w:sz w:val="24"/>
          <w:szCs w:val="24"/>
        </w:rPr>
        <w:t xml:space="preserve"> the res</w:t>
      </w:r>
      <w:r w:rsidR="00DC2AFE">
        <w:rPr>
          <w:sz w:val="24"/>
          <w:szCs w:val="24"/>
        </w:rPr>
        <w:t>ponse to this question directs be</w:t>
      </w:r>
      <w:r w:rsidR="007A439B">
        <w:rPr>
          <w:sz w:val="24"/>
          <w:szCs w:val="24"/>
        </w:rPr>
        <w:t xml:space="preserve">achgoers and non-beachgoers to </w:t>
      </w:r>
      <w:r>
        <w:rPr>
          <w:sz w:val="24"/>
          <w:szCs w:val="24"/>
        </w:rPr>
        <w:t xml:space="preserve">different survey questions tailored to their </w:t>
      </w:r>
      <w:r w:rsidR="00DC2AFE">
        <w:rPr>
          <w:sz w:val="24"/>
          <w:szCs w:val="24"/>
        </w:rPr>
        <w:t>beach use.  For the Beachgoer-Only</w:t>
      </w:r>
      <w:r w:rsidR="00093FE9">
        <w:rPr>
          <w:sz w:val="24"/>
          <w:szCs w:val="24"/>
        </w:rPr>
        <w:t xml:space="preserve"> Sample</w:t>
      </w:r>
      <w:r w:rsidR="009A0F25">
        <w:rPr>
          <w:sz w:val="24"/>
          <w:szCs w:val="24"/>
        </w:rPr>
        <w:t>, the response to this</w:t>
      </w:r>
      <w:r w:rsidR="007A439B">
        <w:rPr>
          <w:sz w:val="24"/>
          <w:szCs w:val="24"/>
        </w:rPr>
        <w:t xml:space="preserve"> </w:t>
      </w:r>
      <w:r w:rsidR="00DC2AFE">
        <w:rPr>
          <w:sz w:val="24"/>
          <w:szCs w:val="24"/>
        </w:rPr>
        <w:t>question is used as a screen, wherein n</w:t>
      </w:r>
      <w:r w:rsidR="00093FE9">
        <w:rPr>
          <w:sz w:val="24"/>
          <w:szCs w:val="24"/>
        </w:rPr>
        <w:t>on-</w:t>
      </w:r>
      <w:r w:rsidR="00DC2AFE">
        <w:rPr>
          <w:sz w:val="24"/>
          <w:szCs w:val="24"/>
        </w:rPr>
        <w:t>beach</w:t>
      </w:r>
      <w:r w:rsidR="00093FE9">
        <w:rPr>
          <w:sz w:val="24"/>
          <w:szCs w:val="24"/>
        </w:rPr>
        <w:t>goers are dropped from the sample and beach</w:t>
      </w:r>
      <w:r w:rsidR="00DC2AFE">
        <w:rPr>
          <w:sz w:val="24"/>
          <w:szCs w:val="24"/>
        </w:rPr>
        <w:t>goers are included</w:t>
      </w:r>
      <w:r w:rsidR="00093FE9">
        <w:rPr>
          <w:sz w:val="24"/>
          <w:szCs w:val="24"/>
        </w:rPr>
        <w:t xml:space="preserve">. </w:t>
      </w:r>
      <w:r w:rsidR="00022B22">
        <w:rPr>
          <w:sz w:val="24"/>
          <w:szCs w:val="24"/>
        </w:rPr>
        <w:t>Otherwise, the administration and construction</w:t>
      </w:r>
      <w:r w:rsidR="00DC2AFE">
        <w:rPr>
          <w:sz w:val="24"/>
          <w:szCs w:val="24"/>
        </w:rPr>
        <w:t xml:space="preserve"> of the survey for the two</w:t>
      </w:r>
      <w:r w:rsidR="00022B22">
        <w:rPr>
          <w:sz w:val="24"/>
          <w:szCs w:val="24"/>
        </w:rPr>
        <w:t xml:space="preserve"> samples is the same. </w:t>
      </w:r>
    </w:p>
    <w:p w14:paraId="1FC7B819" w14:textId="77777777" w:rsidR="00022B22" w:rsidRDefault="00022B22" w:rsidP="00716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EE5F03" w14:textId="77777777" w:rsidR="002B43E6" w:rsidRDefault="00022B22" w:rsidP="00716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Since there are beachgoers in the General Population </w:t>
      </w:r>
      <w:r w:rsidR="00B577B9">
        <w:rPr>
          <w:sz w:val="24"/>
          <w:szCs w:val="24"/>
        </w:rPr>
        <w:t>Sample and the Beachgoer-Only Sample</w:t>
      </w:r>
      <w:r>
        <w:rPr>
          <w:sz w:val="24"/>
          <w:szCs w:val="24"/>
        </w:rPr>
        <w:t>, we expect a total of approximately 1</w:t>
      </w:r>
      <w:r w:rsidR="00646041">
        <w:rPr>
          <w:sz w:val="24"/>
          <w:szCs w:val="24"/>
        </w:rPr>
        <w:t>,</w:t>
      </w:r>
      <w:r>
        <w:rPr>
          <w:sz w:val="24"/>
          <w:szCs w:val="24"/>
        </w:rPr>
        <w:t>775 beachgoers in total</w:t>
      </w:r>
      <w:r w:rsidR="007A439B">
        <w:rPr>
          <w:sz w:val="24"/>
          <w:szCs w:val="24"/>
        </w:rPr>
        <w:t xml:space="preserve"> (.35 x 500 from the General Population Sample plus 1</w:t>
      </w:r>
      <w:r w:rsidR="00646041">
        <w:rPr>
          <w:sz w:val="24"/>
          <w:szCs w:val="24"/>
        </w:rPr>
        <w:t>,</w:t>
      </w:r>
      <w:r w:rsidR="007A439B">
        <w:rPr>
          <w:sz w:val="24"/>
          <w:szCs w:val="24"/>
        </w:rPr>
        <w:t>600 from the Beachgoer-Only Sample)</w:t>
      </w:r>
      <w:r>
        <w:rPr>
          <w:sz w:val="24"/>
          <w:szCs w:val="24"/>
        </w:rPr>
        <w:t>. Recall, the expected number of beachgoers from the population is about 35%.  That leave</w:t>
      </w:r>
      <w:r w:rsidR="002B43E6">
        <w:rPr>
          <w:sz w:val="24"/>
          <w:szCs w:val="24"/>
        </w:rPr>
        <w:t>s</w:t>
      </w:r>
      <w:r>
        <w:rPr>
          <w:sz w:val="24"/>
          <w:szCs w:val="24"/>
        </w:rPr>
        <w:t xml:space="preserve"> 325 (</w:t>
      </w:r>
      <w:r w:rsidR="002B43E6">
        <w:rPr>
          <w:sz w:val="24"/>
          <w:szCs w:val="24"/>
        </w:rPr>
        <w:t>.65 x 500) non-beachgoers for the analysis.</w:t>
      </w:r>
      <w:r w:rsidR="00DC2AFE">
        <w:rPr>
          <w:sz w:val="24"/>
          <w:szCs w:val="24"/>
        </w:rPr>
        <w:t xml:space="preserve"> Table 2 show</w:t>
      </w:r>
      <w:r w:rsidR="00B577B9">
        <w:rPr>
          <w:sz w:val="24"/>
          <w:szCs w:val="24"/>
        </w:rPr>
        <w:t>s</w:t>
      </w:r>
      <w:r w:rsidR="00DC2AFE">
        <w:rPr>
          <w:sz w:val="24"/>
          <w:szCs w:val="24"/>
        </w:rPr>
        <w:t xml:space="preserve"> the expected response data from the two samples. </w:t>
      </w:r>
    </w:p>
    <w:tbl>
      <w:tblPr>
        <w:tblStyle w:val="TableGrid"/>
        <w:tblpPr w:leftFromText="180" w:rightFromText="180" w:vertAnchor="page" w:horzAnchor="page" w:tblpX="1570" w:tblpY="10145"/>
        <w:tblW w:w="8478" w:type="dxa"/>
        <w:tblLook w:val="04A0" w:firstRow="1" w:lastRow="0" w:firstColumn="1" w:lastColumn="0" w:noHBand="0" w:noVBand="1"/>
      </w:tblPr>
      <w:tblGrid>
        <w:gridCol w:w="7542"/>
        <w:gridCol w:w="936"/>
      </w:tblGrid>
      <w:tr w:rsidR="00F42A80" w14:paraId="58F758D9" w14:textId="77777777" w:rsidTr="00C2062B">
        <w:tc>
          <w:tcPr>
            <w:tcW w:w="7542" w:type="dxa"/>
          </w:tcPr>
          <w:p w14:paraId="12BFDE51" w14:textId="77777777" w:rsidR="009D4E7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65C0964D" w14:textId="77777777" w:rsidR="009D4E7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510C7">
              <w:rPr>
                <w:b/>
              </w:rPr>
              <w:t xml:space="preserve">General Population </w:t>
            </w:r>
            <w:r w:rsidR="007A439B">
              <w:rPr>
                <w:b/>
              </w:rPr>
              <w:t>Sample</w:t>
            </w:r>
          </w:p>
          <w:p w14:paraId="2852EFC0" w14:textId="77777777" w:rsidR="009D4E77" w:rsidRPr="004510C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936" w:type="dxa"/>
          </w:tcPr>
          <w:p w14:paraId="10C4622F" w14:textId="77777777" w:rsidR="009D4E77" w:rsidRPr="004510C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F42A80" w14:paraId="75985F2A" w14:textId="77777777" w:rsidTr="00C2062B">
        <w:tc>
          <w:tcPr>
            <w:tcW w:w="7542" w:type="dxa"/>
          </w:tcPr>
          <w:p w14:paraId="24186A61" w14:textId="77777777" w:rsidR="009D4E77" w:rsidRPr="004510C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510C7">
              <w:t xml:space="preserve">Completed Surveys </w:t>
            </w:r>
            <w:r>
              <w:t xml:space="preserve">based on </w:t>
            </w:r>
            <w:r w:rsidRPr="004510C7">
              <w:t>85% response rate</w:t>
            </w:r>
          </w:p>
        </w:tc>
        <w:tc>
          <w:tcPr>
            <w:tcW w:w="936" w:type="dxa"/>
          </w:tcPr>
          <w:p w14:paraId="57B5D424" w14:textId="77777777" w:rsidR="009D4E77" w:rsidRPr="009D4E7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D4E77">
              <w:t>500</w:t>
            </w:r>
            <w:r w:rsidR="007A439B">
              <w:t>*</w:t>
            </w:r>
          </w:p>
        </w:tc>
      </w:tr>
      <w:tr w:rsidR="00F42A80" w14:paraId="1D841E95" w14:textId="77777777" w:rsidTr="00C2062B">
        <w:tc>
          <w:tcPr>
            <w:tcW w:w="7542" w:type="dxa"/>
          </w:tcPr>
          <w:p w14:paraId="7187B249" w14:textId="77777777" w:rsidR="009D4E77" w:rsidRPr="004510C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Non-response or dropped from survey </w:t>
            </w:r>
          </w:p>
        </w:tc>
        <w:tc>
          <w:tcPr>
            <w:tcW w:w="936" w:type="dxa"/>
          </w:tcPr>
          <w:p w14:paraId="7DCF873D" w14:textId="77777777" w:rsidR="009D4E77" w:rsidRPr="009D4E7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u w:val="single"/>
              </w:rPr>
            </w:pPr>
            <w:r w:rsidRPr="009D4E77">
              <w:rPr>
                <w:u w:val="single"/>
              </w:rPr>
              <w:t>88</w:t>
            </w:r>
          </w:p>
        </w:tc>
      </w:tr>
      <w:tr w:rsidR="00F42A80" w14:paraId="1FEA0D0A" w14:textId="77777777" w:rsidTr="00C2062B">
        <w:tc>
          <w:tcPr>
            <w:tcW w:w="7542" w:type="dxa"/>
          </w:tcPr>
          <w:p w14:paraId="7095F180" w14:textId="77777777" w:rsidR="009D4E77" w:rsidRPr="009D4E7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D4E77">
              <w:rPr>
                <w:b/>
              </w:rPr>
              <w:t>Total Number of People Solicited</w:t>
            </w:r>
          </w:p>
        </w:tc>
        <w:tc>
          <w:tcPr>
            <w:tcW w:w="936" w:type="dxa"/>
          </w:tcPr>
          <w:p w14:paraId="435E9E41" w14:textId="77777777" w:rsidR="009D4E77" w:rsidRPr="004510C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D4E77">
              <w:rPr>
                <w:b/>
              </w:rPr>
              <w:t>588</w:t>
            </w:r>
          </w:p>
        </w:tc>
      </w:tr>
      <w:tr w:rsidR="00F42A80" w14:paraId="39518FD4" w14:textId="77777777" w:rsidTr="00C2062B">
        <w:tc>
          <w:tcPr>
            <w:tcW w:w="7542" w:type="dxa"/>
          </w:tcPr>
          <w:p w14:paraId="710301E9" w14:textId="77777777" w:rsidR="009D4E7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B6D3A36" w14:textId="77777777" w:rsidR="009D4E77" w:rsidRDefault="007A439B"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Beachgoer-Only Sample</w:t>
            </w:r>
          </w:p>
          <w:p w14:paraId="485EF91E" w14:textId="77777777" w:rsidR="009D4E77" w:rsidRPr="004510C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936" w:type="dxa"/>
          </w:tcPr>
          <w:p w14:paraId="7E87C305" w14:textId="77777777" w:rsidR="009D4E77" w:rsidRPr="004510C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F42A80" w14:paraId="19886D20" w14:textId="77777777" w:rsidTr="00C2062B">
        <w:tc>
          <w:tcPr>
            <w:tcW w:w="7542" w:type="dxa"/>
          </w:tcPr>
          <w:p w14:paraId="090778FB" w14:textId="77777777" w:rsidR="009D4E77" w:rsidRPr="004510C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510C7">
              <w:t xml:space="preserve">Completed Surveys </w:t>
            </w:r>
            <w:r>
              <w:t xml:space="preserve">based on </w:t>
            </w:r>
            <w:r w:rsidRPr="004510C7">
              <w:t xml:space="preserve">85% </w:t>
            </w:r>
            <w:r w:rsidR="00646041">
              <w:t xml:space="preserve">response rate and 35% of the </w:t>
            </w:r>
            <w:r>
              <w:t>population being beachgoers</w:t>
            </w:r>
          </w:p>
        </w:tc>
        <w:tc>
          <w:tcPr>
            <w:tcW w:w="936" w:type="dxa"/>
          </w:tcPr>
          <w:p w14:paraId="7EB8FB2A" w14:textId="77777777" w:rsidR="009D4E77" w:rsidRPr="009D4E7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D4E77">
              <w:t>1</w:t>
            </w:r>
            <w:r w:rsidR="00646041">
              <w:t>,</w:t>
            </w:r>
            <w:r w:rsidRPr="009D4E77">
              <w:t>600</w:t>
            </w:r>
          </w:p>
        </w:tc>
      </w:tr>
      <w:tr w:rsidR="00F42A80" w14:paraId="0FFC75B5" w14:textId="77777777" w:rsidTr="00C2062B">
        <w:tc>
          <w:tcPr>
            <w:tcW w:w="7542" w:type="dxa"/>
          </w:tcPr>
          <w:p w14:paraId="21CF29A3" w14:textId="77777777" w:rsidR="009D4E77" w:rsidRPr="004510C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Non-response, dropped out, or not qualified </w:t>
            </w:r>
          </w:p>
        </w:tc>
        <w:tc>
          <w:tcPr>
            <w:tcW w:w="936" w:type="dxa"/>
          </w:tcPr>
          <w:p w14:paraId="237D10DB" w14:textId="77777777" w:rsidR="009D4E77" w:rsidRPr="009D4E7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u w:val="single"/>
              </w:rPr>
            </w:pPr>
            <w:r w:rsidRPr="009D4E77">
              <w:rPr>
                <w:u w:val="single"/>
              </w:rPr>
              <w:t>3</w:t>
            </w:r>
            <w:r w:rsidR="00646041">
              <w:rPr>
                <w:u w:val="single"/>
              </w:rPr>
              <w:t>,</w:t>
            </w:r>
            <w:r w:rsidRPr="009D4E77">
              <w:rPr>
                <w:u w:val="single"/>
              </w:rPr>
              <w:t>778</w:t>
            </w:r>
          </w:p>
        </w:tc>
      </w:tr>
      <w:tr w:rsidR="00F42A80" w14:paraId="68ED852E" w14:textId="77777777" w:rsidTr="00C2062B">
        <w:tc>
          <w:tcPr>
            <w:tcW w:w="7542" w:type="dxa"/>
          </w:tcPr>
          <w:p w14:paraId="633C538E" w14:textId="77777777" w:rsidR="009D4E77" w:rsidRPr="009D4E7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D4E77">
              <w:rPr>
                <w:b/>
              </w:rPr>
              <w:t>Total Number of People Solicited</w:t>
            </w:r>
          </w:p>
        </w:tc>
        <w:tc>
          <w:tcPr>
            <w:tcW w:w="936" w:type="dxa"/>
          </w:tcPr>
          <w:p w14:paraId="1C5E4E46" w14:textId="77777777" w:rsidR="009D4E77" w:rsidRPr="009D4E77" w:rsidRDefault="009D4E77" w:rsidP="00F42A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D4E77">
              <w:rPr>
                <w:b/>
              </w:rPr>
              <w:t>5</w:t>
            </w:r>
            <w:r w:rsidR="00646041">
              <w:rPr>
                <w:b/>
              </w:rPr>
              <w:t>,</w:t>
            </w:r>
            <w:r w:rsidRPr="009D4E77">
              <w:rPr>
                <w:b/>
              </w:rPr>
              <w:t>378</w:t>
            </w:r>
          </w:p>
        </w:tc>
      </w:tr>
    </w:tbl>
    <w:p w14:paraId="7B1B26ED" w14:textId="77777777" w:rsidR="00EE6DEB" w:rsidRDefault="00EE6DEB" w:rsidP="00716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B13D8B" w14:textId="77777777" w:rsidR="00646041" w:rsidRPr="0094068C" w:rsidRDefault="00646041" w:rsidP="00716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92E99E" w14:textId="77777777" w:rsidR="00716945" w:rsidRPr="004510C7" w:rsidRDefault="004510C7" w:rsidP="000E76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10C7">
        <w:rPr>
          <w:sz w:val="24"/>
          <w:szCs w:val="24"/>
        </w:rPr>
        <w:t>Table 1: States Included in the Sample</w:t>
      </w:r>
    </w:p>
    <w:tbl>
      <w:tblPr>
        <w:tblStyle w:val="TableGrid"/>
        <w:tblW w:w="8512" w:type="dxa"/>
        <w:tblInd w:w="108" w:type="dxa"/>
        <w:tblLook w:val="04A0" w:firstRow="1" w:lastRow="0" w:firstColumn="1" w:lastColumn="0" w:noHBand="0" w:noVBand="1"/>
      </w:tblPr>
      <w:tblGrid>
        <w:gridCol w:w="2128"/>
        <w:gridCol w:w="2128"/>
        <w:gridCol w:w="2128"/>
        <w:gridCol w:w="2128"/>
      </w:tblGrid>
      <w:tr w:rsidR="007824B6" w:rsidRPr="00F06943" w14:paraId="51951555" w14:textId="77777777">
        <w:tc>
          <w:tcPr>
            <w:tcW w:w="2128" w:type="dxa"/>
          </w:tcPr>
          <w:p w14:paraId="5419305C" w14:textId="77777777" w:rsidR="007824B6" w:rsidRDefault="007824B6" w:rsidP="00B05BEC">
            <w:pPr>
              <w:spacing w:before="14" w:line="260" w:lineRule="exact"/>
              <w:rPr>
                <w:b/>
              </w:rPr>
            </w:pPr>
          </w:p>
          <w:p w14:paraId="65610AB8" w14:textId="77777777" w:rsidR="007824B6" w:rsidRPr="00F06943" w:rsidRDefault="007824B6" w:rsidP="00B05BEC">
            <w:pPr>
              <w:spacing w:before="14" w:line="260" w:lineRule="exact"/>
              <w:rPr>
                <w:b/>
              </w:rPr>
            </w:pPr>
            <w:r>
              <w:rPr>
                <w:b/>
              </w:rPr>
              <w:t>States</w:t>
            </w:r>
          </w:p>
        </w:tc>
        <w:tc>
          <w:tcPr>
            <w:tcW w:w="2128" w:type="dxa"/>
          </w:tcPr>
          <w:p w14:paraId="56E511C1" w14:textId="77777777" w:rsidR="007824B6" w:rsidRDefault="007824B6" w:rsidP="00B05BEC">
            <w:pPr>
              <w:spacing w:before="14" w:line="260" w:lineRule="exact"/>
              <w:rPr>
                <w:b/>
              </w:rPr>
            </w:pPr>
          </w:p>
        </w:tc>
        <w:tc>
          <w:tcPr>
            <w:tcW w:w="2128" w:type="dxa"/>
          </w:tcPr>
          <w:p w14:paraId="2CE6FBF2" w14:textId="77777777" w:rsidR="007824B6" w:rsidRDefault="007824B6" w:rsidP="00B05BEC">
            <w:pPr>
              <w:spacing w:before="14" w:line="260" w:lineRule="exact"/>
              <w:rPr>
                <w:b/>
              </w:rPr>
            </w:pPr>
          </w:p>
        </w:tc>
        <w:tc>
          <w:tcPr>
            <w:tcW w:w="2128" w:type="dxa"/>
          </w:tcPr>
          <w:p w14:paraId="345C3CCB" w14:textId="77777777" w:rsidR="007824B6" w:rsidRDefault="007824B6" w:rsidP="00B05BEC">
            <w:pPr>
              <w:spacing w:before="14" w:line="260" w:lineRule="exact"/>
              <w:rPr>
                <w:b/>
              </w:rPr>
            </w:pPr>
          </w:p>
        </w:tc>
      </w:tr>
      <w:tr w:rsidR="007824B6" w:rsidRPr="00F06943" w14:paraId="0B347633" w14:textId="77777777">
        <w:tc>
          <w:tcPr>
            <w:tcW w:w="2128" w:type="dxa"/>
          </w:tcPr>
          <w:p w14:paraId="5F6032B2" w14:textId="77777777" w:rsidR="007824B6" w:rsidRPr="00F06943" w:rsidRDefault="007824B6" w:rsidP="002309D2">
            <w:pPr>
              <w:spacing w:before="14" w:line="260" w:lineRule="exact"/>
            </w:pPr>
            <w:r>
              <w:t>Maine</w:t>
            </w:r>
          </w:p>
        </w:tc>
        <w:tc>
          <w:tcPr>
            <w:tcW w:w="2128" w:type="dxa"/>
          </w:tcPr>
          <w:p w14:paraId="0885C82F" w14:textId="77777777" w:rsidR="007824B6" w:rsidRDefault="007824B6" w:rsidP="002309D2">
            <w:pPr>
              <w:spacing w:before="14" w:line="260" w:lineRule="exact"/>
            </w:pPr>
            <w:r>
              <w:t xml:space="preserve">Connecticut </w:t>
            </w:r>
          </w:p>
        </w:tc>
        <w:tc>
          <w:tcPr>
            <w:tcW w:w="2128" w:type="dxa"/>
          </w:tcPr>
          <w:p w14:paraId="0F5D6DAC" w14:textId="77777777" w:rsidR="007824B6" w:rsidRDefault="007824B6" w:rsidP="002309D2">
            <w:pPr>
              <w:spacing w:before="14" w:line="260" w:lineRule="exact"/>
            </w:pPr>
            <w:r>
              <w:t>Maryland</w:t>
            </w:r>
          </w:p>
        </w:tc>
        <w:tc>
          <w:tcPr>
            <w:tcW w:w="2128" w:type="dxa"/>
          </w:tcPr>
          <w:p w14:paraId="0E45149D" w14:textId="77777777" w:rsidR="007824B6" w:rsidRDefault="007824B6" w:rsidP="002309D2">
            <w:pPr>
              <w:spacing w:before="14" w:line="260" w:lineRule="exact"/>
            </w:pPr>
            <w:r>
              <w:t>Ohio</w:t>
            </w:r>
          </w:p>
        </w:tc>
      </w:tr>
      <w:tr w:rsidR="007824B6" w:rsidRPr="00F06943" w14:paraId="021D1974" w14:textId="77777777">
        <w:tc>
          <w:tcPr>
            <w:tcW w:w="2128" w:type="dxa"/>
          </w:tcPr>
          <w:p w14:paraId="76A7279D" w14:textId="77777777" w:rsidR="007824B6" w:rsidRPr="00F06943" w:rsidRDefault="007824B6" w:rsidP="002309D2">
            <w:pPr>
              <w:spacing w:before="14" w:line="260" w:lineRule="exact"/>
            </w:pPr>
            <w:r>
              <w:t>New Hampshire</w:t>
            </w:r>
          </w:p>
        </w:tc>
        <w:tc>
          <w:tcPr>
            <w:tcW w:w="2128" w:type="dxa"/>
          </w:tcPr>
          <w:p w14:paraId="05A7AEDF" w14:textId="77777777" w:rsidR="007824B6" w:rsidRDefault="007824B6" w:rsidP="002309D2">
            <w:pPr>
              <w:spacing w:before="14" w:line="260" w:lineRule="exact"/>
            </w:pPr>
            <w:r>
              <w:t>New York</w:t>
            </w:r>
          </w:p>
        </w:tc>
        <w:tc>
          <w:tcPr>
            <w:tcW w:w="2128" w:type="dxa"/>
          </w:tcPr>
          <w:p w14:paraId="0CEC45CE" w14:textId="77777777" w:rsidR="007824B6" w:rsidRDefault="007824B6" w:rsidP="002309D2">
            <w:pPr>
              <w:spacing w:before="14" w:line="260" w:lineRule="exact"/>
            </w:pPr>
            <w:r>
              <w:t>Virginia</w:t>
            </w:r>
          </w:p>
        </w:tc>
        <w:tc>
          <w:tcPr>
            <w:tcW w:w="2128" w:type="dxa"/>
          </w:tcPr>
          <w:p w14:paraId="5F3EAA6E" w14:textId="77777777" w:rsidR="007824B6" w:rsidRDefault="007824B6" w:rsidP="002309D2">
            <w:pPr>
              <w:spacing w:before="14" w:line="260" w:lineRule="exact"/>
            </w:pPr>
            <w:r>
              <w:t>West Virginia</w:t>
            </w:r>
          </w:p>
        </w:tc>
      </w:tr>
      <w:tr w:rsidR="007824B6" w:rsidRPr="00F06943" w14:paraId="6156462A" w14:textId="77777777">
        <w:tc>
          <w:tcPr>
            <w:tcW w:w="2128" w:type="dxa"/>
          </w:tcPr>
          <w:p w14:paraId="3166224D" w14:textId="77777777" w:rsidR="007824B6" w:rsidRPr="00F06943" w:rsidRDefault="007824B6" w:rsidP="002309D2">
            <w:pPr>
              <w:spacing w:before="14" w:line="260" w:lineRule="exact"/>
            </w:pPr>
            <w:r>
              <w:t>Vermont</w:t>
            </w:r>
          </w:p>
        </w:tc>
        <w:tc>
          <w:tcPr>
            <w:tcW w:w="2128" w:type="dxa"/>
          </w:tcPr>
          <w:p w14:paraId="363EAF6E" w14:textId="77777777" w:rsidR="007824B6" w:rsidRDefault="007824B6" w:rsidP="002309D2">
            <w:pPr>
              <w:spacing w:before="14" w:line="260" w:lineRule="exact"/>
            </w:pPr>
            <w:r>
              <w:t>Pennsylvania</w:t>
            </w:r>
          </w:p>
        </w:tc>
        <w:tc>
          <w:tcPr>
            <w:tcW w:w="2128" w:type="dxa"/>
          </w:tcPr>
          <w:p w14:paraId="1DDCD612" w14:textId="77777777" w:rsidR="007824B6" w:rsidRDefault="007824B6" w:rsidP="002309D2">
            <w:pPr>
              <w:spacing w:before="14" w:line="260" w:lineRule="exact"/>
            </w:pPr>
            <w:r>
              <w:t>North Carolina</w:t>
            </w:r>
          </w:p>
        </w:tc>
        <w:tc>
          <w:tcPr>
            <w:tcW w:w="2128" w:type="dxa"/>
          </w:tcPr>
          <w:p w14:paraId="3C0D327A" w14:textId="77777777" w:rsidR="007824B6" w:rsidRDefault="007824B6" w:rsidP="002309D2">
            <w:pPr>
              <w:spacing w:before="14" w:line="260" w:lineRule="exact"/>
            </w:pPr>
            <w:r>
              <w:t>Tennessee</w:t>
            </w:r>
          </w:p>
        </w:tc>
      </w:tr>
      <w:tr w:rsidR="007824B6" w:rsidRPr="00F06943" w14:paraId="6717AA72" w14:textId="77777777">
        <w:tc>
          <w:tcPr>
            <w:tcW w:w="2128" w:type="dxa"/>
          </w:tcPr>
          <w:p w14:paraId="45CE9CEA" w14:textId="77777777" w:rsidR="007824B6" w:rsidRPr="00F06943" w:rsidRDefault="007824B6" w:rsidP="002309D2">
            <w:pPr>
              <w:spacing w:before="14" w:line="260" w:lineRule="exact"/>
            </w:pPr>
            <w:r>
              <w:t>Massachusetts</w:t>
            </w:r>
            <w:r w:rsidRPr="00F06943">
              <w:t xml:space="preserve"> </w:t>
            </w:r>
          </w:p>
        </w:tc>
        <w:tc>
          <w:tcPr>
            <w:tcW w:w="2128" w:type="dxa"/>
          </w:tcPr>
          <w:p w14:paraId="226686D0" w14:textId="77777777" w:rsidR="007824B6" w:rsidRDefault="007824B6" w:rsidP="002309D2">
            <w:pPr>
              <w:spacing w:before="14" w:line="260" w:lineRule="exact"/>
            </w:pPr>
            <w:r>
              <w:t>New Jersey</w:t>
            </w:r>
          </w:p>
        </w:tc>
        <w:tc>
          <w:tcPr>
            <w:tcW w:w="2128" w:type="dxa"/>
          </w:tcPr>
          <w:p w14:paraId="524EB02E" w14:textId="77777777" w:rsidR="007824B6" w:rsidRDefault="007824B6" w:rsidP="002309D2">
            <w:pPr>
              <w:spacing w:before="14" w:line="260" w:lineRule="exact"/>
            </w:pPr>
            <w:r>
              <w:t>South Carolina</w:t>
            </w:r>
          </w:p>
        </w:tc>
        <w:tc>
          <w:tcPr>
            <w:tcW w:w="2128" w:type="dxa"/>
          </w:tcPr>
          <w:p w14:paraId="2FC9ADA7" w14:textId="77777777" w:rsidR="007824B6" w:rsidRDefault="007824B6" w:rsidP="002309D2">
            <w:pPr>
              <w:spacing w:before="14" w:line="260" w:lineRule="exact"/>
            </w:pPr>
            <w:r>
              <w:t>Kentucky</w:t>
            </w:r>
          </w:p>
        </w:tc>
      </w:tr>
      <w:tr w:rsidR="007824B6" w:rsidRPr="00F06943" w14:paraId="7A9FA229" w14:textId="77777777">
        <w:tc>
          <w:tcPr>
            <w:tcW w:w="2128" w:type="dxa"/>
          </w:tcPr>
          <w:p w14:paraId="11F2BBE5" w14:textId="77777777" w:rsidR="007824B6" w:rsidRPr="00F06943" w:rsidRDefault="007824B6" w:rsidP="002309D2">
            <w:pPr>
              <w:spacing w:before="14" w:line="260" w:lineRule="exact"/>
            </w:pPr>
            <w:r>
              <w:t>Rhode Island</w:t>
            </w:r>
          </w:p>
        </w:tc>
        <w:tc>
          <w:tcPr>
            <w:tcW w:w="2128" w:type="dxa"/>
          </w:tcPr>
          <w:p w14:paraId="281F09EC" w14:textId="77777777" w:rsidR="007824B6" w:rsidRPr="00F06943" w:rsidRDefault="007824B6" w:rsidP="002309D2">
            <w:pPr>
              <w:spacing w:before="14" w:line="260" w:lineRule="exact"/>
            </w:pPr>
            <w:r>
              <w:t>Delaware</w:t>
            </w:r>
          </w:p>
        </w:tc>
        <w:tc>
          <w:tcPr>
            <w:tcW w:w="2128" w:type="dxa"/>
          </w:tcPr>
          <w:p w14:paraId="49CC7262" w14:textId="77777777" w:rsidR="007824B6" w:rsidRPr="00F06943" w:rsidRDefault="007824B6" w:rsidP="002309D2">
            <w:pPr>
              <w:spacing w:before="14" w:line="260" w:lineRule="exact"/>
            </w:pPr>
            <w:r>
              <w:t>Georgia</w:t>
            </w:r>
          </w:p>
        </w:tc>
        <w:tc>
          <w:tcPr>
            <w:tcW w:w="2128" w:type="dxa"/>
          </w:tcPr>
          <w:p w14:paraId="434CF6AA" w14:textId="77777777" w:rsidR="007824B6" w:rsidRPr="00F06943" w:rsidRDefault="007824B6" w:rsidP="002309D2">
            <w:pPr>
              <w:spacing w:before="14" w:line="260" w:lineRule="exact"/>
            </w:pPr>
            <w:r>
              <w:t>Washington DC</w:t>
            </w:r>
          </w:p>
        </w:tc>
      </w:tr>
    </w:tbl>
    <w:p w14:paraId="591CE6E5" w14:textId="77777777" w:rsidR="00F44915" w:rsidRDefault="00F44915" w:rsidP="00F161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D2BD87" w14:textId="77777777" w:rsidR="00646041" w:rsidRDefault="00646041" w:rsidP="006460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BDB1D1" w14:textId="77777777" w:rsidR="004510C7" w:rsidRPr="00646041" w:rsidRDefault="004510C7" w:rsidP="006460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24"/>
          <w:szCs w:val="24"/>
        </w:rPr>
        <w:t xml:space="preserve">Table 2: </w:t>
      </w:r>
      <w:r w:rsidR="005A3AC1">
        <w:rPr>
          <w:sz w:val="24"/>
          <w:szCs w:val="24"/>
        </w:rPr>
        <w:t>Expected Response Data from Two Samples</w:t>
      </w:r>
    </w:p>
    <w:p w14:paraId="7F5B8D97" w14:textId="77777777" w:rsidR="004510C7" w:rsidRDefault="004510C7"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653E4EB"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B82105F" w14:textId="77777777" w:rsidR="004510C7" w:rsidRDefault="004510C7"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7BACFE0"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4C58329"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5845C456"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78A0E9B"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565F1158"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18295049"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3F9C8E7"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209D0B3B"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43C48A95"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66056027"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774692D4"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697BC6F9"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4C8D3751" w14:textId="77777777" w:rsidR="007A439B" w:rsidRDefault="007A439B"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7A439B">
        <w:t>* Of these 325 are non-beachgoers and 175 are beachgoers.</w:t>
      </w:r>
    </w:p>
    <w:p w14:paraId="0E1FFB49" w14:textId="77777777" w:rsidR="00646041" w:rsidRDefault="00646041"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9AED631" w14:textId="7B1471E8" w:rsidR="00371EF4" w:rsidRDefault="00371EF4"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lastRenderedPageBreak/>
        <w:t xml:space="preserve">A sampling of recent published studies using </w:t>
      </w:r>
      <w:proofErr w:type="spellStart"/>
      <w:r>
        <w:rPr>
          <w:b/>
          <w:sz w:val="24"/>
          <w:szCs w:val="24"/>
        </w:rPr>
        <w:t>GfK</w:t>
      </w:r>
      <w:proofErr w:type="spellEnd"/>
      <w:r>
        <w:rPr>
          <w:b/>
          <w:sz w:val="24"/>
          <w:szCs w:val="24"/>
        </w:rPr>
        <w:t xml:space="preserve"> data:</w:t>
      </w:r>
    </w:p>
    <w:p w14:paraId="72F765B8" w14:textId="77777777" w:rsidR="00371EF4" w:rsidRPr="00371EF4" w:rsidRDefault="00371EF4"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6ED435C" w14:textId="77777777" w:rsidR="00371EF4" w:rsidRPr="00C2062B" w:rsidRDefault="00371EF4" w:rsidP="00371EF4">
      <w:pPr>
        <w:rPr>
          <w:sz w:val="24"/>
          <w:szCs w:val="24"/>
        </w:rPr>
      </w:pPr>
      <w:proofErr w:type="spellStart"/>
      <w:r w:rsidRPr="00C2062B">
        <w:rPr>
          <w:sz w:val="24"/>
          <w:szCs w:val="24"/>
        </w:rPr>
        <w:t>Wallmo</w:t>
      </w:r>
      <w:proofErr w:type="spellEnd"/>
      <w:r w:rsidRPr="00C2062B">
        <w:rPr>
          <w:sz w:val="24"/>
          <w:szCs w:val="24"/>
        </w:rPr>
        <w:t xml:space="preserve"> K. &amp; Lew, D. (2011). Valuing improvements to threatened and endangered marine species: an application of state preference choice experiments. </w:t>
      </w:r>
      <w:proofErr w:type="gramStart"/>
      <w:r w:rsidRPr="00C2062B">
        <w:rPr>
          <w:i/>
          <w:sz w:val="24"/>
          <w:szCs w:val="24"/>
        </w:rPr>
        <w:t xml:space="preserve">Journal of Environmental Management </w:t>
      </w:r>
      <w:r w:rsidRPr="00C2062B">
        <w:rPr>
          <w:sz w:val="24"/>
          <w:szCs w:val="24"/>
        </w:rPr>
        <w:t>92(7).</w:t>
      </w:r>
      <w:proofErr w:type="gramEnd"/>
      <w:r w:rsidRPr="00C2062B">
        <w:rPr>
          <w:sz w:val="24"/>
          <w:szCs w:val="24"/>
        </w:rPr>
        <w:t xml:space="preserve"> </w:t>
      </w:r>
    </w:p>
    <w:p w14:paraId="373E0BCC" w14:textId="77777777" w:rsidR="00371EF4" w:rsidRPr="00C2062B" w:rsidRDefault="00371EF4" w:rsidP="00371EF4">
      <w:pPr>
        <w:rPr>
          <w:sz w:val="24"/>
          <w:szCs w:val="24"/>
        </w:rPr>
      </w:pPr>
    </w:p>
    <w:p w14:paraId="62574FBF" w14:textId="77777777" w:rsidR="00371EF4" w:rsidRPr="00C2062B" w:rsidRDefault="00371EF4" w:rsidP="00371EF4">
      <w:pPr>
        <w:rPr>
          <w:sz w:val="24"/>
          <w:szCs w:val="24"/>
        </w:rPr>
      </w:pPr>
      <w:proofErr w:type="gramStart"/>
      <w:r w:rsidRPr="00C2062B">
        <w:rPr>
          <w:sz w:val="24"/>
          <w:szCs w:val="24"/>
        </w:rPr>
        <w:t>Hiller, R., Savage, S. &amp; Waldman, D. (2015).</w:t>
      </w:r>
      <w:proofErr w:type="gramEnd"/>
      <w:r w:rsidRPr="00C2062B">
        <w:rPr>
          <w:sz w:val="24"/>
          <w:szCs w:val="24"/>
        </w:rPr>
        <w:t xml:space="preserve"> </w:t>
      </w:r>
      <w:proofErr w:type="gramStart"/>
      <w:r w:rsidRPr="00C2062B">
        <w:rPr>
          <w:sz w:val="24"/>
          <w:szCs w:val="24"/>
        </w:rPr>
        <w:t>Market structure and media diversity.</w:t>
      </w:r>
      <w:proofErr w:type="gramEnd"/>
      <w:r w:rsidRPr="00C2062B">
        <w:rPr>
          <w:sz w:val="24"/>
          <w:szCs w:val="24"/>
        </w:rPr>
        <w:t xml:space="preserve"> </w:t>
      </w:r>
      <w:proofErr w:type="gramStart"/>
      <w:r w:rsidRPr="00C2062B">
        <w:rPr>
          <w:i/>
          <w:sz w:val="24"/>
          <w:szCs w:val="24"/>
        </w:rPr>
        <w:t xml:space="preserve">Economic Inquiry </w:t>
      </w:r>
      <w:r w:rsidRPr="00C2062B">
        <w:rPr>
          <w:sz w:val="24"/>
          <w:szCs w:val="24"/>
        </w:rPr>
        <w:t>53(2).</w:t>
      </w:r>
      <w:proofErr w:type="gramEnd"/>
      <w:r w:rsidRPr="00C2062B">
        <w:rPr>
          <w:sz w:val="24"/>
          <w:szCs w:val="24"/>
        </w:rPr>
        <w:br/>
      </w:r>
    </w:p>
    <w:p w14:paraId="4A9B4CE5" w14:textId="77777777" w:rsidR="00371EF4" w:rsidRPr="00C2062B" w:rsidRDefault="00371EF4" w:rsidP="00371EF4">
      <w:pPr>
        <w:rPr>
          <w:sz w:val="24"/>
          <w:szCs w:val="24"/>
        </w:rPr>
      </w:pPr>
      <w:r w:rsidRPr="00C2062B">
        <w:rPr>
          <w:sz w:val="24"/>
          <w:szCs w:val="24"/>
        </w:rPr>
        <w:t xml:space="preserve">Petrolia, D., Landry, C. &amp; </w:t>
      </w:r>
      <w:proofErr w:type="spellStart"/>
      <w:r w:rsidRPr="00C2062B">
        <w:rPr>
          <w:sz w:val="24"/>
          <w:szCs w:val="24"/>
        </w:rPr>
        <w:t>Colbe</w:t>
      </w:r>
      <w:proofErr w:type="spellEnd"/>
      <w:r w:rsidRPr="00C2062B">
        <w:rPr>
          <w:sz w:val="24"/>
          <w:szCs w:val="24"/>
        </w:rPr>
        <w:t xml:space="preserve">, K. (2013). Risk preferences, risk perceptions, and flood insurance. </w:t>
      </w:r>
      <w:r w:rsidRPr="00C2062B">
        <w:rPr>
          <w:i/>
          <w:sz w:val="24"/>
          <w:szCs w:val="24"/>
        </w:rPr>
        <w:t>Land Economics</w:t>
      </w:r>
      <w:r w:rsidRPr="00C2062B">
        <w:rPr>
          <w:sz w:val="24"/>
          <w:szCs w:val="24"/>
        </w:rPr>
        <w:t xml:space="preserve"> 89(2).</w:t>
      </w:r>
    </w:p>
    <w:p w14:paraId="42E1C65B" w14:textId="77777777" w:rsidR="00371EF4" w:rsidRPr="00C2062B" w:rsidRDefault="00371EF4" w:rsidP="00371EF4">
      <w:pPr>
        <w:rPr>
          <w:sz w:val="24"/>
          <w:szCs w:val="24"/>
        </w:rPr>
      </w:pPr>
    </w:p>
    <w:p w14:paraId="6A8370BD" w14:textId="77777777" w:rsidR="00371EF4" w:rsidRPr="00C2062B" w:rsidRDefault="00371EF4" w:rsidP="00371EF4">
      <w:pPr>
        <w:rPr>
          <w:sz w:val="24"/>
          <w:szCs w:val="24"/>
        </w:rPr>
      </w:pPr>
      <w:r w:rsidRPr="00C2062B">
        <w:rPr>
          <w:sz w:val="24"/>
          <w:szCs w:val="24"/>
        </w:rPr>
        <w:t>Mansfield, C.</w:t>
      </w:r>
      <w:proofErr w:type="gramStart"/>
      <w:r w:rsidRPr="00C2062B">
        <w:rPr>
          <w:sz w:val="24"/>
          <w:szCs w:val="24"/>
        </w:rPr>
        <w:t>,  Finkelstein</w:t>
      </w:r>
      <w:proofErr w:type="gramEnd"/>
      <w:r w:rsidRPr="00C2062B">
        <w:rPr>
          <w:sz w:val="24"/>
          <w:szCs w:val="24"/>
        </w:rPr>
        <w:t xml:space="preserve">, E., Wood, D. &amp; Rowe, B. (2013). Evaluating welfare improvements from changes in homeland security policies. </w:t>
      </w:r>
      <w:r w:rsidRPr="00C2062B">
        <w:rPr>
          <w:i/>
          <w:sz w:val="24"/>
          <w:szCs w:val="24"/>
        </w:rPr>
        <w:t>Institute for Homeland Security Solutions</w:t>
      </w:r>
      <w:r w:rsidRPr="00C2062B">
        <w:rPr>
          <w:sz w:val="24"/>
          <w:szCs w:val="24"/>
        </w:rPr>
        <w:t xml:space="preserve">. </w:t>
      </w:r>
    </w:p>
    <w:p w14:paraId="4F890123" w14:textId="77777777" w:rsidR="00371EF4" w:rsidRPr="00C2062B" w:rsidRDefault="00371EF4" w:rsidP="00371EF4">
      <w:pPr>
        <w:rPr>
          <w:sz w:val="24"/>
          <w:szCs w:val="24"/>
        </w:rPr>
      </w:pPr>
      <w:r w:rsidRPr="00C2062B">
        <w:rPr>
          <w:sz w:val="24"/>
          <w:szCs w:val="24"/>
        </w:rPr>
        <w:br/>
        <w:t xml:space="preserve">Cameron, T. &amp; </w:t>
      </w:r>
      <w:proofErr w:type="spellStart"/>
      <w:r w:rsidRPr="00C2062B">
        <w:rPr>
          <w:sz w:val="24"/>
          <w:szCs w:val="24"/>
        </w:rPr>
        <w:t>DeShazo</w:t>
      </w:r>
      <w:proofErr w:type="spellEnd"/>
      <w:r w:rsidRPr="00C2062B">
        <w:rPr>
          <w:sz w:val="24"/>
          <w:szCs w:val="24"/>
        </w:rPr>
        <w:t xml:space="preserve">, J. (2013). Demand for health risk reductions. </w:t>
      </w:r>
      <w:proofErr w:type="gramStart"/>
      <w:r w:rsidRPr="00C2062B">
        <w:rPr>
          <w:i/>
          <w:sz w:val="24"/>
          <w:szCs w:val="24"/>
        </w:rPr>
        <w:t xml:space="preserve">Journal of Environmental Economics and Management </w:t>
      </w:r>
      <w:r w:rsidRPr="00C2062B">
        <w:rPr>
          <w:sz w:val="24"/>
          <w:szCs w:val="24"/>
        </w:rPr>
        <w:t>65.</w:t>
      </w:r>
      <w:proofErr w:type="gramEnd"/>
      <w:r w:rsidRPr="00C2062B">
        <w:rPr>
          <w:sz w:val="24"/>
          <w:szCs w:val="24"/>
        </w:rPr>
        <w:br/>
      </w:r>
    </w:p>
    <w:p w14:paraId="55FD8CEE" w14:textId="38593161" w:rsidR="00371EF4" w:rsidRDefault="00371EF4" w:rsidP="00371EF4">
      <w:pPr>
        <w:rPr>
          <w:sz w:val="24"/>
          <w:szCs w:val="24"/>
        </w:rPr>
      </w:pPr>
      <w:proofErr w:type="gramStart"/>
      <w:r w:rsidRPr="00C2062B">
        <w:rPr>
          <w:sz w:val="24"/>
          <w:szCs w:val="24"/>
        </w:rPr>
        <w:t xml:space="preserve">Brown, D., </w:t>
      </w:r>
      <w:proofErr w:type="spellStart"/>
      <w:r w:rsidRPr="00C2062B">
        <w:rPr>
          <w:sz w:val="24"/>
          <w:szCs w:val="24"/>
        </w:rPr>
        <w:t>Poulos</w:t>
      </w:r>
      <w:proofErr w:type="spellEnd"/>
      <w:r w:rsidRPr="00C2062B">
        <w:rPr>
          <w:sz w:val="24"/>
          <w:szCs w:val="24"/>
        </w:rPr>
        <w:t xml:space="preserve">, C., Johnson, F., </w:t>
      </w:r>
      <w:proofErr w:type="spellStart"/>
      <w:r w:rsidRPr="00C2062B">
        <w:rPr>
          <w:sz w:val="24"/>
          <w:szCs w:val="24"/>
        </w:rPr>
        <w:t>Chamiec</w:t>
      </w:r>
      <w:proofErr w:type="spellEnd"/>
      <w:r w:rsidRPr="00C2062B">
        <w:rPr>
          <w:sz w:val="24"/>
          <w:szCs w:val="24"/>
        </w:rPr>
        <w:t xml:space="preserve">-Case, L. &amp; </w:t>
      </w:r>
      <w:proofErr w:type="spellStart"/>
      <w:r w:rsidRPr="00C2062B">
        <w:rPr>
          <w:sz w:val="24"/>
          <w:szCs w:val="24"/>
        </w:rPr>
        <w:t>Messonnier</w:t>
      </w:r>
      <w:proofErr w:type="spellEnd"/>
      <w:r w:rsidRPr="00C2062B">
        <w:rPr>
          <w:sz w:val="24"/>
          <w:szCs w:val="24"/>
        </w:rPr>
        <w:t xml:space="preserve"> (2014).</w:t>
      </w:r>
      <w:proofErr w:type="gramEnd"/>
      <w:r w:rsidRPr="00C2062B">
        <w:rPr>
          <w:sz w:val="24"/>
          <w:szCs w:val="24"/>
        </w:rPr>
        <w:t xml:space="preserve"> </w:t>
      </w:r>
      <w:proofErr w:type="spellStart"/>
      <w:r w:rsidRPr="00C2062B">
        <w:rPr>
          <w:sz w:val="24"/>
          <w:szCs w:val="24"/>
        </w:rPr>
        <w:t>Adolescnet</w:t>
      </w:r>
      <w:proofErr w:type="spellEnd"/>
      <w:r w:rsidRPr="00C2062B">
        <w:rPr>
          <w:sz w:val="24"/>
          <w:szCs w:val="24"/>
        </w:rPr>
        <w:t xml:space="preserve"> girls’ preferences for </w:t>
      </w:r>
      <w:proofErr w:type="spellStart"/>
      <w:r w:rsidRPr="00C2062B">
        <w:rPr>
          <w:sz w:val="24"/>
          <w:szCs w:val="24"/>
        </w:rPr>
        <w:t>hpv</w:t>
      </w:r>
      <w:proofErr w:type="spellEnd"/>
      <w:r w:rsidRPr="00C2062B">
        <w:rPr>
          <w:sz w:val="24"/>
          <w:szCs w:val="24"/>
        </w:rPr>
        <w:t xml:space="preserve"> vaccines: a discrete choice experiment. </w:t>
      </w:r>
      <w:r w:rsidRPr="00C2062B">
        <w:rPr>
          <w:i/>
          <w:sz w:val="24"/>
          <w:szCs w:val="24"/>
        </w:rPr>
        <w:t xml:space="preserve">Preference Measurement in Health, Advances in Health Economics and Health Services Research, 24. </w:t>
      </w:r>
      <w:r w:rsidRPr="00C2062B">
        <w:rPr>
          <w:sz w:val="24"/>
          <w:szCs w:val="24"/>
        </w:rPr>
        <w:t xml:space="preserve"> </w:t>
      </w:r>
      <w:r w:rsidR="00577471">
        <w:rPr>
          <w:sz w:val="24"/>
          <w:szCs w:val="24"/>
        </w:rPr>
        <w:br/>
      </w:r>
    </w:p>
    <w:p w14:paraId="50C83399" w14:textId="77777777" w:rsidR="00577471" w:rsidRPr="00C2062B" w:rsidRDefault="00577471" w:rsidP="00577471">
      <w:pPr>
        <w:rPr>
          <w:sz w:val="24"/>
          <w:szCs w:val="24"/>
        </w:rPr>
      </w:pPr>
      <w:r w:rsidRPr="00C2062B">
        <w:rPr>
          <w:sz w:val="24"/>
          <w:szCs w:val="24"/>
        </w:rPr>
        <w:t xml:space="preserve">Smith V, Mansfield C, &amp; </w:t>
      </w:r>
      <w:proofErr w:type="spellStart"/>
      <w:r w:rsidRPr="00C2062B">
        <w:rPr>
          <w:sz w:val="24"/>
          <w:szCs w:val="24"/>
        </w:rPr>
        <w:t>Klaiber</w:t>
      </w:r>
      <w:proofErr w:type="spellEnd"/>
      <w:r w:rsidRPr="00C2062B">
        <w:rPr>
          <w:sz w:val="24"/>
          <w:szCs w:val="24"/>
        </w:rPr>
        <w:t xml:space="preserve"> A. (2013). Terrorist threats, information disclosures, and consumer sovereignty. </w:t>
      </w:r>
      <w:r w:rsidRPr="00C2062B">
        <w:rPr>
          <w:i/>
          <w:sz w:val="24"/>
          <w:szCs w:val="24"/>
        </w:rPr>
        <w:t>Information Economics and Policy</w:t>
      </w:r>
      <w:r w:rsidRPr="00C2062B">
        <w:rPr>
          <w:sz w:val="24"/>
          <w:szCs w:val="24"/>
        </w:rPr>
        <w:t xml:space="preserve"> 25(4).</w:t>
      </w:r>
    </w:p>
    <w:p w14:paraId="2B705ADC" w14:textId="77777777" w:rsidR="00577471" w:rsidRPr="00C74525" w:rsidRDefault="00577471" w:rsidP="00577471">
      <w:pPr>
        <w:rPr>
          <w:rFonts w:ascii="Arial" w:hAnsi="Arial" w:cs="Arial"/>
          <w:color w:val="3366FF"/>
        </w:rPr>
      </w:pPr>
      <w:r>
        <w:rPr>
          <w:rFonts w:ascii="Arial" w:hAnsi="Arial" w:cs="Arial"/>
          <w:i/>
          <w:color w:val="3366FF"/>
        </w:rPr>
        <w:t xml:space="preserve"> </w:t>
      </w:r>
      <w:r>
        <w:rPr>
          <w:rFonts w:ascii="Arial" w:hAnsi="Arial" w:cs="Arial"/>
          <w:color w:val="3366FF"/>
        </w:rPr>
        <w:t xml:space="preserve"> </w:t>
      </w:r>
    </w:p>
    <w:p w14:paraId="0D7ABAB4" w14:textId="105A8171" w:rsidR="00577471" w:rsidRPr="00C2062B" w:rsidRDefault="00577471" w:rsidP="00577471">
      <w:pPr>
        <w:rPr>
          <w:sz w:val="24"/>
          <w:szCs w:val="24"/>
        </w:rPr>
      </w:pPr>
      <w:r w:rsidRPr="00223E0C">
        <w:rPr>
          <w:rFonts w:ascii="Arial" w:hAnsi="Arial" w:cs="Arial"/>
          <w:i/>
          <w:color w:val="3366FF"/>
        </w:rPr>
        <w:br/>
      </w:r>
    </w:p>
    <w:p w14:paraId="42E6381C" w14:textId="77777777" w:rsidR="00371EF4" w:rsidRDefault="00371EF4"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35C1EB2" w14:textId="77777777" w:rsidR="00371EF4" w:rsidRDefault="00371EF4"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012671C" w14:textId="77777777" w:rsidR="00371EF4" w:rsidRDefault="00371EF4"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BF7C907" w14:textId="77777777" w:rsidR="0032343E" w:rsidRPr="009B1377" w:rsidRDefault="0032343E"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1377">
        <w:rPr>
          <w:b/>
          <w:sz w:val="24"/>
          <w:szCs w:val="24"/>
        </w:rPr>
        <w:t>2.</w:t>
      </w:r>
      <w:r w:rsidRPr="009B1377">
        <w:rPr>
          <w:b/>
          <w:sz w:val="24"/>
          <w:szCs w:val="24"/>
        </w:rPr>
        <w:tab/>
        <w:t>Describe the procedures for the collection of information including:</w:t>
      </w:r>
    </w:p>
    <w:p w14:paraId="6BE80382" w14:textId="77777777" w:rsidR="0032343E" w:rsidRPr="009B1377" w:rsidRDefault="0032343E"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B1377">
        <w:rPr>
          <w:b/>
          <w:sz w:val="24"/>
          <w:szCs w:val="24"/>
        </w:rPr>
        <w:tab/>
        <w:t>*</w:t>
      </w:r>
      <w:r w:rsidRPr="009B1377">
        <w:rPr>
          <w:b/>
          <w:sz w:val="24"/>
          <w:szCs w:val="24"/>
        </w:rPr>
        <w:tab/>
        <w:t>Statistical methodology for stratification and sample selection,</w:t>
      </w:r>
    </w:p>
    <w:p w14:paraId="3EDB76B5" w14:textId="77777777" w:rsidR="0032343E" w:rsidRPr="009B1377" w:rsidRDefault="0032343E"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B1377">
        <w:rPr>
          <w:b/>
          <w:sz w:val="24"/>
          <w:szCs w:val="24"/>
        </w:rPr>
        <w:tab/>
        <w:t>*</w:t>
      </w:r>
      <w:r w:rsidRPr="009B1377">
        <w:rPr>
          <w:b/>
          <w:sz w:val="24"/>
          <w:szCs w:val="24"/>
        </w:rPr>
        <w:tab/>
        <w:t>Estimation procedure,</w:t>
      </w:r>
    </w:p>
    <w:p w14:paraId="0465C790" w14:textId="77777777" w:rsidR="0032343E" w:rsidRPr="009B1377" w:rsidRDefault="0032343E"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B1377">
        <w:rPr>
          <w:b/>
          <w:sz w:val="24"/>
          <w:szCs w:val="24"/>
        </w:rPr>
        <w:tab/>
        <w:t>*</w:t>
      </w:r>
      <w:r w:rsidRPr="009B1377">
        <w:rPr>
          <w:b/>
          <w:sz w:val="24"/>
          <w:szCs w:val="24"/>
        </w:rPr>
        <w:tab/>
        <w:t>Degree of accuracy needed for the purpose described in the justification,</w:t>
      </w:r>
    </w:p>
    <w:p w14:paraId="4FA58F91" w14:textId="77777777" w:rsidR="0032343E" w:rsidRPr="009B1377" w:rsidRDefault="0032343E"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B1377">
        <w:rPr>
          <w:b/>
          <w:sz w:val="24"/>
          <w:szCs w:val="24"/>
        </w:rPr>
        <w:tab/>
        <w:t>*</w:t>
      </w:r>
      <w:r w:rsidRPr="009B1377">
        <w:rPr>
          <w:b/>
          <w:sz w:val="24"/>
          <w:szCs w:val="24"/>
        </w:rPr>
        <w:tab/>
        <w:t>Unusual problems requiring specialized sampling procedures, and</w:t>
      </w:r>
    </w:p>
    <w:p w14:paraId="1D81869E" w14:textId="77777777" w:rsidR="008066CC" w:rsidRPr="009A18DB" w:rsidRDefault="0032343E" w:rsidP="009A18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B1377">
        <w:rPr>
          <w:b/>
          <w:sz w:val="24"/>
          <w:szCs w:val="24"/>
        </w:rPr>
        <w:tab/>
        <w:t>*</w:t>
      </w:r>
      <w:r w:rsidRPr="009B1377">
        <w:rPr>
          <w:b/>
          <w:sz w:val="24"/>
          <w:szCs w:val="24"/>
        </w:rPr>
        <w:tab/>
        <w:t>Any use of periodic (less frequent than annual) data collection cycles to reduce burden.</w:t>
      </w:r>
      <w:r w:rsidR="00B0325E">
        <w:rPr>
          <w:b/>
          <w:sz w:val="24"/>
          <w:szCs w:val="24"/>
        </w:rPr>
        <w:br/>
      </w:r>
    </w:p>
    <w:p w14:paraId="0D16262E" w14:textId="77777777" w:rsidR="00B03FF3" w:rsidRPr="001430EB" w:rsidRDefault="00D25704" w:rsidP="00EC61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szCs w:val="24"/>
        </w:rPr>
        <w:t>As noted above, w</w:t>
      </w:r>
      <w:r w:rsidR="00CB597A">
        <w:rPr>
          <w:sz w:val="24"/>
          <w:szCs w:val="24"/>
        </w:rPr>
        <w:t>e are interested in beachgoer and non-beachgoer populations, but have a special interest in beachgoers. For this reason, we oversample the b</w:t>
      </w:r>
      <w:r>
        <w:rPr>
          <w:sz w:val="24"/>
          <w:szCs w:val="24"/>
        </w:rPr>
        <w:t>eachgoer population</w:t>
      </w:r>
      <w:r w:rsidR="00CB597A">
        <w:rPr>
          <w:sz w:val="24"/>
          <w:szCs w:val="24"/>
        </w:rPr>
        <w:t xml:space="preserve">. </w:t>
      </w:r>
      <w:r w:rsidR="00625AF7">
        <w:rPr>
          <w:sz w:val="24"/>
          <w:szCs w:val="24"/>
        </w:rPr>
        <w:t>Our</w:t>
      </w:r>
      <w:r w:rsidR="009A18DB">
        <w:rPr>
          <w:sz w:val="24"/>
          <w:szCs w:val="24"/>
        </w:rPr>
        <w:t xml:space="preserve"> sample sizes are sufficient to allow us to have good inference on </w:t>
      </w:r>
      <w:r>
        <w:rPr>
          <w:sz w:val="24"/>
          <w:szCs w:val="24"/>
        </w:rPr>
        <w:t>both groups</w:t>
      </w:r>
      <w:r w:rsidR="00A716F6">
        <w:rPr>
          <w:sz w:val="24"/>
          <w:szCs w:val="24"/>
        </w:rPr>
        <w:t>, but some finer regional specificity for beachgoers (e</w:t>
      </w:r>
      <w:r w:rsidR="005B50FB">
        <w:rPr>
          <w:sz w:val="24"/>
          <w:szCs w:val="24"/>
        </w:rPr>
        <w:t>.</w:t>
      </w:r>
      <w:r w:rsidR="00A716F6">
        <w:rPr>
          <w:sz w:val="24"/>
          <w:szCs w:val="24"/>
        </w:rPr>
        <w:t>g., impacts in Ne</w:t>
      </w:r>
      <w:r w:rsidR="005B50FB">
        <w:rPr>
          <w:sz w:val="24"/>
          <w:szCs w:val="24"/>
        </w:rPr>
        <w:t>w England versus the Carolinas)</w:t>
      </w:r>
      <w:r w:rsidR="00BF38B6">
        <w:rPr>
          <w:sz w:val="24"/>
          <w:szCs w:val="24"/>
        </w:rPr>
        <w:t>. Since we randomly draw</w:t>
      </w:r>
      <w:r w:rsidR="009A18DB">
        <w:rPr>
          <w:sz w:val="24"/>
          <w:szCs w:val="24"/>
        </w:rPr>
        <w:t xml:space="preserve"> from both </w:t>
      </w:r>
      <w:r w:rsidR="00790995">
        <w:rPr>
          <w:sz w:val="24"/>
          <w:szCs w:val="24"/>
        </w:rPr>
        <w:t xml:space="preserve">of </w:t>
      </w:r>
      <w:r w:rsidR="009A18DB">
        <w:rPr>
          <w:sz w:val="24"/>
          <w:szCs w:val="24"/>
        </w:rPr>
        <w:t xml:space="preserve">these populations, there is no specialized estimation procedure needed. </w:t>
      </w:r>
      <w:r w:rsidR="00BF38B6">
        <w:rPr>
          <w:sz w:val="24"/>
          <w:szCs w:val="24"/>
        </w:rPr>
        <w:t xml:space="preserve">Also, </w:t>
      </w:r>
      <w:proofErr w:type="spellStart"/>
      <w:r w:rsidR="00726ADF">
        <w:rPr>
          <w:sz w:val="24"/>
          <w:szCs w:val="24"/>
        </w:rPr>
        <w:t>GfK</w:t>
      </w:r>
      <w:proofErr w:type="spellEnd"/>
      <w:r w:rsidR="00726ADF">
        <w:rPr>
          <w:sz w:val="24"/>
          <w:szCs w:val="24"/>
        </w:rPr>
        <w:t xml:space="preserve"> </w:t>
      </w:r>
      <w:r w:rsidR="00790995">
        <w:rPr>
          <w:sz w:val="24"/>
          <w:szCs w:val="24"/>
        </w:rPr>
        <w:t>provide</w:t>
      </w:r>
      <w:r w:rsidR="00726ADF">
        <w:rPr>
          <w:sz w:val="24"/>
          <w:szCs w:val="24"/>
        </w:rPr>
        <w:t>s</w:t>
      </w:r>
      <w:r w:rsidR="00790995">
        <w:rPr>
          <w:sz w:val="24"/>
          <w:szCs w:val="24"/>
        </w:rPr>
        <w:t xml:space="preserve"> sample weights as needed to make the samples representative of the population.</w:t>
      </w:r>
    </w:p>
    <w:p w14:paraId="25C370D4" w14:textId="77777777" w:rsidR="00B03FF3" w:rsidRPr="009B1377" w:rsidRDefault="00B03FF3"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55CC3EBE" w14:textId="77777777" w:rsidR="00B0325E" w:rsidRDefault="0032343E" w:rsidP="00F40C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18376A"/>
          <w:sz w:val="26"/>
          <w:szCs w:val="26"/>
        </w:rPr>
      </w:pPr>
      <w:r w:rsidRPr="009B1377">
        <w:rPr>
          <w:b/>
          <w:sz w:val="24"/>
          <w:szCs w:val="24"/>
        </w:rPr>
        <w:t>3.</w:t>
      </w:r>
      <w:r w:rsidRPr="009B1377">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78FF50A" w14:textId="77777777" w:rsidR="0032343E" w:rsidRPr="00B0325E" w:rsidRDefault="0032343E"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8B83756" w14:textId="77777777" w:rsidR="00EE6DEB" w:rsidRPr="00BE21BE" w:rsidRDefault="00EC617A" w:rsidP="000A7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E21BE">
        <w:rPr>
          <w:sz w:val="24"/>
          <w:szCs w:val="24"/>
        </w:rPr>
        <w:t xml:space="preserve">We have taken the usual steps used to keep response rates high: short survey, </w:t>
      </w:r>
      <w:r w:rsidR="00DF3B03" w:rsidRPr="00BE21BE">
        <w:rPr>
          <w:sz w:val="24"/>
          <w:szCs w:val="24"/>
        </w:rPr>
        <w:t>brief but interesting questions, and</w:t>
      </w:r>
      <w:r w:rsidR="00007920" w:rsidRPr="00BE21BE">
        <w:rPr>
          <w:sz w:val="24"/>
          <w:szCs w:val="24"/>
        </w:rPr>
        <w:t xml:space="preserve"> so forth.  T</w:t>
      </w:r>
      <w:r w:rsidR="00FE4876" w:rsidRPr="00BE21BE">
        <w:rPr>
          <w:sz w:val="24"/>
          <w:szCs w:val="24"/>
        </w:rPr>
        <w:t xml:space="preserve">he single largest adjustment made to the survey </w:t>
      </w:r>
      <w:r w:rsidR="008F099E" w:rsidRPr="00BE21BE">
        <w:rPr>
          <w:sz w:val="24"/>
          <w:szCs w:val="24"/>
        </w:rPr>
        <w:t xml:space="preserve">to increase response rate </w:t>
      </w:r>
      <w:r w:rsidR="00007920" w:rsidRPr="00BE21BE">
        <w:rPr>
          <w:sz w:val="24"/>
          <w:szCs w:val="24"/>
        </w:rPr>
        <w:t xml:space="preserve">is </w:t>
      </w:r>
      <w:r w:rsidR="000924A5">
        <w:rPr>
          <w:sz w:val="24"/>
          <w:szCs w:val="24"/>
        </w:rPr>
        <w:t xml:space="preserve">to </w:t>
      </w:r>
      <w:r w:rsidR="006D0C4A">
        <w:rPr>
          <w:sz w:val="24"/>
          <w:szCs w:val="24"/>
        </w:rPr>
        <w:t>ask people detailed trip information on one site only</w:t>
      </w:r>
      <w:r w:rsidR="00300014" w:rsidRPr="00BE21BE">
        <w:rPr>
          <w:sz w:val="24"/>
          <w:szCs w:val="24"/>
        </w:rPr>
        <w:t>.  T</w:t>
      </w:r>
      <w:r w:rsidR="00007920" w:rsidRPr="00BE21BE">
        <w:rPr>
          <w:sz w:val="24"/>
          <w:szCs w:val="24"/>
        </w:rPr>
        <w:t xml:space="preserve">his </w:t>
      </w:r>
      <w:r w:rsidR="00300014" w:rsidRPr="00BE21BE">
        <w:rPr>
          <w:sz w:val="24"/>
          <w:szCs w:val="24"/>
        </w:rPr>
        <w:t xml:space="preserve">is </w:t>
      </w:r>
      <w:r w:rsidR="00007920" w:rsidRPr="00BE21BE">
        <w:rPr>
          <w:sz w:val="24"/>
          <w:szCs w:val="24"/>
        </w:rPr>
        <w:t>instead of asking for data on all trips over a season</w:t>
      </w:r>
      <w:r w:rsidR="00677E7B" w:rsidRPr="00BE21BE">
        <w:rPr>
          <w:sz w:val="24"/>
          <w:szCs w:val="24"/>
        </w:rPr>
        <w:t>, which is common in travel cost studies</w:t>
      </w:r>
      <w:r w:rsidR="00007920" w:rsidRPr="00BE21BE">
        <w:rPr>
          <w:sz w:val="24"/>
          <w:szCs w:val="24"/>
        </w:rPr>
        <w:t>. This streamlines the survey</w:t>
      </w:r>
      <w:r w:rsidR="00677E7B" w:rsidRPr="00BE21BE">
        <w:rPr>
          <w:sz w:val="24"/>
          <w:szCs w:val="24"/>
        </w:rPr>
        <w:t>, allows us to obtain mor</w:t>
      </w:r>
      <w:r w:rsidR="00300014" w:rsidRPr="00BE21BE">
        <w:rPr>
          <w:sz w:val="24"/>
          <w:szCs w:val="24"/>
        </w:rPr>
        <w:t>e detai</w:t>
      </w:r>
      <w:r w:rsidR="00B0325E">
        <w:rPr>
          <w:sz w:val="24"/>
          <w:szCs w:val="24"/>
        </w:rPr>
        <w:t>led trip-specific data</w:t>
      </w:r>
      <w:r w:rsidR="00677E7B" w:rsidRPr="00BE21BE">
        <w:rPr>
          <w:sz w:val="24"/>
          <w:szCs w:val="24"/>
        </w:rPr>
        <w:t>, improves recall, and keeps the respondent focused on</w:t>
      </w:r>
      <w:r w:rsidR="008F099E" w:rsidRPr="00BE21BE">
        <w:rPr>
          <w:sz w:val="24"/>
          <w:szCs w:val="24"/>
        </w:rPr>
        <w:t xml:space="preserve"> the beach where the wind project will be introduced. </w:t>
      </w:r>
      <w:r w:rsidR="00677E7B" w:rsidRPr="00BE21BE">
        <w:rPr>
          <w:sz w:val="24"/>
          <w:szCs w:val="24"/>
        </w:rPr>
        <w:t xml:space="preserve"> </w:t>
      </w:r>
    </w:p>
    <w:p w14:paraId="1E2F8249" w14:textId="77777777" w:rsidR="00B62821" w:rsidRDefault="00B62821" w:rsidP="000A7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A5EC29" w14:textId="77777777" w:rsidR="00B62821" w:rsidRDefault="00B62821" w:rsidP="000A7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Since we are working with a prescreen</w:t>
      </w:r>
      <w:r w:rsidR="001E4CF0">
        <w:rPr>
          <w:sz w:val="24"/>
          <w:szCs w:val="24"/>
        </w:rPr>
        <w:t>ed</w:t>
      </w:r>
      <w:r>
        <w:rPr>
          <w:sz w:val="24"/>
          <w:szCs w:val="24"/>
        </w:rPr>
        <w:t xml:space="preserve"> sampling frame, nonresponse issues are kept to a minimum. </w:t>
      </w:r>
      <w:r w:rsidR="005B50FB">
        <w:rPr>
          <w:sz w:val="24"/>
          <w:szCs w:val="24"/>
        </w:rPr>
        <w:t xml:space="preserve">Also, </w:t>
      </w:r>
      <w:proofErr w:type="spellStart"/>
      <w:r w:rsidR="0046108E" w:rsidRPr="005B50FB">
        <w:rPr>
          <w:sz w:val="24"/>
          <w:szCs w:val="24"/>
        </w:rPr>
        <w:t>GfK</w:t>
      </w:r>
      <w:proofErr w:type="spellEnd"/>
      <w:r w:rsidR="0046108E" w:rsidRPr="005B50FB">
        <w:rPr>
          <w:sz w:val="24"/>
          <w:szCs w:val="24"/>
        </w:rPr>
        <w:t xml:space="preserve"> has dem</w:t>
      </w:r>
      <w:r w:rsidR="00F40CE2" w:rsidRPr="005B50FB">
        <w:rPr>
          <w:sz w:val="24"/>
          <w:szCs w:val="24"/>
        </w:rPr>
        <w:t>ographics on all panel members</w:t>
      </w:r>
      <w:r w:rsidR="00F23E36" w:rsidRPr="005B50FB">
        <w:rPr>
          <w:sz w:val="24"/>
          <w:szCs w:val="24"/>
        </w:rPr>
        <w:t xml:space="preserve"> so what we need to gather on individuals is limited</w:t>
      </w:r>
      <w:r w:rsidR="00F40CE2">
        <w:rPr>
          <w:sz w:val="24"/>
          <w:szCs w:val="24"/>
        </w:rPr>
        <w:t>. W</w:t>
      </w:r>
      <w:r w:rsidR="0046108E">
        <w:rPr>
          <w:sz w:val="24"/>
          <w:szCs w:val="24"/>
        </w:rPr>
        <w:t>e will compare respondent and non</w:t>
      </w:r>
      <w:r w:rsidR="009A18DB">
        <w:rPr>
          <w:sz w:val="24"/>
          <w:szCs w:val="24"/>
        </w:rPr>
        <w:t>-</w:t>
      </w:r>
      <w:r w:rsidR="0046108E">
        <w:rPr>
          <w:sz w:val="24"/>
          <w:szCs w:val="24"/>
        </w:rPr>
        <w:t>respondent characteristics for statistically significant diff</w:t>
      </w:r>
      <w:r w:rsidR="00F735D5">
        <w:rPr>
          <w:sz w:val="24"/>
          <w:szCs w:val="24"/>
        </w:rPr>
        <w:t>erences, report these results, and us</w:t>
      </w:r>
      <w:r w:rsidR="00F40CE2">
        <w:rPr>
          <w:sz w:val="24"/>
          <w:szCs w:val="24"/>
        </w:rPr>
        <w:t>e</w:t>
      </w:r>
      <w:r w:rsidR="00F179E4">
        <w:rPr>
          <w:sz w:val="24"/>
          <w:szCs w:val="24"/>
        </w:rPr>
        <w:t xml:space="preserve"> them to reweight the data if</w:t>
      </w:r>
      <w:r w:rsidR="00F735D5">
        <w:rPr>
          <w:sz w:val="24"/>
          <w:szCs w:val="24"/>
        </w:rPr>
        <w:t xml:space="preserve"> necessary</w:t>
      </w:r>
      <w:r w:rsidR="0046108E">
        <w:rPr>
          <w:sz w:val="24"/>
          <w:szCs w:val="24"/>
        </w:rPr>
        <w:t xml:space="preserve">. </w:t>
      </w:r>
    </w:p>
    <w:p w14:paraId="3B6198DE" w14:textId="77777777" w:rsidR="00F735D5" w:rsidRPr="00BE21BE" w:rsidRDefault="00F735D5" w:rsidP="000A7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324A6D" w14:textId="77777777" w:rsidR="004C7B9F" w:rsidRDefault="0032343E"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1377">
        <w:rPr>
          <w:b/>
          <w:sz w:val="24"/>
          <w:szCs w:val="24"/>
        </w:rPr>
        <w:t>4.</w:t>
      </w:r>
      <w:r w:rsidRPr="009B1377">
        <w:rPr>
          <w:b/>
          <w:sz w:val="24"/>
          <w:szCs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w:t>
      </w:r>
    </w:p>
    <w:p w14:paraId="665DFFE7" w14:textId="77777777" w:rsidR="0032343E" w:rsidRPr="009B1377" w:rsidRDefault="0032343E" w:rsidP="00910BA6">
      <w:pPr>
        <w:widowControl/>
        <w:autoSpaceDE/>
        <w:autoSpaceDN/>
        <w:adjustRightInd/>
        <w:rPr>
          <w:b/>
          <w:sz w:val="24"/>
          <w:szCs w:val="24"/>
        </w:rPr>
      </w:pPr>
      <w:proofErr w:type="gramStart"/>
      <w:r w:rsidRPr="009B1377">
        <w:rPr>
          <w:b/>
          <w:sz w:val="24"/>
          <w:szCs w:val="24"/>
        </w:rPr>
        <w:t>from</w:t>
      </w:r>
      <w:proofErr w:type="gramEnd"/>
      <w:r w:rsidRPr="009B1377">
        <w:rPr>
          <w:b/>
          <w:sz w:val="24"/>
          <w:szCs w:val="24"/>
        </w:rPr>
        <w:t xml:space="preserve"> 10 or more respondents.  A proposed test or set of tests may be submitted for approval separately or in combination with the main collection of information.</w:t>
      </w:r>
    </w:p>
    <w:p w14:paraId="3F2F259F" w14:textId="77777777" w:rsidR="0032343E" w:rsidRDefault="0032343E"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EC32366" w14:textId="77777777" w:rsidR="00DF3B03" w:rsidRPr="00F06943" w:rsidRDefault="00DF3B03" w:rsidP="00323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E21BE">
        <w:rPr>
          <w:sz w:val="24"/>
          <w:szCs w:val="24"/>
        </w:rPr>
        <w:t>We have conducted a small pr</w:t>
      </w:r>
      <w:r w:rsidR="00D26930" w:rsidRPr="00BE21BE">
        <w:rPr>
          <w:sz w:val="24"/>
          <w:szCs w:val="24"/>
        </w:rPr>
        <w:t xml:space="preserve">etest (&lt; 10 respondents), which </w:t>
      </w:r>
      <w:r w:rsidR="000730AB">
        <w:rPr>
          <w:sz w:val="24"/>
          <w:szCs w:val="24"/>
        </w:rPr>
        <w:t xml:space="preserve">led to </w:t>
      </w:r>
      <w:r w:rsidR="00915E6C" w:rsidRPr="00BE21BE">
        <w:rPr>
          <w:sz w:val="24"/>
          <w:szCs w:val="24"/>
        </w:rPr>
        <w:t xml:space="preserve">refinement and </w:t>
      </w:r>
      <w:r w:rsidRPr="00BE21BE">
        <w:rPr>
          <w:sz w:val="24"/>
          <w:szCs w:val="24"/>
        </w:rPr>
        <w:t>si</w:t>
      </w:r>
      <w:r w:rsidR="00D26930" w:rsidRPr="00BE21BE">
        <w:rPr>
          <w:sz w:val="24"/>
          <w:szCs w:val="24"/>
        </w:rPr>
        <w:t xml:space="preserve">mplification of the survey including the focus on last-trip data mentioned above, reducing the number of choice questions each </w:t>
      </w:r>
      <w:r w:rsidR="00915E6C" w:rsidRPr="00BE21BE">
        <w:rPr>
          <w:sz w:val="24"/>
          <w:szCs w:val="24"/>
        </w:rPr>
        <w:t xml:space="preserve">respondents faces, and </w:t>
      </w:r>
      <w:r w:rsidR="00D26930" w:rsidRPr="00BE21BE">
        <w:rPr>
          <w:sz w:val="24"/>
          <w:szCs w:val="24"/>
        </w:rPr>
        <w:t xml:space="preserve">other wording changes. These were one-on-one pretests where respondents were interviewed following the survey. </w:t>
      </w:r>
    </w:p>
    <w:p w14:paraId="6F31C356" w14:textId="77777777" w:rsidR="00646041" w:rsidRDefault="00646041">
      <w:pPr>
        <w:widowControl/>
        <w:autoSpaceDE/>
        <w:autoSpaceDN/>
        <w:adjustRightInd/>
        <w:rPr>
          <w:b/>
          <w:sz w:val="24"/>
          <w:szCs w:val="24"/>
        </w:rPr>
      </w:pPr>
      <w:r>
        <w:rPr>
          <w:b/>
          <w:sz w:val="24"/>
          <w:szCs w:val="24"/>
        </w:rPr>
        <w:br w:type="page"/>
      </w:r>
    </w:p>
    <w:p w14:paraId="631FBECA" w14:textId="77777777" w:rsidR="00646041" w:rsidRDefault="00646041" w:rsidP="005B50FB">
      <w:pPr>
        <w:widowControl/>
        <w:autoSpaceDE/>
        <w:autoSpaceDN/>
        <w:adjustRightInd/>
        <w:rPr>
          <w:b/>
          <w:sz w:val="24"/>
          <w:szCs w:val="24"/>
        </w:rPr>
      </w:pPr>
    </w:p>
    <w:p w14:paraId="53E731A9" w14:textId="77777777" w:rsidR="00CB3368" w:rsidRPr="005B50FB" w:rsidRDefault="005B50FB" w:rsidP="005B50FB">
      <w:pPr>
        <w:widowControl/>
        <w:autoSpaceDE/>
        <w:autoSpaceDN/>
        <w:adjustRightInd/>
        <w:rPr>
          <w:b/>
          <w:sz w:val="24"/>
          <w:szCs w:val="24"/>
        </w:rPr>
      </w:pPr>
      <w:r>
        <w:rPr>
          <w:b/>
          <w:sz w:val="24"/>
          <w:szCs w:val="24"/>
        </w:rPr>
        <w:t xml:space="preserve">5. </w:t>
      </w:r>
      <w:r w:rsidR="0032343E" w:rsidRPr="009B1377">
        <w:rPr>
          <w:b/>
          <w:sz w:val="24"/>
          <w:szCs w:val="24"/>
        </w:rPr>
        <w:t>Provide the names and telephone numbers of individuals consulted on statistical aspects of the design and the name of the agency unit, contractor(s), grantee(s), or other person(s) who will actually collect and/or analyze the information for the agency.</w:t>
      </w:r>
    </w:p>
    <w:p w14:paraId="6768F7E9" w14:textId="77777777" w:rsidR="00370233" w:rsidRDefault="00370233" w:rsidP="003702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40FB857A" w14:textId="77777777" w:rsidR="00910BA6" w:rsidRDefault="00910BA6" w:rsidP="003702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6"/>
          <w:szCs w:val="26"/>
        </w:rPr>
      </w:pPr>
    </w:p>
    <w:p w14:paraId="0C3C7F60" w14:textId="77777777" w:rsidR="002309D2" w:rsidRPr="00BE21BE" w:rsidRDefault="00CB3368" w:rsidP="002309D2">
      <w:pPr>
        <w:spacing w:before="14" w:line="260" w:lineRule="exact"/>
        <w:rPr>
          <w:sz w:val="24"/>
          <w:szCs w:val="24"/>
        </w:rPr>
      </w:pPr>
      <w:r w:rsidRPr="00BE21BE">
        <w:rPr>
          <w:sz w:val="24"/>
          <w:szCs w:val="24"/>
        </w:rPr>
        <w:t>George R. Parsons</w:t>
      </w:r>
    </w:p>
    <w:p w14:paraId="07EF487D" w14:textId="77777777" w:rsidR="00CB3368" w:rsidRPr="00BE21BE" w:rsidRDefault="00CB3368" w:rsidP="002309D2">
      <w:pPr>
        <w:spacing w:before="14" w:line="260" w:lineRule="exact"/>
        <w:rPr>
          <w:sz w:val="24"/>
          <w:szCs w:val="24"/>
        </w:rPr>
      </w:pPr>
      <w:r w:rsidRPr="00BE21BE">
        <w:rPr>
          <w:sz w:val="24"/>
          <w:szCs w:val="24"/>
        </w:rPr>
        <w:t>Professor of Economics and Marine Policy</w:t>
      </w:r>
    </w:p>
    <w:p w14:paraId="01BCA93F" w14:textId="77777777" w:rsidR="00CB3368" w:rsidRDefault="00CB3368" w:rsidP="002309D2">
      <w:pPr>
        <w:spacing w:before="14" w:line="260" w:lineRule="exact"/>
        <w:rPr>
          <w:sz w:val="24"/>
          <w:szCs w:val="24"/>
        </w:rPr>
      </w:pPr>
      <w:r w:rsidRPr="00BE21BE">
        <w:rPr>
          <w:sz w:val="24"/>
          <w:szCs w:val="24"/>
        </w:rPr>
        <w:t>University of Delaware</w:t>
      </w:r>
    </w:p>
    <w:p w14:paraId="3DB59474" w14:textId="77777777" w:rsidR="00370233" w:rsidRPr="00BE21BE" w:rsidRDefault="00370233" w:rsidP="002309D2">
      <w:pPr>
        <w:spacing w:before="14" w:line="260" w:lineRule="exact"/>
        <w:rPr>
          <w:sz w:val="24"/>
          <w:szCs w:val="24"/>
        </w:rPr>
      </w:pPr>
      <w:r>
        <w:rPr>
          <w:sz w:val="24"/>
          <w:szCs w:val="24"/>
        </w:rPr>
        <w:t>gparsons@udel.edu</w:t>
      </w:r>
    </w:p>
    <w:p w14:paraId="7A0CF351" w14:textId="77777777" w:rsidR="005329D1" w:rsidRPr="00BE21BE" w:rsidRDefault="005329D1" w:rsidP="002309D2">
      <w:pPr>
        <w:spacing w:before="14" w:line="260" w:lineRule="exact"/>
        <w:rPr>
          <w:sz w:val="24"/>
          <w:szCs w:val="24"/>
        </w:rPr>
      </w:pPr>
      <w:r w:rsidRPr="00BE21BE">
        <w:rPr>
          <w:sz w:val="24"/>
          <w:szCs w:val="24"/>
        </w:rPr>
        <w:t>(302) 831-6891</w:t>
      </w:r>
    </w:p>
    <w:p w14:paraId="5DDF5EB7" w14:textId="77777777" w:rsidR="00CB3368" w:rsidRPr="00BE21BE" w:rsidRDefault="00CB3368" w:rsidP="002309D2">
      <w:pPr>
        <w:spacing w:before="14" w:line="260" w:lineRule="exact"/>
        <w:rPr>
          <w:sz w:val="24"/>
          <w:szCs w:val="24"/>
        </w:rPr>
      </w:pPr>
    </w:p>
    <w:p w14:paraId="5D4168B9" w14:textId="77777777" w:rsidR="00CB3368" w:rsidRPr="00BE21BE" w:rsidRDefault="00CB3368" w:rsidP="002309D2">
      <w:pPr>
        <w:spacing w:before="14" w:line="260" w:lineRule="exact"/>
        <w:rPr>
          <w:sz w:val="24"/>
          <w:szCs w:val="24"/>
        </w:rPr>
      </w:pPr>
      <w:r w:rsidRPr="00BE21BE">
        <w:rPr>
          <w:sz w:val="24"/>
          <w:szCs w:val="24"/>
        </w:rPr>
        <w:t>Jeremy Firestone</w:t>
      </w:r>
    </w:p>
    <w:p w14:paraId="315B5DAB" w14:textId="77777777" w:rsidR="00CB3368" w:rsidRPr="00BE21BE" w:rsidRDefault="00CB3368" w:rsidP="002309D2">
      <w:pPr>
        <w:spacing w:before="14" w:line="260" w:lineRule="exact"/>
        <w:rPr>
          <w:sz w:val="24"/>
          <w:szCs w:val="24"/>
        </w:rPr>
      </w:pPr>
      <w:r w:rsidRPr="00BE21BE">
        <w:rPr>
          <w:sz w:val="24"/>
          <w:szCs w:val="24"/>
        </w:rPr>
        <w:t>Professor of Marine Policy</w:t>
      </w:r>
    </w:p>
    <w:p w14:paraId="19254882" w14:textId="77777777" w:rsidR="00CB3368" w:rsidRDefault="00CB3368" w:rsidP="002309D2">
      <w:pPr>
        <w:spacing w:before="14" w:line="260" w:lineRule="exact"/>
        <w:rPr>
          <w:sz w:val="24"/>
          <w:szCs w:val="24"/>
        </w:rPr>
      </w:pPr>
      <w:r w:rsidRPr="00BE21BE">
        <w:rPr>
          <w:sz w:val="24"/>
          <w:szCs w:val="24"/>
        </w:rPr>
        <w:t>University of Delaware</w:t>
      </w:r>
    </w:p>
    <w:p w14:paraId="465B5F78" w14:textId="77777777" w:rsidR="00370233" w:rsidRPr="00BE21BE" w:rsidRDefault="00370233" w:rsidP="002309D2">
      <w:pPr>
        <w:spacing w:before="14" w:line="260" w:lineRule="exact"/>
        <w:rPr>
          <w:sz w:val="24"/>
          <w:szCs w:val="24"/>
        </w:rPr>
      </w:pPr>
      <w:r>
        <w:rPr>
          <w:sz w:val="24"/>
          <w:szCs w:val="24"/>
        </w:rPr>
        <w:t>jf@udel.edu</w:t>
      </w:r>
    </w:p>
    <w:p w14:paraId="3A6A59EF" w14:textId="77777777" w:rsidR="00CB3368" w:rsidRPr="00BE21BE" w:rsidRDefault="005329D1" w:rsidP="002309D2">
      <w:pPr>
        <w:spacing w:before="14" w:line="260" w:lineRule="exact"/>
        <w:rPr>
          <w:sz w:val="24"/>
          <w:szCs w:val="24"/>
        </w:rPr>
      </w:pPr>
      <w:r w:rsidRPr="00BE21BE">
        <w:rPr>
          <w:sz w:val="24"/>
          <w:szCs w:val="24"/>
        </w:rPr>
        <w:t>(302) 831-0228</w:t>
      </w:r>
    </w:p>
    <w:p w14:paraId="1D08E969" w14:textId="77777777" w:rsidR="002E33DD" w:rsidRPr="00BE21BE" w:rsidRDefault="002E33DD" w:rsidP="002309D2">
      <w:pPr>
        <w:spacing w:before="14" w:line="260" w:lineRule="exact"/>
        <w:rPr>
          <w:sz w:val="24"/>
          <w:szCs w:val="24"/>
        </w:rPr>
      </w:pPr>
    </w:p>
    <w:p w14:paraId="79EF34D6" w14:textId="77777777" w:rsidR="005329D1" w:rsidRPr="000730AB" w:rsidRDefault="00B62821" w:rsidP="002309D2">
      <w:pPr>
        <w:spacing w:before="14" w:line="260" w:lineRule="exact"/>
        <w:rPr>
          <w:sz w:val="24"/>
          <w:szCs w:val="24"/>
        </w:rPr>
      </w:pPr>
      <w:r>
        <w:rPr>
          <w:sz w:val="24"/>
          <w:szCs w:val="24"/>
        </w:rPr>
        <w:t xml:space="preserve">Wendy </w:t>
      </w:r>
      <w:r w:rsidRPr="000730AB">
        <w:rPr>
          <w:sz w:val="24"/>
          <w:szCs w:val="24"/>
        </w:rPr>
        <w:t>Mansfield</w:t>
      </w:r>
    </w:p>
    <w:p w14:paraId="68CAF1D2" w14:textId="77777777" w:rsidR="00CB3368" w:rsidRPr="000730AB" w:rsidRDefault="002E33DD" w:rsidP="002309D2">
      <w:pPr>
        <w:spacing w:before="14" w:line="260" w:lineRule="exact"/>
        <w:rPr>
          <w:sz w:val="24"/>
          <w:szCs w:val="24"/>
        </w:rPr>
      </w:pPr>
      <w:r w:rsidRPr="000730AB">
        <w:rPr>
          <w:sz w:val="24"/>
          <w:szCs w:val="24"/>
        </w:rPr>
        <w:t>Vice President</w:t>
      </w:r>
    </w:p>
    <w:p w14:paraId="4CABFDB3" w14:textId="77777777" w:rsidR="002E33DD" w:rsidRPr="000730AB" w:rsidRDefault="000730AB" w:rsidP="002309D2">
      <w:pPr>
        <w:spacing w:before="14" w:line="260" w:lineRule="exact"/>
        <w:rPr>
          <w:sz w:val="24"/>
          <w:szCs w:val="24"/>
        </w:rPr>
      </w:pPr>
      <w:proofErr w:type="spellStart"/>
      <w:r w:rsidRPr="000730AB">
        <w:rPr>
          <w:sz w:val="24"/>
          <w:szCs w:val="24"/>
        </w:rPr>
        <w:t>GfK</w:t>
      </w:r>
      <w:proofErr w:type="spellEnd"/>
      <w:r w:rsidRPr="000730AB">
        <w:rPr>
          <w:sz w:val="24"/>
          <w:szCs w:val="24"/>
        </w:rPr>
        <w:t xml:space="preserve"> Custom Research</w:t>
      </w:r>
    </w:p>
    <w:p w14:paraId="7D3091E4" w14:textId="77777777" w:rsidR="00EC60BF" w:rsidRDefault="00C2062B" w:rsidP="00EC60BF">
      <w:pPr>
        <w:rPr>
          <w:rFonts w:cs="Arial"/>
          <w:color w:val="434343"/>
          <w:sz w:val="24"/>
          <w:szCs w:val="24"/>
        </w:rPr>
      </w:pPr>
      <w:hyperlink r:id="rId8" w:history="1">
        <w:r w:rsidR="000730AB" w:rsidRPr="00055B56">
          <w:rPr>
            <w:rStyle w:val="Hyperlink"/>
            <w:rFonts w:cs="Arial"/>
            <w:sz w:val="24"/>
            <w:szCs w:val="24"/>
          </w:rPr>
          <w:t>wendy.mansfield@gfk.com</w:t>
        </w:r>
      </w:hyperlink>
    </w:p>
    <w:p w14:paraId="4B59DE2D" w14:textId="77777777" w:rsidR="000730AB" w:rsidRPr="000730AB" w:rsidRDefault="000730AB" w:rsidP="00EC60BF">
      <w:pPr>
        <w:rPr>
          <w:sz w:val="24"/>
          <w:szCs w:val="24"/>
        </w:rPr>
      </w:pPr>
      <w:r>
        <w:rPr>
          <w:rFonts w:cs="Arial"/>
          <w:color w:val="434343"/>
          <w:sz w:val="24"/>
          <w:szCs w:val="24"/>
        </w:rPr>
        <w:t>(202) 686-0933</w:t>
      </w:r>
    </w:p>
    <w:sectPr w:rsidR="000730AB" w:rsidRPr="000730AB" w:rsidSect="0094068C">
      <w:footerReference w:type="default" r:id="rId9"/>
      <w:type w:val="continuous"/>
      <w:pgSz w:w="12240" w:h="15840" w:code="1"/>
      <w:pgMar w:top="1440" w:right="1440" w:bottom="1440" w:left="1440" w:header="1440" w:footer="144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AD320C" w15:done="0"/>
  <w15:commentEx w15:paraId="7C65DE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317C6" w14:textId="77777777" w:rsidR="008B0478" w:rsidRDefault="008B0478" w:rsidP="00A64CB1">
      <w:r>
        <w:separator/>
      </w:r>
    </w:p>
  </w:endnote>
  <w:endnote w:type="continuationSeparator" w:id="0">
    <w:p w14:paraId="1DFB6768" w14:textId="77777777" w:rsidR="008B0478" w:rsidRDefault="008B0478" w:rsidP="00A6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01315"/>
      <w:docPartObj>
        <w:docPartGallery w:val="Page Numbers (Bottom of Page)"/>
        <w:docPartUnique/>
      </w:docPartObj>
    </w:sdtPr>
    <w:sdtEndPr>
      <w:rPr>
        <w:noProof/>
      </w:rPr>
    </w:sdtEndPr>
    <w:sdtContent>
      <w:p w14:paraId="51D5FDB0" w14:textId="77777777" w:rsidR="008B0478" w:rsidRDefault="008B0478">
        <w:pPr>
          <w:pStyle w:val="Footer"/>
          <w:jc w:val="center"/>
        </w:pPr>
        <w:r>
          <w:fldChar w:fldCharType="begin"/>
        </w:r>
        <w:r>
          <w:instrText xml:space="preserve"> PAGE   \* MERGEFORMAT </w:instrText>
        </w:r>
        <w:r>
          <w:fldChar w:fldCharType="separate"/>
        </w:r>
        <w:r w:rsidR="00C2062B">
          <w:rPr>
            <w:noProof/>
          </w:rPr>
          <w:t>2</w:t>
        </w:r>
        <w:r>
          <w:rPr>
            <w:noProof/>
          </w:rPr>
          <w:fldChar w:fldCharType="end"/>
        </w:r>
      </w:p>
    </w:sdtContent>
  </w:sdt>
  <w:p w14:paraId="19721991" w14:textId="77777777" w:rsidR="008B0478" w:rsidRDefault="008B0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934CE" w14:textId="77777777" w:rsidR="008B0478" w:rsidRDefault="008B0478" w:rsidP="00A64CB1">
      <w:r>
        <w:separator/>
      </w:r>
    </w:p>
  </w:footnote>
  <w:footnote w:type="continuationSeparator" w:id="0">
    <w:p w14:paraId="768851A1" w14:textId="77777777" w:rsidR="008B0478" w:rsidRDefault="008B0478" w:rsidP="00A64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CE55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C5265C"/>
    <w:multiLevelType w:val="hybridMultilevel"/>
    <w:tmpl w:val="9CA00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6BC7"/>
    <w:rsid w:val="00007920"/>
    <w:rsid w:val="00022B22"/>
    <w:rsid w:val="000239BC"/>
    <w:rsid w:val="000251B2"/>
    <w:rsid w:val="000257C8"/>
    <w:rsid w:val="00026233"/>
    <w:rsid w:val="00034380"/>
    <w:rsid w:val="00034D52"/>
    <w:rsid w:val="00037366"/>
    <w:rsid w:val="00041D73"/>
    <w:rsid w:val="00044602"/>
    <w:rsid w:val="000458C7"/>
    <w:rsid w:val="000524DE"/>
    <w:rsid w:val="00052851"/>
    <w:rsid w:val="00052CDA"/>
    <w:rsid w:val="000668D2"/>
    <w:rsid w:val="000679E7"/>
    <w:rsid w:val="00071BE6"/>
    <w:rsid w:val="000730AB"/>
    <w:rsid w:val="00075B68"/>
    <w:rsid w:val="00084D93"/>
    <w:rsid w:val="00085022"/>
    <w:rsid w:val="00091C4D"/>
    <w:rsid w:val="000924A5"/>
    <w:rsid w:val="00093FE9"/>
    <w:rsid w:val="000A446C"/>
    <w:rsid w:val="000A55B9"/>
    <w:rsid w:val="000A5F70"/>
    <w:rsid w:val="000A7053"/>
    <w:rsid w:val="000B2AD7"/>
    <w:rsid w:val="000B3574"/>
    <w:rsid w:val="000C0A78"/>
    <w:rsid w:val="000C3EB4"/>
    <w:rsid w:val="000C51ED"/>
    <w:rsid w:val="000D5216"/>
    <w:rsid w:val="000E35A7"/>
    <w:rsid w:val="000E3888"/>
    <w:rsid w:val="000E764C"/>
    <w:rsid w:val="000F1C17"/>
    <w:rsid w:val="000F3AF1"/>
    <w:rsid w:val="00104664"/>
    <w:rsid w:val="001077FF"/>
    <w:rsid w:val="00121972"/>
    <w:rsid w:val="00135E27"/>
    <w:rsid w:val="0013647F"/>
    <w:rsid w:val="00141920"/>
    <w:rsid w:val="001422E7"/>
    <w:rsid w:val="001430EB"/>
    <w:rsid w:val="00145F9A"/>
    <w:rsid w:val="00150442"/>
    <w:rsid w:val="00152E51"/>
    <w:rsid w:val="00161CA3"/>
    <w:rsid w:val="00162B02"/>
    <w:rsid w:val="00175026"/>
    <w:rsid w:val="00196EF2"/>
    <w:rsid w:val="001A56C3"/>
    <w:rsid w:val="001B3B05"/>
    <w:rsid w:val="001C0FBB"/>
    <w:rsid w:val="001D1900"/>
    <w:rsid w:val="001D66ED"/>
    <w:rsid w:val="001D7837"/>
    <w:rsid w:val="001E4CF0"/>
    <w:rsid w:val="001F1562"/>
    <w:rsid w:val="001F2711"/>
    <w:rsid w:val="002309D2"/>
    <w:rsid w:val="002346A5"/>
    <w:rsid w:val="00234776"/>
    <w:rsid w:val="00235486"/>
    <w:rsid w:val="00235D42"/>
    <w:rsid w:val="00242A46"/>
    <w:rsid w:val="00244003"/>
    <w:rsid w:val="00246A9C"/>
    <w:rsid w:val="00251FDC"/>
    <w:rsid w:val="00257A32"/>
    <w:rsid w:val="002629BF"/>
    <w:rsid w:val="00273E3C"/>
    <w:rsid w:val="00294EF6"/>
    <w:rsid w:val="00295103"/>
    <w:rsid w:val="00296775"/>
    <w:rsid w:val="002A2004"/>
    <w:rsid w:val="002A223A"/>
    <w:rsid w:val="002A239F"/>
    <w:rsid w:val="002B2BC0"/>
    <w:rsid w:val="002B43E6"/>
    <w:rsid w:val="002B67EE"/>
    <w:rsid w:val="002D246C"/>
    <w:rsid w:val="002D5739"/>
    <w:rsid w:val="002D7866"/>
    <w:rsid w:val="002E33DD"/>
    <w:rsid w:val="002E6ACD"/>
    <w:rsid w:val="002F5519"/>
    <w:rsid w:val="002F66B5"/>
    <w:rsid w:val="00300014"/>
    <w:rsid w:val="00303ECC"/>
    <w:rsid w:val="003129AC"/>
    <w:rsid w:val="00315A64"/>
    <w:rsid w:val="0032343E"/>
    <w:rsid w:val="00333CB0"/>
    <w:rsid w:val="00337000"/>
    <w:rsid w:val="00337481"/>
    <w:rsid w:val="00352210"/>
    <w:rsid w:val="00353721"/>
    <w:rsid w:val="00356944"/>
    <w:rsid w:val="00370233"/>
    <w:rsid w:val="00371EF4"/>
    <w:rsid w:val="0038304C"/>
    <w:rsid w:val="003850D3"/>
    <w:rsid w:val="003918AF"/>
    <w:rsid w:val="00392EF7"/>
    <w:rsid w:val="003B3AE5"/>
    <w:rsid w:val="003C3292"/>
    <w:rsid w:val="003D0D06"/>
    <w:rsid w:val="003D16E4"/>
    <w:rsid w:val="003E3E25"/>
    <w:rsid w:val="003E65D8"/>
    <w:rsid w:val="00400B2A"/>
    <w:rsid w:val="0040399B"/>
    <w:rsid w:val="004128D1"/>
    <w:rsid w:val="00434994"/>
    <w:rsid w:val="00437E66"/>
    <w:rsid w:val="004510C7"/>
    <w:rsid w:val="00460E58"/>
    <w:rsid w:val="0046108E"/>
    <w:rsid w:val="004677B6"/>
    <w:rsid w:val="004706D1"/>
    <w:rsid w:val="00470F72"/>
    <w:rsid w:val="00483DD1"/>
    <w:rsid w:val="004970BA"/>
    <w:rsid w:val="004A4F03"/>
    <w:rsid w:val="004A6DFA"/>
    <w:rsid w:val="004B62AA"/>
    <w:rsid w:val="004B7B28"/>
    <w:rsid w:val="004C7B9F"/>
    <w:rsid w:val="004D0E23"/>
    <w:rsid w:val="004D71D2"/>
    <w:rsid w:val="004E63C2"/>
    <w:rsid w:val="004E6E35"/>
    <w:rsid w:val="004F5170"/>
    <w:rsid w:val="0050248A"/>
    <w:rsid w:val="00525467"/>
    <w:rsid w:val="005329D1"/>
    <w:rsid w:val="00541523"/>
    <w:rsid w:val="005423CA"/>
    <w:rsid w:val="00551A04"/>
    <w:rsid w:val="00554427"/>
    <w:rsid w:val="00563AC1"/>
    <w:rsid w:val="00564B72"/>
    <w:rsid w:val="00570A7D"/>
    <w:rsid w:val="0057443F"/>
    <w:rsid w:val="00577471"/>
    <w:rsid w:val="00577DF2"/>
    <w:rsid w:val="00595EA3"/>
    <w:rsid w:val="005A3AC1"/>
    <w:rsid w:val="005B3305"/>
    <w:rsid w:val="005B50FB"/>
    <w:rsid w:val="005B530A"/>
    <w:rsid w:val="005C085F"/>
    <w:rsid w:val="005C109F"/>
    <w:rsid w:val="005C3DDF"/>
    <w:rsid w:val="005D39A7"/>
    <w:rsid w:val="005E0031"/>
    <w:rsid w:val="0060125E"/>
    <w:rsid w:val="0060650B"/>
    <w:rsid w:val="0060758B"/>
    <w:rsid w:val="00610501"/>
    <w:rsid w:val="006119BB"/>
    <w:rsid w:val="00623022"/>
    <w:rsid w:val="00625AF7"/>
    <w:rsid w:val="00646041"/>
    <w:rsid w:val="00650F04"/>
    <w:rsid w:val="00663850"/>
    <w:rsid w:val="00666261"/>
    <w:rsid w:val="00677E7B"/>
    <w:rsid w:val="006841A2"/>
    <w:rsid w:val="0069672C"/>
    <w:rsid w:val="006A3357"/>
    <w:rsid w:val="006A65FB"/>
    <w:rsid w:val="006B2ADF"/>
    <w:rsid w:val="006C5788"/>
    <w:rsid w:val="006D0C4A"/>
    <w:rsid w:val="006E0F0A"/>
    <w:rsid w:val="006E1362"/>
    <w:rsid w:val="006E339F"/>
    <w:rsid w:val="00701C0C"/>
    <w:rsid w:val="00704025"/>
    <w:rsid w:val="00706D56"/>
    <w:rsid w:val="00716945"/>
    <w:rsid w:val="00721AA2"/>
    <w:rsid w:val="00726ADF"/>
    <w:rsid w:val="00730F95"/>
    <w:rsid w:val="00744838"/>
    <w:rsid w:val="007452EB"/>
    <w:rsid w:val="00751393"/>
    <w:rsid w:val="00755C22"/>
    <w:rsid w:val="00755E89"/>
    <w:rsid w:val="00763115"/>
    <w:rsid w:val="007652DD"/>
    <w:rsid w:val="00767CAE"/>
    <w:rsid w:val="00770C66"/>
    <w:rsid w:val="007824B6"/>
    <w:rsid w:val="007851E9"/>
    <w:rsid w:val="00790995"/>
    <w:rsid w:val="00790F32"/>
    <w:rsid w:val="007A439B"/>
    <w:rsid w:val="007A5550"/>
    <w:rsid w:val="007A5AB2"/>
    <w:rsid w:val="007B161E"/>
    <w:rsid w:val="007C1344"/>
    <w:rsid w:val="007E21B5"/>
    <w:rsid w:val="007F03B4"/>
    <w:rsid w:val="007F4509"/>
    <w:rsid w:val="007F69D1"/>
    <w:rsid w:val="00800573"/>
    <w:rsid w:val="00800BEE"/>
    <w:rsid w:val="0080258B"/>
    <w:rsid w:val="008054FE"/>
    <w:rsid w:val="008066CC"/>
    <w:rsid w:val="0081259F"/>
    <w:rsid w:val="008215B2"/>
    <w:rsid w:val="0083500F"/>
    <w:rsid w:val="00844087"/>
    <w:rsid w:val="008613EF"/>
    <w:rsid w:val="00867CF4"/>
    <w:rsid w:val="00872226"/>
    <w:rsid w:val="008844D2"/>
    <w:rsid w:val="00891F78"/>
    <w:rsid w:val="00894CD6"/>
    <w:rsid w:val="008A1532"/>
    <w:rsid w:val="008A1E66"/>
    <w:rsid w:val="008B0478"/>
    <w:rsid w:val="008C243B"/>
    <w:rsid w:val="008D5487"/>
    <w:rsid w:val="008E4C4C"/>
    <w:rsid w:val="008F099E"/>
    <w:rsid w:val="008F0B83"/>
    <w:rsid w:val="009009A4"/>
    <w:rsid w:val="00905D52"/>
    <w:rsid w:val="00906119"/>
    <w:rsid w:val="00910317"/>
    <w:rsid w:val="00910BA6"/>
    <w:rsid w:val="00915E6C"/>
    <w:rsid w:val="00921FCE"/>
    <w:rsid w:val="0094068C"/>
    <w:rsid w:val="00944C21"/>
    <w:rsid w:val="00956BA8"/>
    <w:rsid w:val="00961FF2"/>
    <w:rsid w:val="0099604B"/>
    <w:rsid w:val="009A0F25"/>
    <w:rsid w:val="009A18DB"/>
    <w:rsid w:val="009B359F"/>
    <w:rsid w:val="009C7700"/>
    <w:rsid w:val="009D10B5"/>
    <w:rsid w:val="009D2D3C"/>
    <w:rsid w:val="009D4E77"/>
    <w:rsid w:val="009E0719"/>
    <w:rsid w:val="009E11C2"/>
    <w:rsid w:val="009E3AB9"/>
    <w:rsid w:val="009F471C"/>
    <w:rsid w:val="009F49AF"/>
    <w:rsid w:val="00A02FE0"/>
    <w:rsid w:val="00A0374A"/>
    <w:rsid w:val="00A11319"/>
    <w:rsid w:val="00A32EDA"/>
    <w:rsid w:val="00A3589A"/>
    <w:rsid w:val="00A63116"/>
    <w:rsid w:val="00A64777"/>
    <w:rsid w:val="00A64CB1"/>
    <w:rsid w:val="00A716F6"/>
    <w:rsid w:val="00A74C24"/>
    <w:rsid w:val="00AB5905"/>
    <w:rsid w:val="00AC3DBD"/>
    <w:rsid w:val="00AE33E8"/>
    <w:rsid w:val="00AE53B1"/>
    <w:rsid w:val="00AE67D2"/>
    <w:rsid w:val="00AE6D37"/>
    <w:rsid w:val="00AF2269"/>
    <w:rsid w:val="00B016F3"/>
    <w:rsid w:val="00B0325E"/>
    <w:rsid w:val="00B03FF3"/>
    <w:rsid w:val="00B05BEC"/>
    <w:rsid w:val="00B127BA"/>
    <w:rsid w:val="00B1549C"/>
    <w:rsid w:val="00B15E1E"/>
    <w:rsid w:val="00B35B3E"/>
    <w:rsid w:val="00B577B9"/>
    <w:rsid w:val="00B62821"/>
    <w:rsid w:val="00B7301A"/>
    <w:rsid w:val="00B80FCF"/>
    <w:rsid w:val="00B90879"/>
    <w:rsid w:val="00B91591"/>
    <w:rsid w:val="00B91C32"/>
    <w:rsid w:val="00B934C4"/>
    <w:rsid w:val="00BA6400"/>
    <w:rsid w:val="00BB7883"/>
    <w:rsid w:val="00BD70AD"/>
    <w:rsid w:val="00BE21BE"/>
    <w:rsid w:val="00BE2EBE"/>
    <w:rsid w:val="00BF1E7F"/>
    <w:rsid w:val="00BF38B6"/>
    <w:rsid w:val="00C04206"/>
    <w:rsid w:val="00C2062B"/>
    <w:rsid w:val="00C2429E"/>
    <w:rsid w:val="00C30F3C"/>
    <w:rsid w:val="00C34999"/>
    <w:rsid w:val="00C71132"/>
    <w:rsid w:val="00C71B62"/>
    <w:rsid w:val="00C77400"/>
    <w:rsid w:val="00C826B8"/>
    <w:rsid w:val="00C9010B"/>
    <w:rsid w:val="00CB1E04"/>
    <w:rsid w:val="00CB3368"/>
    <w:rsid w:val="00CB597A"/>
    <w:rsid w:val="00CB6B73"/>
    <w:rsid w:val="00CD5F27"/>
    <w:rsid w:val="00CE2BB0"/>
    <w:rsid w:val="00CF6AA6"/>
    <w:rsid w:val="00D13EBB"/>
    <w:rsid w:val="00D15DF0"/>
    <w:rsid w:val="00D16EFA"/>
    <w:rsid w:val="00D25704"/>
    <w:rsid w:val="00D26930"/>
    <w:rsid w:val="00D3527E"/>
    <w:rsid w:val="00D4526B"/>
    <w:rsid w:val="00D455C3"/>
    <w:rsid w:val="00D6620A"/>
    <w:rsid w:val="00D73749"/>
    <w:rsid w:val="00D83A1F"/>
    <w:rsid w:val="00D96155"/>
    <w:rsid w:val="00DA1C3F"/>
    <w:rsid w:val="00DA6ADE"/>
    <w:rsid w:val="00DB5AB3"/>
    <w:rsid w:val="00DB65F7"/>
    <w:rsid w:val="00DC2AFE"/>
    <w:rsid w:val="00DC5399"/>
    <w:rsid w:val="00DC7BA1"/>
    <w:rsid w:val="00DD768A"/>
    <w:rsid w:val="00DE1FFE"/>
    <w:rsid w:val="00DE507A"/>
    <w:rsid w:val="00DE7630"/>
    <w:rsid w:val="00DF3A40"/>
    <w:rsid w:val="00DF3B03"/>
    <w:rsid w:val="00E00F89"/>
    <w:rsid w:val="00E01C36"/>
    <w:rsid w:val="00E044AB"/>
    <w:rsid w:val="00E46005"/>
    <w:rsid w:val="00E6013B"/>
    <w:rsid w:val="00E63981"/>
    <w:rsid w:val="00E663D4"/>
    <w:rsid w:val="00E737AB"/>
    <w:rsid w:val="00E865D8"/>
    <w:rsid w:val="00E97D39"/>
    <w:rsid w:val="00EB266C"/>
    <w:rsid w:val="00EC60BF"/>
    <w:rsid w:val="00EC617A"/>
    <w:rsid w:val="00ED1383"/>
    <w:rsid w:val="00ED2FAA"/>
    <w:rsid w:val="00EE3E21"/>
    <w:rsid w:val="00EE4317"/>
    <w:rsid w:val="00EE6DEB"/>
    <w:rsid w:val="00F06943"/>
    <w:rsid w:val="00F1066A"/>
    <w:rsid w:val="00F16032"/>
    <w:rsid w:val="00F161D6"/>
    <w:rsid w:val="00F179E4"/>
    <w:rsid w:val="00F23E36"/>
    <w:rsid w:val="00F34165"/>
    <w:rsid w:val="00F35535"/>
    <w:rsid w:val="00F40CE2"/>
    <w:rsid w:val="00F42A80"/>
    <w:rsid w:val="00F44915"/>
    <w:rsid w:val="00F551C3"/>
    <w:rsid w:val="00F70C8C"/>
    <w:rsid w:val="00F71EED"/>
    <w:rsid w:val="00F735D5"/>
    <w:rsid w:val="00F73931"/>
    <w:rsid w:val="00F913E8"/>
    <w:rsid w:val="00F935FE"/>
    <w:rsid w:val="00F94B05"/>
    <w:rsid w:val="00FB3434"/>
    <w:rsid w:val="00FB7F13"/>
    <w:rsid w:val="00FC248B"/>
    <w:rsid w:val="00FD01E9"/>
    <w:rsid w:val="00FD6EAA"/>
    <w:rsid w:val="00FE0CE0"/>
    <w:rsid w:val="00FE3B9A"/>
    <w:rsid w:val="00FE487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D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table" w:styleId="TableGrid">
    <w:name w:val="Table Grid"/>
    <w:basedOn w:val="TableNormal"/>
    <w:uiPriority w:val="59"/>
    <w:rsid w:val="00323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716945"/>
    <w:pPr>
      <w:ind w:left="720"/>
      <w:contextualSpacing/>
    </w:pPr>
  </w:style>
  <w:style w:type="character" w:styleId="CommentReference">
    <w:name w:val="annotation reference"/>
    <w:basedOn w:val="DefaultParagraphFont"/>
    <w:uiPriority w:val="99"/>
    <w:semiHidden/>
    <w:unhideWhenUsed/>
    <w:rsid w:val="003D16E4"/>
    <w:rPr>
      <w:sz w:val="16"/>
      <w:szCs w:val="16"/>
    </w:rPr>
  </w:style>
  <w:style w:type="paragraph" w:styleId="CommentText">
    <w:name w:val="annotation text"/>
    <w:basedOn w:val="Normal"/>
    <w:link w:val="CommentTextChar"/>
    <w:uiPriority w:val="99"/>
    <w:semiHidden/>
    <w:unhideWhenUsed/>
    <w:rsid w:val="003D16E4"/>
  </w:style>
  <w:style w:type="character" w:customStyle="1" w:styleId="CommentTextChar">
    <w:name w:val="Comment Text Char"/>
    <w:basedOn w:val="DefaultParagraphFont"/>
    <w:link w:val="CommentText"/>
    <w:uiPriority w:val="99"/>
    <w:semiHidden/>
    <w:rsid w:val="003D16E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D16E4"/>
    <w:rPr>
      <w:b/>
      <w:bCs/>
    </w:rPr>
  </w:style>
  <w:style w:type="character" w:customStyle="1" w:styleId="CommentSubjectChar">
    <w:name w:val="Comment Subject Char"/>
    <w:basedOn w:val="CommentTextChar"/>
    <w:link w:val="CommentSubject"/>
    <w:uiPriority w:val="99"/>
    <w:semiHidden/>
    <w:rsid w:val="003D16E4"/>
    <w:rPr>
      <w:rFonts w:ascii="Times New Roman" w:hAnsi="Times New Roman"/>
      <w:b/>
      <w:bCs/>
    </w:rPr>
  </w:style>
  <w:style w:type="paragraph" w:styleId="Header">
    <w:name w:val="header"/>
    <w:basedOn w:val="Normal"/>
    <w:link w:val="HeaderChar"/>
    <w:uiPriority w:val="99"/>
    <w:unhideWhenUsed/>
    <w:rsid w:val="00A64CB1"/>
    <w:pPr>
      <w:tabs>
        <w:tab w:val="center" w:pos="4680"/>
        <w:tab w:val="right" w:pos="9360"/>
      </w:tabs>
    </w:pPr>
  </w:style>
  <w:style w:type="character" w:customStyle="1" w:styleId="HeaderChar">
    <w:name w:val="Header Char"/>
    <w:basedOn w:val="DefaultParagraphFont"/>
    <w:link w:val="Header"/>
    <w:uiPriority w:val="99"/>
    <w:rsid w:val="00A64CB1"/>
    <w:rPr>
      <w:rFonts w:ascii="Times New Roman" w:hAnsi="Times New Roman"/>
    </w:rPr>
  </w:style>
  <w:style w:type="paragraph" w:styleId="Footer">
    <w:name w:val="footer"/>
    <w:basedOn w:val="Normal"/>
    <w:link w:val="FooterChar"/>
    <w:uiPriority w:val="99"/>
    <w:unhideWhenUsed/>
    <w:rsid w:val="00A64CB1"/>
    <w:pPr>
      <w:tabs>
        <w:tab w:val="center" w:pos="4680"/>
        <w:tab w:val="right" w:pos="9360"/>
      </w:tabs>
    </w:pPr>
  </w:style>
  <w:style w:type="character" w:customStyle="1" w:styleId="FooterChar">
    <w:name w:val="Footer Char"/>
    <w:basedOn w:val="DefaultParagraphFont"/>
    <w:link w:val="Footer"/>
    <w:uiPriority w:val="99"/>
    <w:rsid w:val="00A64CB1"/>
    <w:rPr>
      <w:rFonts w:ascii="Times New Roman" w:hAnsi="Times New Roman"/>
    </w:rPr>
  </w:style>
  <w:style w:type="character" w:styleId="Hyperlink">
    <w:name w:val="Hyperlink"/>
    <w:basedOn w:val="DefaultParagraphFont"/>
    <w:uiPriority w:val="99"/>
    <w:unhideWhenUsed/>
    <w:rsid w:val="000730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table" w:styleId="TableGrid">
    <w:name w:val="Table Grid"/>
    <w:basedOn w:val="TableNormal"/>
    <w:uiPriority w:val="59"/>
    <w:rsid w:val="00323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716945"/>
    <w:pPr>
      <w:ind w:left="720"/>
      <w:contextualSpacing/>
    </w:pPr>
  </w:style>
  <w:style w:type="character" w:styleId="CommentReference">
    <w:name w:val="annotation reference"/>
    <w:basedOn w:val="DefaultParagraphFont"/>
    <w:uiPriority w:val="99"/>
    <w:semiHidden/>
    <w:unhideWhenUsed/>
    <w:rsid w:val="003D16E4"/>
    <w:rPr>
      <w:sz w:val="16"/>
      <w:szCs w:val="16"/>
    </w:rPr>
  </w:style>
  <w:style w:type="paragraph" w:styleId="CommentText">
    <w:name w:val="annotation text"/>
    <w:basedOn w:val="Normal"/>
    <w:link w:val="CommentTextChar"/>
    <w:uiPriority w:val="99"/>
    <w:semiHidden/>
    <w:unhideWhenUsed/>
    <w:rsid w:val="003D16E4"/>
  </w:style>
  <w:style w:type="character" w:customStyle="1" w:styleId="CommentTextChar">
    <w:name w:val="Comment Text Char"/>
    <w:basedOn w:val="DefaultParagraphFont"/>
    <w:link w:val="CommentText"/>
    <w:uiPriority w:val="99"/>
    <w:semiHidden/>
    <w:rsid w:val="003D16E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D16E4"/>
    <w:rPr>
      <w:b/>
      <w:bCs/>
    </w:rPr>
  </w:style>
  <w:style w:type="character" w:customStyle="1" w:styleId="CommentSubjectChar">
    <w:name w:val="Comment Subject Char"/>
    <w:basedOn w:val="CommentTextChar"/>
    <w:link w:val="CommentSubject"/>
    <w:uiPriority w:val="99"/>
    <w:semiHidden/>
    <w:rsid w:val="003D16E4"/>
    <w:rPr>
      <w:rFonts w:ascii="Times New Roman" w:hAnsi="Times New Roman"/>
      <w:b/>
      <w:bCs/>
    </w:rPr>
  </w:style>
  <w:style w:type="paragraph" w:styleId="Header">
    <w:name w:val="header"/>
    <w:basedOn w:val="Normal"/>
    <w:link w:val="HeaderChar"/>
    <w:uiPriority w:val="99"/>
    <w:unhideWhenUsed/>
    <w:rsid w:val="00A64CB1"/>
    <w:pPr>
      <w:tabs>
        <w:tab w:val="center" w:pos="4680"/>
        <w:tab w:val="right" w:pos="9360"/>
      </w:tabs>
    </w:pPr>
  </w:style>
  <w:style w:type="character" w:customStyle="1" w:styleId="HeaderChar">
    <w:name w:val="Header Char"/>
    <w:basedOn w:val="DefaultParagraphFont"/>
    <w:link w:val="Header"/>
    <w:uiPriority w:val="99"/>
    <w:rsid w:val="00A64CB1"/>
    <w:rPr>
      <w:rFonts w:ascii="Times New Roman" w:hAnsi="Times New Roman"/>
    </w:rPr>
  </w:style>
  <w:style w:type="paragraph" w:styleId="Footer">
    <w:name w:val="footer"/>
    <w:basedOn w:val="Normal"/>
    <w:link w:val="FooterChar"/>
    <w:uiPriority w:val="99"/>
    <w:unhideWhenUsed/>
    <w:rsid w:val="00A64CB1"/>
    <w:pPr>
      <w:tabs>
        <w:tab w:val="center" w:pos="4680"/>
        <w:tab w:val="right" w:pos="9360"/>
      </w:tabs>
    </w:pPr>
  </w:style>
  <w:style w:type="character" w:customStyle="1" w:styleId="FooterChar">
    <w:name w:val="Footer Char"/>
    <w:basedOn w:val="DefaultParagraphFont"/>
    <w:link w:val="Footer"/>
    <w:uiPriority w:val="99"/>
    <w:rsid w:val="00A64CB1"/>
    <w:rPr>
      <w:rFonts w:ascii="Times New Roman" w:hAnsi="Times New Roman"/>
    </w:rPr>
  </w:style>
  <w:style w:type="character" w:styleId="Hyperlink">
    <w:name w:val="Hyperlink"/>
    <w:basedOn w:val="DefaultParagraphFont"/>
    <w:uiPriority w:val="99"/>
    <w:unhideWhenUsed/>
    <w:rsid w:val="000730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endy.mansfield@gfk.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DOI</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djbieniewicz</dc:creator>
  <cp:lastModifiedBy>Mason, Nicole K</cp:lastModifiedBy>
  <cp:revision>2</cp:revision>
  <cp:lastPrinted>2015-09-10T13:59:00Z</cp:lastPrinted>
  <dcterms:created xsi:type="dcterms:W3CDTF">2016-02-22T18:51:00Z</dcterms:created>
  <dcterms:modified xsi:type="dcterms:W3CDTF">2016-02-22T18:51:00Z</dcterms:modified>
</cp:coreProperties>
</file>