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DA7" w:rsidRDefault="00F107B7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Supporting Statement for </w:t>
      </w:r>
      <w:r w:rsidR="00B66DA7">
        <w:rPr>
          <w:rFonts w:ascii="Times New Roman" w:hAnsi="Times New Roman" w:cs="Times New Roman"/>
        </w:rPr>
        <w:t>Form SSA-199 and Accompanying Regulations</w:t>
      </w:r>
    </w:p>
    <w:p w:rsidR="00146275" w:rsidRDefault="00DB7DBD" w:rsidP="00F107B7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Vocational Rehabilitation Provider Claim</w:t>
      </w:r>
    </w:p>
    <w:p w:rsidR="00B66DA7" w:rsidRPr="00B66DA7" w:rsidRDefault="00B66DA7" w:rsidP="00B66DA7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20 CFR </w:t>
      </w:r>
      <w:r w:rsidRPr="00B66DA7">
        <w:rPr>
          <w:rFonts w:ascii="Times New Roman" w:hAnsi="Times New Roman"/>
          <w:b/>
        </w:rPr>
        <w:t>404.2101(a);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 xml:space="preserve">404.2108(b); 404.2117(c)(1)&amp;(2); </w:t>
      </w:r>
      <w:r w:rsidRPr="00B66DA7">
        <w:rPr>
          <w:rFonts w:ascii="Times New Roman" w:hAnsi="Times New Roman"/>
          <w:b/>
        </w:rPr>
        <w:t xml:space="preserve">404.2121(a); </w:t>
      </w:r>
      <w:r>
        <w:rPr>
          <w:rFonts w:ascii="Times New Roman" w:hAnsi="Times New Roman"/>
          <w:b/>
        </w:rPr>
        <w:t>416.2208(b</w:t>
      </w:r>
      <w:r w:rsidRPr="00B66DA7">
        <w:rPr>
          <w:rFonts w:ascii="Times New Roman" w:hAnsi="Times New Roman"/>
          <w:b/>
        </w:rPr>
        <w:t>); 416.2217(c)(1)</w:t>
      </w:r>
      <w:r>
        <w:rPr>
          <w:rFonts w:ascii="Times New Roman" w:hAnsi="Times New Roman"/>
          <w:b/>
        </w:rPr>
        <w:t xml:space="preserve">&amp;(2); </w:t>
      </w:r>
      <w:r w:rsidRPr="00B66DA7">
        <w:rPr>
          <w:rFonts w:ascii="Times New Roman" w:hAnsi="Times New Roman"/>
          <w:b/>
        </w:rPr>
        <w:t>416.2201(a); and 416.2221(a)</w:t>
      </w:r>
    </w:p>
    <w:p w:rsidR="00A45D82" w:rsidRDefault="008B6774" w:rsidP="00A45D82">
      <w:pPr>
        <w:pStyle w:val="Heading1"/>
        <w:tabs>
          <w:tab w:val="clear" w:pos="-1440"/>
          <w:tab w:val="clear" w:pos="-720"/>
          <w:tab w:val="clear" w:pos="450"/>
          <w:tab w:val="clear" w:pos="720"/>
          <w:tab w:val="clear" w:pos="90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</w:tabs>
        <w:jc w:val="center"/>
        <w:rPr>
          <w:rFonts w:ascii="Times New Roman" w:hAnsi="Times New Roman" w:cs="Times New Roman"/>
        </w:rPr>
      </w:pPr>
      <w:r w:rsidRPr="00BC7F42">
        <w:rPr>
          <w:rFonts w:ascii="Times New Roman" w:hAnsi="Times New Roman" w:cs="Times New Roman"/>
        </w:rPr>
        <w:t xml:space="preserve">OMB </w:t>
      </w:r>
      <w:r w:rsidR="002321B0">
        <w:rPr>
          <w:rFonts w:ascii="Times New Roman" w:hAnsi="Times New Roman" w:cs="Times New Roman"/>
        </w:rPr>
        <w:t>No.</w:t>
      </w:r>
      <w:r w:rsidRPr="00BC7F42">
        <w:rPr>
          <w:rFonts w:ascii="Times New Roman" w:hAnsi="Times New Roman" w:cs="Times New Roman"/>
        </w:rPr>
        <w:t xml:space="preserve"> 0960-</w:t>
      </w:r>
      <w:r w:rsidR="00DB7DBD">
        <w:rPr>
          <w:rFonts w:ascii="Times New Roman" w:hAnsi="Times New Roman" w:cs="Times New Roman"/>
        </w:rPr>
        <w:t>0310</w:t>
      </w:r>
    </w:p>
    <w:p w:rsidR="0055694C" w:rsidRDefault="0055694C" w:rsidP="0055694C"/>
    <w:p w:rsidR="00A45D82" w:rsidRPr="002321B0" w:rsidRDefault="00A45D82" w:rsidP="00A45D82">
      <w:pPr>
        <w:rPr>
          <w:rFonts w:ascii="Times New Roman" w:hAnsi="Times New Roman"/>
          <w:b/>
        </w:rPr>
      </w:pPr>
      <w:r w:rsidRPr="002321B0">
        <w:rPr>
          <w:rFonts w:ascii="Times New Roman" w:hAnsi="Times New Roman"/>
          <w:b/>
        </w:rPr>
        <w:t xml:space="preserve">A. </w:t>
      </w:r>
      <w:r w:rsidRPr="002321B0">
        <w:rPr>
          <w:rFonts w:ascii="Times New Roman" w:hAnsi="Times New Roman"/>
          <w:b/>
        </w:rPr>
        <w:tab/>
      </w:r>
      <w:r w:rsidRPr="002321B0">
        <w:rPr>
          <w:rFonts w:ascii="Times New Roman" w:hAnsi="Times New Roman"/>
          <w:b/>
          <w:u w:val="single"/>
        </w:rPr>
        <w:t>Justification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2321B0" w:rsidRDefault="002E18CF" w:rsidP="002321B0">
      <w:pPr>
        <w:numPr>
          <w:ilvl w:val="0"/>
          <w:numId w:val="34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Introduction/</w:t>
      </w:r>
      <w:r w:rsidR="00A45D82" w:rsidRPr="00BC7F42">
        <w:rPr>
          <w:rFonts w:ascii="Times New Roman" w:hAnsi="Times New Roman"/>
          <w:b/>
        </w:rPr>
        <w:t>Authoring Laws and Regulations</w:t>
      </w:r>
    </w:p>
    <w:p w:rsidR="00DB7DBD" w:rsidRDefault="00DB7DBD" w:rsidP="00DB7DBD">
      <w:pPr>
        <w:ind w:left="720"/>
        <w:rPr>
          <w:rFonts w:ascii="Times New Roman" w:hAnsi="Times New Roman"/>
        </w:rPr>
      </w:pPr>
      <w:r w:rsidRPr="00C5479D">
        <w:rPr>
          <w:rFonts w:ascii="Times New Roman" w:hAnsi="Times New Roman"/>
        </w:rPr>
        <w:t xml:space="preserve">Section </w:t>
      </w:r>
      <w:r w:rsidRPr="00C5479D">
        <w:rPr>
          <w:rFonts w:ascii="Times New Roman" w:hAnsi="Times New Roman"/>
          <w:i/>
        </w:rPr>
        <w:t>205(a)</w:t>
      </w:r>
      <w:r w:rsidRPr="00C5479D">
        <w:rPr>
          <w:rFonts w:ascii="Times New Roman" w:hAnsi="Times New Roman"/>
        </w:rPr>
        <w:t xml:space="preserve"> of the </w:t>
      </w:r>
      <w:r w:rsidRPr="008F3CD4">
        <w:rPr>
          <w:rFonts w:ascii="Times New Roman" w:hAnsi="Times New Roman"/>
          <w:i/>
        </w:rPr>
        <w:t>Social Security</w:t>
      </w:r>
      <w:r w:rsidRPr="00C5479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i/>
        </w:rPr>
        <w:t>Act (</w:t>
      </w:r>
      <w:r w:rsidRPr="00C5479D">
        <w:rPr>
          <w:rFonts w:ascii="Times New Roman" w:hAnsi="Times New Roman"/>
          <w:i/>
        </w:rPr>
        <w:t>Act)</w:t>
      </w:r>
      <w:r>
        <w:rPr>
          <w:rFonts w:ascii="Times New Roman" w:hAnsi="Times New Roman"/>
        </w:rPr>
        <w:t xml:space="preserve"> allows the C</w:t>
      </w:r>
      <w:r w:rsidRPr="00C5479D">
        <w:rPr>
          <w:rFonts w:ascii="Times New Roman" w:hAnsi="Times New Roman"/>
        </w:rPr>
        <w:t>ommi</w:t>
      </w:r>
      <w:r>
        <w:rPr>
          <w:rFonts w:ascii="Times New Roman" w:hAnsi="Times New Roman"/>
        </w:rPr>
        <w:t xml:space="preserve">ssioner of the Social Security Administration (SSA) </w:t>
      </w:r>
      <w:r w:rsidRPr="00C5479D">
        <w:rPr>
          <w:rFonts w:ascii="Times New Roman" w:hAnsi="Times New Roman"/>
        </w:rPr>
        <w:t xml:space="preserve">to make rules and regulations and to </w:t>
      </w:r>
      <w:r w:rsidR="00CE326C" w:rsidRPr="00C5479D">
        <w:rPr>
          <w:rFonts w:ascii="Times New Roman" w:hAnsi="Times New Roman"/>
        </w:rPr>
        <w:t>institute</w:t>
      </w:r>
      <w:r w:rsidRPr="00C5479D">
        <w:rPr>
          <w:rFonts w:ascii="Times New Roman" w:hAnsi="Times New Roman"/>
        </w:rPr>
        <w:t xml:space="preserve"> procedures to </w:t>
      </w:r>
      <w:r>
        <w:rPr>
          <w:rFonts w:ascii="Times New Roman" w:hAnsi="Times New Roman"/>
        </w:rPr>
        <w:t>collect information from the public, which establish the right to the following benefits:</w:t>
      </w:r>
      <w:r w:rsidRPr="00C5479D">
        <w:rPr>
          <w:rFonts w:ascii="Times New Roman" w:hAnsi="Times New Roman"/>
        </w:rPr>
        <w:t xml:space="preserve"> </w:t>
      </w:r>
    </w:p>
    <w:p w:rsidR="00DB7DBD" w:rsidRPr="00C5479D" w:rsidRDefault="00DB7DBD" w:rsidP="00DB7DBD">
      <w:pPr>
        <w:ind w:left="720"/>
        <w:rPr>
          <w:rFonts w:ascii="Times New Roman" w:hAnsi="Times New Roman"/>
        </w:rPr>
      </w:pPr>
    </w:p>
    <w:p w:rsidR="00CE326C" w:rsidRDefault="00DB7DBD" w:rsidP="00CE326C">
      <w:pPr>
        <w:widowControl/>
        <w:numPr>
          <w:ilvl w:val="0"/>
          <w:numId w:val="49"/>
        </w:numPr>
        <w:rPr>
          <w:rFonts w:ascii="Times New Roman" w:hAnsi="Times New Roman"/>
          <w:u w:val="single"/>
        </w:rPr>
      </w:pPr>
      <w:r w:rsidRPr="00786454">
        <w:rPr>
          <w:rFonts w:ascii="Times New Roman" w:hAnsi="Times New Roman"/>
          <w:u w:val="single"/>
        </w:rPr>
        <w:t>Claiming Reimbursement for Vocational Rehabilitation (VR) Services Provided</w:t>
      </w:r>
    </w:p>
    <w:p w:rsidR="00DB7DBD" w:rsidRDefault="00DB7DBD" w:rsidP="00CE326C">
      <w:pPr>
        <w:widowControl/>
        <w:ind w:left="1080"/>
        <w:rPr>
          <w:rFonts w:ascii="Times New Roman" w:hAnsi="Times New Roman"/>
        </w:rPr>
      </w:pPr>
      <w:r w:rsidRPr="00CE326C">
        <w:rPr>
          <w:rFonts w:ascii="Times New Roman" w:hAnsi="Times New Roman"/>
        </w:rPr>
        <w:t xml:space="preserve">Sections </w:t>
      </w:r>
      <w:r w:rsidRPr="00CE326C">
        <w:rPr>
          <w:rFonts w:ascii="Times New Roman" w:hAnsi="Times New Roman"/>
          <w:i/>
        </w:rPr>
        <w:t>222(d</w:t>
      </w:r>
      <w:proofErr w:type="gramStart"/>
      <w:r w:rsidRPr="00CE326C">
        <w:rPr>
          <w:rFonts w:ascii="Times New Roman" w:hAnsi="Times New Roman"/>
          <w:i/>
        </w:rPr>
        <w:t>)(</w:t>
      </w:r>
      <w:proofErr w:type="gramEnd"/>
      <w:r w:rsidRPr="00CE326C">
        <w:rPr>
          <w:rFonts w:ascii="Times New Roman" w:hAnsi="Times New Roman"/>
          <w:i/>
        </w:rPr>
        <w:t>1), (4)</w:t>
      </w:r>
      <w:r w:rsidRPr="00CE326C">
        <w:rPr>
          <w:rFonts w:ascii="Times New Roman" w:hAnsi="Times New Roman"/>
        </w:rPr>
        <w:t>&amp;</w:t>
      </w:r>
      <w:r w:rsidRPr="00CE326C">
        <w:rPr>
          <w:rFonts w:ascii="Times New Roman" w:hAnsi="Times New Roman"/>
          <w:i/>
        </w:rPr>
        <w:t>(5)</w:t>
      </w:r>
      <w:r w:rsidRPr="00CE326C">
        <w:rPr>
          <w:rFonts w:ascii="Times New Roman" w:hAnsi="Times New Roman"/>
        </w:rPr>
        <w:t xml:space="preserve"> and </w:t>
      </w:r>
      <w:r w:rsidRPr="00CE326C">
        <w:rPr>
          <w:rFonts w:ascii="Times New Roman" w:hAnsi="Times New Roman"/>
          <w:i/>
        </w:rPr>
        <w:t>1615(d)</w:t>
      </w:r>
      <w:r w:rsidRPr="00CE326C">
        <w:rPr>
          <w:rFonts w:ascii="Times New Roman" w:hAnsi="Times New Roman"/>
        </w:rPr>
        <w:t xml:space="preserve"> of the </w:t>
      </w:r>
      <w:r w:rsidRPr="00CE326C">
        <w:rPr>
          <w:rFonts w:ascii="Times New Roman" w:hAnsi="Times New Roman"/>
          <w:i/>
        </w:rPr>
        <w:t>Act</w:t>
      </w:r>
      <w:r w:rsidRPr="00CE326C">
        <w:rPr>
          <w:rFonts w:ascii="Times New Roman" w:hAnsi="Times New Roman"/>
        </w:rPr>
        <w:t xml:space="preserve"> authorize the Commissioner to determine the amount SSA reimburses</w:t>
      </w:r>
      <w:r w:rsidR="0000160B">
        <w:rPr>
          <w:rFonts w:ascii="Times New Roman" w:hAnsi="Times New Roman"/>
        </w:rPr>
        <w:t xml:space="preserve"> for VR services.  SSA’s</w:t>
      </w:r>
      <w:r w:rsidRPr="00CE326C">
        <w:rPr>
          <w:rFonts w:ascii="Times New Roman" w:hAnsi="Times New Roman"/>
        </w:rPr>
        <w:t xml:space="preserve"> regulations at </w:t>
      </w:r>
      <w:r w:rsidRPr="00CE326C">
        <w:rPr>
          <w:rFonts w:ascii="Times New Roman" w:hAnsi="Times New Roman"/>
          <w:i/>
        </w:rPr>
        <w:t>20 CFR 404.2108(b)</w:t>
      </w:r>
      <w:r w:rsidRPr="00CE326C">
        <w:rPr>
          <w:rFonts w:ascii="Times New Roman" w:hAnsi="Times New Roman"/>
        </w:rPr>
        <w:t xml:space="preserve"> and </w:t>
      </w:r>
      <w:r w:rsidRPr="00CE326C">
        <w:rPr>
          <w:rFonts w:ascii="Times New Roman" w:hAnsi="Times New Roman"/>
          <w:i/>
        </w:rPr>
        <w:t>416.2208(b)</w:t>
      </w:r>
      <w:r w:rsidRPr="00CE326C">
        <w:rPr>
          <w:rFonts w:ascii="Times New Roman" w:hAnsi="Times New Roman"/>
        </w:rPr>
        <w:t xml:space="preserve"> of the </w:t>
      </w:r>
      <w:r w:rsidRPr="00CE326C">
        <w:rPr>
          <w:rFonts w:ascii="Times New Roman" w:hAnsi="Times New Roman"/>
          <w:i/>
        </w:rPr>
        <w:t>Code of Federal Regulations (Code)</w:t>
      </w:r>
      <w:r w:rsidRPr="00CE326C">
        <w:rPr>
          <w:rFonts w:ascii="Times New Roman" w:hAnsi="Times New Roman"/>
        </w:rPr>
        <w:t xml:space="preserve"> require the state VR agencies to make claims for reimbursement of the cost incurred for providing VR services on Form </w:t>
      </w:r>
      <w:r w:rsidR="00CE326C">
        <w:rPr>
          <w:rFonts w:ascii="Times New Roman" w:hAnsi="Times New Roman"/>
        </w:rPr>
        <w:t>SSA</w:t>
      </w:r>
      <w:r w:rsidR="00CE326C">
        <w:rPr>
          <w:rFonts w:ascii="Times New Roman" w:hAnsi="Times New Roman"/>
        </w:rPr>
        <w:noBreakHyphen/>
      </w:r>
      <w:r w:rsidRPr="00CE326C">
        <w:rPr>
          <w:rFonts w:ascii="Times New Roman" w:hAnsi="Times New Roman"/>
        </w:rPr>
        <w:t>199, Vocational Rehabilitation Provider Claim form, provided by SSA.</w:t>
      </w:r>
    </w:p>
    <w:p w:rsidR="00CE326C" w:rsidRPr="00CE326C" w:rsidRDefault="00CE326C" w:rsidP="00CE326C">
      <w:pPr>
        <w:widowControl/>
        <w:ind w:left="1080"/>
        <w:rPr>
          <w:rFonts w:ascii="Times New Roman" w:hAnsi="Times New Roman"/>
          <w:u w:val="single"/>
        </w:rPr>
      </w:pPr>
    </w:p>
    <w:p w:rsidR="00DB7DBD" w:rsidRPr="00786454" w:rsidRDefault="00DB7DBD" w:rsidP="00CE326C">
      <w:pPr>
        <w:widowControl/>
        <w:numPr>
          <w:ilvl w:val="0"/>
          <w:numId w:val="49"/>
        </w:numPr>
        <w:rPr>
          <w:rFonts w:ascii="Times New Roman" w:hAnsi="Times New Roman"/>
          <w:u w:val="single"/>
        </w:rPr>
      </w:pPr>
      <w:r w:rsidRPr="00786454">
        <w:rPr>
          <w:rFonts w:ascii="Times New Roman" w:hAnsi="Times New Roman"/>
          <w:u w:val="single"/>
        </w:rPr>
        <w:t xml:space="preserve">Certifying  Adherence to Cost Containment Policies and Procedures </w:t>
      </w:r>
    </w:p>
    <w:p w:rsidR="00DB7DBD" w:rsidRDefault="00DB7DBD" w:rsidP="00CE326C">
      <w:pPr>
        <w:ind w:left="1080"/>
        <w:rPr>
          <w:rFonts w:ascii="Times New Roman" w:hAnsi="Times New Roman"/>
        </w:rPr>
      </w:pPr>
      <w:r w:rsidRPr="00786454">
        <w:rPr>
          <w:rFonts w:ascii="Times New Roman" w:hAnsi="Times New Roman"/>
        </w:rPr>
        <w:t xml:space="preserve">Section </w:t>
      </w:r>
      <w:r w:rsidRPr="0066464A">
        <w:rPr>
          <w:rFonts w:ascii="Times New Roman" w:hAnsi="Times New Roman"/>
          <w:i/>
        </w:rPr>
        <w:t>222(d</w:t>
      </w:r>
      <w:proofErr w:type="gramStart"/>
      <w:r w:rsidRPr="0066464A">
        <w:rPr>
          <w:rFonts w:ascii="Times New Roman" w:hAnsi="Times New Roman"/>
          <w:i/>
        </w:rPr>
        <w:t>)(</w:t>
      </w:r>
      <w:proofErr w:type="gramEnd"/>
      <w:r w:rsidRPr="0066464A">
        <w:rPr>
          <w:rFonts w:ascii="Times New Roman" w:hAnsi="Times New Roman"/>
          <w:i/>
        </w:rPr>
        <w:t>1)</w:t>
      </w:r>
      <w:r w:rsidRPr="00786454">
        <w:rPr>
          <w:rFonts w:ascii="Times New Roman" w:hAnsi="Times New Roman"/>
        </w:rPr>
        <w:t xml:space="preserve"> and </w:t>
      </w:r>
      <w:r w:rsidRPr="0066464A">
        <w:rPr>
          <w:rFonts w:ascii="Times New Roman" w:hAnsi="Times New Roman"/>
          <w:i/>
        </w:rPr>
        <w:t>1615(d</w:t>
      </w:r>
      <w:r w:rsidRPr="00786454">
        <w:rPr>
          <w:rFonts w:ascii="Times New Roman" w:hAnsi="Times New Roman"/>
        </w:rPr>
        <w:t xml:space="preserve">) of </w:t>
      </w:r>
      <w:r w:rsidRPr="00C5479D">
        <w:rPr>
          <w:rFonts w:ascii="Times New Roman" w:hAnsi="Times New Roman"/>
        </w:rPr>
        <w:t>the</w:t>
      </w:r>
      <w:r w:rsidRPr="0066464A">
        <w:rPr>
          <w:rFonts w:ascii="Times New Roman" w:hAnsi="Times New Roman"/>
          <w:i/>
        </w:rPr>
        <w:t xml:space="preserve"> Act</w:t>
      </w:r>
      <w:r w:rsidRPr="00786454">
        <w:rPr>
          <w:rFonts w:ascii="Times New Roman" w:hAnsi="Times New Roman"/>
        </w:rPr>
        <w:t xml:space="preserve"> authorize</w:t>
      </w:r>
      <w:r>
        <w:rPr>
          <w:rFonts w:ascii="Times New Roman" w:hAnsi="Times New Roman"/>
        </w:rPr>
        <w:t xml:space="preserve"> the Commissioner to reimburse s</w:t>
      </w:r>
      <w:r w:rsidRPr="00786454">
        <w:rPr>
          <w:rFonts w:ascii="Times New Roman" w:hAnsi="Times New Roman"/>
        </w:rPr>
        <w:t xml:space="preserve">tate VR Agencies for the reasonable and necessary costs of VR services to disabled beneficiaries.  </w:t>
      </w:r>
      <w:r>
        <w:rPr>
          <w:rFonts w:ascii="Times New Roman" w:hAnsi="Times New Roman"/>
          <w:i/>
        </w:rPr>
        <w:t>20 CFR 404.2117(c)</w:t>
      </w:r>
      <w:r w:rsidRPr="0066464A">
        <w:rPr>
          <w:rFonts w:ascii="Times New Roman" w:hAnsi="Times New Roman"/>
          <w:i/>
        </w:rPr>
        <w:t>(1</w:t>
      </w:r>
      <w:r w:rsidRPr="00786454">
        <w:rPr>
          <w:rFonts w:ascii="Times New Roman" w:hAnsi="Times New Roman"/>
        </w:rPr>
        <w:t xml:space="preserve">) and </w:t>
      </w:r>
      <w:r w:rsidRPr="0066464A">
        <w:rPr>
          <w:rFonts w:ascii="Times New Roman" w:hAnsi="Times New Roman"/>
          <w:i/>
        </w:rPr>
        <w:t>416.2217(c)(1)</w:t>
      </w:r>
      <w:r w:rsidRPr="00786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the </w:t>
      </w:r>
      <w:r w:rsidRPr="00C5479D">
        <w:rPr>
          <w:rFonts w:ascii="Times New Roman" w:hAnsi="Times New Roman"/>
          <w:i/>
        </w:rPr>
        <w:t>Code</w:t>
      </w:r>
      <w:r>
        <w:rPr>
          <w:rFonts w:ascii="Times New Roman" w:hAnsi="Times New Roman"/>
        </w:rPr>
        <w:t xml:space="preserve"> </w:t>
      </w:r>
      <w:r w:rsidRPr="00786454">
        <w:rPr>
          <w:rFonts w:ascii="Times New Roman" w:hAnsi="Times New Roman"/>
        </w:rPr>
        <w:t xml:space="preserve">require </w:t>
      </w:r>
      <w:r>
        <w:rPr>
          <w:rFonts w:ascii="Times New Roman" w:hAnsi="Times New Roman"/>
        </w:rPr>
        <w:t>SSA to pay r</w:t>
      </w:r>
      <w:r w:rsidRPr="00786454">
        <w:rPr>
          <w:rFonts w:ascii="Times New Roman" w:hAnsi="Times New Roman"/>
        </w:rPr>
        <w:t>easonable and necessary</w:t>
      </w:r>
      <w:r>
        <w:rPr>
          <w:rFonts w:ascii="Times New Roman" w:hAnsi="Times New Roman"/>
        </w:rPr>
        <w:t xml:space="preserve"> costs</w:t>
      </w:r>
      <w:r w:rsidRPr="00786454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complying</w:t>
      </w:r>
      <w:r w:rsidRPr="00786454">
        <w:rPr>
          <w:rFonts w:ascii="Times New Roman" w:hAnsi="Times New Roman"/>
        </w:rPr>
        <w:t xml:space="preserve"> with the written co</w:t>
      </w:r>
      <w:r>
        <w:rPr>
          <w:rFonts w:ascii="Times New Roman" w:hAnsi="Times New Roman"/>
        </w:rPr>
        <w:t>st containment policies of the state VR agencies</w:t>
      </w:r>
      <w:r w:rsidRPr="00786454">
        <w:rPr>
          <w:rFonts w:ascii="Times New Roman" w:hAnsi="Times New Roman"/>
        </w:rPr>
        <w:t xml:space="preserve"> established under </w:t>
      </w:r>
      <w:r w:rsidRPr="00C5479D">
        <w:rPr>
          <w:rFonts w:ascii="Times New Roman" w:hAnsi="Times New Roman"/>
          <w:i/>
        </w:rPr>
        <w:t>34 CFR 361</w:t>
      </w:r>
      <w:r>
        <w:rPr>
          <w:rFonts w:ascii="Times New Roman" w:hAnsi="Times New Roman"/>
          <w:i/>
        </w:rPr>
        <w:t xml:space="preserve"> </w:t>
      </w:r>
      <w:r w:rsidRPr="00C5479D">
        <w:rPr>
          <w:rFonts w:ascii="Times New Roman" w:hAnsi="Times New Roman"/>
        </w:rPr>
        <w:t>of the</w:t>
      </w:r>
      <w:r>
        <w:rPr>
          <w:rFonts w:ascii="Times New Roman" w:hAnsi="Times New Roman"/>
          <w:i/>
        </w:rPr>
        <w:t xml:space="preserve"> Code</w:t>
      </w:r>
      <w:r w:rsidRPr="00786454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 xml:space="preserve"> In addition</w:t>
      </w:r>
      <w:r w:rsidRPr="00786454">
        <w:rPr>
          <w:rFonts w:ascii="Times New Roman" w:hAnsi="Times New Roman"/>
        </w:rPr>
        <w:t xml:space="preserve">, </w:t>
      </w:r>
      <w:r w:rsidRPr="0066464A">
        <w:rPr>
          <w:rFonts w:ascii="Times New Roman" w:hAnsi="Times New Roman"/>
          <w:i/>
        </w:rPr>
        <w:t>20</w:t>
      </w:r>
      <w:r>
        <w:rPr>
          <w:rFonts w:ascii="Times New Roman" w:hAnsi="Times New Roman"/>
          <w:i/>
        </w:rPr>
        <w:t xml:space="preserve"> </w:t>
      </w:r>
      <w:r w:rsidRPr="0066464A">
        <w:rPr>
          <w:rFonts w:ascii="Times New Roman" w:hAnsi="Times New Roman"/>
          <w:i/>
        </w:rPr>
        <w:t>CFR</w:t>
      </w:r>
      <w:r>
        <w:rPr>
          <w:rFonts w:ascii="Times New Roman" w:hAnsi="Times New Roman"/>
          <w:i/>
        </w:rPr>
        <w:t xml:space="preserve"> </w:t>
      </w:r>
      <w:r w:rsidRPr="0066464A">
        <w:rPr>
          <w:rFonts w:ascii="Times New Roman" w:hAnsi="Times New Roman"/>
          <w:i/>
        </w:rPr>
        <w:t>404.2117(c)(2)</w:t>
      </w:r>
      <w:r w:rsidRPr="00786454">
        <w:rPr>
          <w:rFonts w:ascii="Times New Roman" w:hAnsi="Times New Roman"/>
        </w:rPr>
        <w:t xml:space="preserve"> and </w:t>
      </w:r>
      <w:r w:rsidRPr="00966A7E">
        <w:rPr>
          <w:rFonts w:ascii="Times New Roman" w:hAnsi="Times New Roman"/>
          <w:i/>
        </w:rPr>
        <w:t>4</w:t>
      </w:r>
      <w:r>
        <w:rPr>
          <w:rFonts w:ascii="Times New Roman" w:hAnsi="Times New Roman"/>
          <w:i/>
        </w:rPr>
        <w:t>1</w:t>
      </w:r>
      <w:r w:rsidRPr="00966A7E">
        <w:rPr>
          <w:rFonts w:ascii="Times New Roman" w:hAnsi="Times New Roman"/>
          <w:i/>
        </w:rPr>
        <w:t>6.2217(c)(2</w:t>
      </w:r>
      <w:r w:rsidRPr="00786454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of the </w:t>
      </w:r>
      <w:r w:rsidRPr="00C5479D">
        <w:rPr>
          <w:rFonts w:ascii="Times New Roman" w:hAnsi="Times New Roman"/>
          <w:i/>
        </w:rPr>
        <w:t>Code</w:t>
      </w:r>
      <w:r>
        <w:rPr>
          <w:rFonts w:ascii="Times New Roman" w:hAnsi="Times New Roman"/>
        </w:rPr>
        <w:t xml:space="preserve"> require state VR agencies</w:t>
      </w:r>
      <w:r w:rsidRPr="00786454">
        <w:rPr>
          <w:rFonts w:ascii="Times New Roman" w:hAnsi="Times New Roman"/>
        </w:rPr>
        <w:t xml:space="preserve"> </w:t>
      </w:r>
      <w:r w:rsidR="00C668CC">
        <w:rPr>
          <w:rFonts w:ascii="Times New Roman" w:hAnsi="Times New Roman"/>
        </w:rPr>
        <w:t>to submit</w:t>
      </w:r>
      <w:r>
        <w:rPr>
          <w:rFonts w:ascii="Times New Roman" w:hAnsi="Times New Roman"/>
        </w:rPr>
        <w:t xml:space="preserve"> </w:t>
      </w:r>
      <w:r w:rsidRPr="00786454">
        <w:rPr>
          <w:rFonts w:ascii="Times New Roman" w:hAnsi="Times New Roman"/>
        </w:rPr>
        <w:t xml:space="preserve">written certification (before the end of the first calendar quarter of each year) </w:t>
      </w:r>
      <w:r>
        <w:rPr>
          <w:rFonts w:ascii="Times New Roman" w:hAnsi="Times New Roman"/>
        </w:rPr>
        <w:t xml:space="preserve">to SSA, explaining their adherence to established </w:t>
      </w:r>
      <w:r w:rsidRPr="00786454">
        <w:rPr>
          <w:rFonts w:ascii="Times New Roman" w:hAnsi="Times New Roman"/>
        </w:rPr>
        <w:t xml:space="preserve">cost containment policies when providing goods and services for which </w:t>
      </w:r>
      <w:r>
        <w:rPr>
          <w:rFonts w:ascii="Times New Roman" w:hAnsi="Times New Roman"/>
        </w:rPr>
        <w:t xml:space="preserve">they claim </w:t>
      </w:r>
      <w:r w:rsidR="00681CC9">
        <w:rPr>
          <w:rFonts w:ascii="Times New Roman" w:hAnsi="Times New Roman"/>
        </w:rPr>
        <w:t xml:space="preserve">payment from SSA.  </w:t>
      </w:r>
      <w:r>
        <w:rPr>
          <w:rFonts w:ascii="Times New Roman" w:hAnsi="Times New Roman"/>
        </w:rPr>
        <w:t>When SSA deems it necessary, the s</w:t>
      </w:r>
      <w:r w:rsidRPr="00786454">
        <w:rPr>
          <w:rFonts w:ascii="Times New Roman" w:hAnsi="Times New Roman"/>
        </w:rPr>
        <w:t xml:space="preserve">tate VR </w:t>
      </w:r>
      <w:r w:rsidR="00681CC9">
        <w:rPr>
          <w:rFonts w:ascii="Times New Roman" w:hAnsi="Times New Roman"/>
        </w:rPr>
        <w:t xml:space="preserve">agencies </w:t>
      </w:r>
      <w:r>
        <w:rPr>
          <w:rFonts w:ascii="Times New Roman" w:hAnsi="Times New Roman"/>
        </w:rPr>
        <w:t>also submit copies</w:t>
      </w:r>
      <w:r w:rsidRPr="00786454">
        <w:rPr>
          <w:rFonts w:ascii="Times New Roman" w:hAnsi="Times New Roman"/>
        </w:rPr>
        <w:t xml:space="preserve"> of their specific written policies and procedures to carry out SSA pro</w:t>
      </w:r>
      <w:r>
        <w:rPr>
          <w:rFonts w:ascii="Times New Roman" w:hAnsi="Times New Roman"/>
        </w:rPr>
        <w:t xml:space="preserve">grams </w:t>
      </w:r>
      <w:r w:rsidRPr="00786454">
        <w:rPr>
          <w:rFonts w:ascii="Times New Roman" w:hAnsi="Times New Roman"/>
        </w:rPr>
        <w:t>(e.g., any guidelines and fee schedules for a given year</w:t>
      </w:r>
      <w:r>
        <w:rPr>
          <w:rFonts w:ascii="Times New Roman" w:hAnsi="Times New Roman"/>
        </w:rPr>
        <w:t>)</w:t>
      </w:r>
      <w:r w:rsidRPr="00786454">
        <w:rPr>
          <w:rFonts w:ascii="Times New Roman" w:hAnsi="Times New Roman"/>
        </w:rPr>
        <w:t>.</w:t>
      </w:r>
    </w:p>
    <w:p w:rsidR="00CE326C" w:rsidRPr="00786454" w:rsidRDefault="00CE326C" w:rsidP="00CE326C">
      <w:pPr>
        <w:ind w:left="1080"/>
        <w:rPr>
          <w:rFonts w:ascii="Times New Roman" w:hAnsi="Times New Roman"/>
        </w:rPr>
      </w:pPr>
    </w:p>
    <w:p w:rsidR="00DB7DBD" w:rsidRPr="00786454" w:rsidRDefault="00DB7DBD" w:rsidP="00CE326C">
      <w:pPr>
        <w:widowControl/>
        <w:numPr>
          <w:ilvl w:val="0"/>
          <w:numId w:val="49"/>
        </w:numPr>
        <w:rPr>
          <w:rFonts w:ascii="Times New Roman" w:hAnsi="Times New Roman"/>
          <w:u w:val="single"/>
        </w:rPr>
      </w:pPr>
      <w:r w:rsidRPr="00786454">
        <w:rPr>
          <w:rFonts w:ascii="Times New Roman" w:hAnsi="Times New Roman"/>
          <w:u w:val="single"/>
        </w:rPr>
        <w:t>Preparing Causality Statements</w:t>
      </w:r>
    </w:p>
    <w:p w:rsidR="00DB7DBD" w:rsidRPr="00786454" w:rsidRDefault="00DB7DBD" w:rsidP="008E5474">
      <w:pPr>
        <w:ind w:left="1080"/>
        <w:rPr>
          <w:rFonts w:ascii="Times New Roman" w:hAnsi="Times New Roman"/>
        </w:rPr>
      </w:pPr>
      <w:r w:rsidRPr="00786454">
        <w:rPr>
          <w:rFonts w:ascii="Times New Roman" w:hAnsi="Times New Roman"/>
        </w:rPr>
        <w:t xml:space="preserve">Sections </w:t>
      </w:r>
      <w:r w:rsidRPr="00966A7E">
        <w:rPr>
          <w:rFonts w:ascii="Times New Roman" w:hAnsi="Times New Roman"/>
          <w:i/>
        </w:rPr>
        <w:t>222(d</w:t>
      </w:r>
      <w:proofErr w:type="gramStart"/>
      <w:r w:rsidRPr="00966A7E">
        <w:rPr>
          <w:rFonts w:ascii="Times New Roman" w:hAnsi="Times New Roman"/>
          <w:i/>
        </w:rPr>
        <w:t>)(</w:t>
      </w:r>
      <w:proofErr w:type="gramEnd"/>
      <w:r w:rsidRPr="00966A7E">
        <w:rPr>
          <w:rFonts w:ascii="Times New Roman" w:hAnsi="Times New Roman"/>
          <w:i/>
        </w:rPr>
        <w:t>1)</w:t>
      </w:r>
      <w:r w:rsidRPr="00786454">
        <w:rPr>
          <w:rFonts w:ascii="Times New Roman" w:hAnsi="Times New Roman"/>
        </w:rPr>
        <w:t xml:space="preserve"> </w:t>
      </w:r>
      <w:r w:rsidRPr="00F65937">
        <w:rPr>
          <w:rFonts w:ascii="Times New Roman" w:hAnsi="Times New Roman"/>
        </w:rPr>
        <w:t>and</w:t>
      </w:r>
      <w:r w:rsidRPr="00966A7E">
        <w:rPr>
          <w:rFonts w:ascii="Times New Roman" w:hAnsi="Times New Roman"/>
          <w:i/>
        </w:rPr>
        <w:t xml:space="preserve"> </w:t>
      </w:r>
      <w:r w:rsidRPr="00681CC9">
        <w:rPr>
          <w:rFonts w:ascii="Times New Roman" w:hAnsi="Times New Roman"/>
          <w:i/>
        </w:rPr>
        <w:t>1615(d)</w:t>
      </w:r>
      <w:r w:rsidRPr="00786454">
        <w:rPr>
          <w:rFonts w:ascii="Times New Roman" w:hAnsi="Times New Roman"/>
        </w:rPr>
        <w:t xml:space="preserve"> of </w:t>
      </w:r>
      <w:r w:rsidRPr="00F65937">
        <w:rPr>
          <w:rFonts w:ascii="Times New Roman" w:hAnsi="Times New Roman"/>
        </w:rPr>
        <w:t xml:space="preserve">the </w:t>
      </w:r>
      <w:r w:rsidRPr="00966A7E">
        <w:rPr>
          <w:rFonts w:ascii="Times New Roman" w:hAnsi="Times New Roman"/>
          <w:i/>
        </w:rPr>
        <w:t>Act</w:t>
      </w:r>
      <w:r>
        <w:rPr>
          <w:rFonts w:ascii="Times New Roman" w:hAnsi="Times New Roman"/>
        </w:rPr>
        <w:t xml:space="preserve"> authorize the Commissioner to reimburse s</w:t>
      </w:r>
      <w:r w:rsidRPr="00786454">
        <w:rPr>
          <w:rFonts w:ascii="Times New Roman" w:hAnsi="Times New Roman"/>
        </w:rPr>
        <w:t xml:space="preserve">tate VR agencies for the reasonable and necessary costs of VR services to disabled beneficiaries.  </w:t>
      </w:r>
      <w:r w:rsidRPr="00966A7E">
        <w:rPr>
          <w:rFonts w:ascii="Times New Roman" w:hAnsi="Times New Roman"/>
          <w:i/>
        </w:rPr>
        <w:t>20 CFR 404.2121(a)</w:t>
      </w:r>
      <w:r w:rsidRPr="00786454">
        <w:rPr>
          <w:rFonts w:ascii="Times New Roman" w:hAnsi="Times New Roman"/>
        </w:rPr>
        <w:t xml:space="preserve"> </w:t>
      </w:r>
      <w:r w:rsidRPr="00F65937">
        <w:rPr>
          <w:rFonts w:ascii="Times New Roman" w:hAnsi="Times New Roman"/>
        </w:rPr>
        <w:t xml:space="preserve">and </w:t>
      </w:r>
      <w:r>
        <w:rPr>
          <w:rFonts w:ascii="Times New Roman" w:hAnsi="Times New Roman"/>
          <w:i/>
        </w:rPr>
        <w:t>416.220</w:t>
      </w:r>
      <w:r w:rsidRPr="00966A7E">
        <w:rPr>
          <w:rFonts w:ascii="Times New Roman" w:hAnsi="Times New Roman"/>
          <w:i/>
        </w:rPr>
        <w:t>1(a)</w:t>
      </w:r>
      <w:r w:rsidRPr="00786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the </w:t>
      </w:r>
      <w:r w:rsidRPr="00F65937">
        <w:rPr>
          <w:rFonts w:ascii="Times New Roman" w:hAnsi="Times New Roman"/>
          <w:i/>
        </w:rPr>
        <w:t>Code</w:t>
      </w:r>
      <w:r>
        <w:rPr>
          <w:rFonts w:ascii="Times New Roman" w:hAnsi="Times New Roman"/>
        </w:rPr>
        <w:t xml:space="preserve"> require state VR agencies</w:t>
      </w:r>
      <w:r w:rsidRPr="00786454">
        <w:rPr>
          <w:rFonts w:ascii="Times New Roman" w:hAnsi="Times New Roman"/>
        </w:rPr>
        <w:t xml:space="preserve"> to submit a clear explanation or existing documentation of </w:t>
      </w:r>
      <w:r>
        <w:rPr>
          <w:rFonts w:ascii="Times New Roman" w:hAnsi="Times New Roman"/>
        </w:rPr>
        <w:t xml:space="preserve">the </w:t>
      </w:r>
      <w:r w:rsidRPr="00786454">
        <w:rPr>
          <w:rFonts w:ascii="Times New Roman" w:hAnsi="Times New Roman"/>
        </w:rPr>
        <w:t xml:space="preserve">causal relationship between each service </w:t>
      </w:r>
      <w:r w:rsidR="008E5474">
        <w:rPr>
          <w:rFonts w:ascii="Times New Roman" w:hAnsi="Times New Roman"/>
        </w:rPr>
        <w:t xml:space="preserve">they provide </w:t>
      </w:r>
      <w:r w:rsidRPr="00786454">
        <w:rPr>
          <w:rFonts w:ascii="Times New Roman" w:hAnsi="Times New Roman"/>
        </w:rPr>
        <w:t xml:space="preserve">and its impact upon the attainment of a continuous 9-month period of substantial gainful activity.  </w:t>
      </w:r>
      <w:r>
        <w:rPr>
          <w:rFonts w:ascii="Times New Roman" w:hAnsi="Times New Roman"/>
        </w:rPr>
        <w:t>In addition c</w:t>
      </w:r>
      <w:r w:rsidRPr="00786454">
        <w:rPr>
          <w:rFonts w:ascii="Times New Roman" w:hAnsi="Times New Roman"/>
        </w:rPr>
        <w:t xml:space="preserve">laims described in </w:t>
      </w:r>
      <w:r w:rsidRPr="00966A7E">
        <w:rPr>
          <w:rFonts w:ascii="Times New Roman" w:hAnsi="Times New Roman"/>
          <w:i/>
        </w:rPr>
        <w:t>404.2101(a</w:t>
      </w:r>
      <w:r w:rsidRPr="00786454">
        <w:rPr>
          <w:rFonts w:ascii="Times New Roman" w:hAnsi="Times New Roman"/>
        </w:rPr>
        <w:t xml:space="preserve">) and </w:t>
      </w:r>
      <w:r w:rsidRPr="00966A7E">
        <w:rPr>
          <w:rFonts w:ascii="Times New Roman" w:hAnsi="Times New Roman"/>
          <w:i/>
        </w:rPr>
        <w:lastRenderedPageBreak/>
        <w:t>416.2221(a)</w:t>
      </w:r>
      <w:r w:rsidRPr="00786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of the </w:t>
      </w:r>
      <w:r w:rsidRPr="00F65937">
        <w:rPr>
          <w:rFonts w:ascii="Times New Roman" w:hAnsi="Times New Roman"/>
          <w:i/>
        </w:rPr>
        <w:t>Code</w:t>
      </w:r>
      <w:r>
        <w:rPr>
          <w:rFonts w:ascii="Times New Roman" w:hAnsi="Times New Roman"/>
        </w:rPr>
        <w:t xml:space="preserve"> require s</w:t>
      </w:r>
      <w:r w:rsidRPr="00786454">
        <w:rPr>
          <w:rFonts w:ascii="Times New Roman" w:hAnsi="Times New Roman"/>
        </w:rPr>
        <w:t>tate VR agencies to submit a clear explanation or existing documentation of how the</w:t>
      </w:r>
      <w:r w:rsidR="008E5474">
        <w:rPr>
          <w:rFonts w:ascii="Times New Roman" w:hAnsi="Times New Roman"/>
        </w:rPr>
        <w:t>y expect the</w:t>
      </w:r>
      <w:r w:rsidRPr="00786454">
        <w:rPr>
          <w:rFonts w:ascii="Times New Roman" w:hAnsi="Times New Roman"/>
        </w:rPr>
        <w:t xml:space="preserve"> services </w:t>
      </w:r>
      <w:r w:rsidR="008E5474">
        <w:rPr>
          <w:rFonts w:ascii="Times New Roman" w:hAnsi="Times New Roman"/>
        </w:rPr>
        <w:t>they provide</w:t>
      </w:r>
      <w:r w:rsidRPr="00786454">
        <w:rPr>
          <w:rFonts w:ascii="Times New Roman" w:hAnsi="Times New Roman"/>
        </w:rPr>
        <w:t xml:space="preserve"> to motivate or assist the individual to attain substantial gainful activity.  </w:t>
      </w:r>
    </w:p>
    <w:p w:rsidR="00F57AD9" w:rsidRPr="00F57AD9" w:rsidRDefault="00F57AD9" w:rsidP="00F57AD9">
      <w:pPr>
        <w:rPr>
          <w:rFonts w:ascii="Times New Roman" w:hAnsi="Times New Roman"/>
        </w:rPr>
      </w:pPr>
    </w:p>
    <w:p w:rsidR="002E18CF" w:rsidRPr="002E18CF" w:rsidRDefault="00F56A74" w:rsidP="00F57AD9">
      <w:pPr>
        <w:numPr>
          <w:ilvl w:val="0"/>
          <w:numId w:val="20"/>
        </w:numPr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Description of Collection </w:t>
      </w:r>
    </w:p>
    <w:p w:rsidR="00DB7DBD" w:rsidRDefault="008E5474" w:rsidP="00DB7DBD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SSA requires r</w:t>
      </w:r>
      <w:r w:rsidR="00DB7DBD" w:rsidRPr="00786454">
        <w:rPr>
          <w:rFonts w:ascii="Times New Roman" w:hAnsi="Times New Roman"/>
        </w:rPr>
        <w:t xml:space="preserve">espondents </w:t>
      </w:r>
      <w:r w:rsidR="00DB7DBD">
        <w:rPr>
          <w:rFonts w:ascii="Times New Roman" w:hAnsi="Times New Roman"/>
        </w:rPr>
        <w:t xml:space="preserve">to complete Form </w:t>
      </w:r>
      <w:r w:rsidR="00DB7DBD" w:rsidRPr="00786454">
        <w:rPr>
          <w:rFonts w:ascii="Times New Roman" w:hAnsi="Times New Roman"/>
        </w:rPr>
        <w:t>SSA-199 to obt</w:t>
      </w:r>
      <w:r w:rsidR="00DB7DBD">
        <w:rPr>
          <w:rFonts w:ascii="Times New Roman" w:hAnsi="Times New Roman"/>
        </w:rPr>
        <w:t xml:space="preserve">ain reimbursement of costs </w:t>
      </w:r>
      <w:r w:rsidR="00DB7DBD" w:rsidRPr="00786454">
        <w:rPr>
          <w:rFonts w:ascii="Times New Roman" w:hAnsi="Times New Roman"/>
        </w:rPr>
        <w:t>incurred for providing VR services.  The respondents mail the</w:t>
      </w:r>
      <w:r w:rsidR="00DB7DBD">
        <w:rPr>
          <w:rFonts w:ascii="Times New Roman" w:hAnsi="Times New Roman"/>
        </w:rPr>
        <w:t xml:space="preserve"> paper copy of the </w:t>
      </w:r>
      <w:r w:rsidR="00DB7DBD" w:rsidRPr="00786454">
        <w:rPr>
          <w:rFonts w:ascii="Times New Roman" w:hAnsi="Times New Roman"/>
        </w:rPr>
        <w:t>SSA-199 to SSA VR staff for consideration and approval of the claim for reimbursement of cost incurred for SSA beneficiaries.</w:t>
      </w:r>
      <w:r w:rsidR="00DB7DBD">
        <w:rPr>
          <w:rFonts w:ascii="Times New Roman" w:hAnsi="Times New Roman"/>
        </w:rPr>
        <w:t xml:space="preserve">  SSA requires VR agencies to submit claims for reimbursement for the following categories:</w:t>
      </w:r>
    </w:p>
    <w:p w:rsidR="00DB7DBD" w:rsidRPr="00786454" w:rsidRDefault="00DB7DBD" w:rsidP="00DB7DBD">
      <w:pPr>
        <w:ind w:left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 xml:space="preserve"> </w:t>
      </w:r>
    </w:p>
    <w:p w:rsidR="00DB7DBD" w:rsidRPr="00786454" w:rsidRDefault="00DB7DBD" w:rsidP="008E5474">
      <w:pPr>
        <w:widowControl/>
        <w:numPr>
          <w:ilvl w:val="1"/>
          <w:numId w:val="50"/>
        </w:numPr>
        <w:ind w:left="1166" w:hanging="446"/>
        <w:rPr>
          <w:rFonts w:ascii="Times New Roman" w:hAnsi="Times New Roman"/>
          <w:u w:val="single"/>
        </w:rPr>
      </w:pPr>
      <w:r w:rsidRPr="00786454">
        <w:rPr>
          <w:rFonts w:ascii="Times New Roman" w:hAnsi="Times New Roman"/>
          <w:u w:val="single"/>
        </w:rPr>
        <w:t>Claiming Reimbursement for VR Services Provided:</w:t>
      </w:r>
    </w:p>
    <w:p w:rsidR="00DB7DBD" w:rsidRDefault="00DB7DBD" w:rsidP="00DB7DBD">
      <w:pPr>
        <w:ind w:left="1166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require VR agencies to submit </w:t>
      </w:r>
      <w:r w:rsidRPr="00786454">
        <w:rPr>
          <w:rFonts w:ascii="Times New Roman" w:hAnsi="Times New Roman"/>
        </w:rPr>
        <w:t>each clai</w:t>
      </w:r>
      <w:r>
        <w:rPr>
          <w:rFonts w:ascii="Times New Roman" w:hAnsi="Times New Roman"/>
        </w:rPr>
        <w:t xml:space="preserve">m </w:t>
      </w:r>
      <w:r w:rsidRPr="00786454">
        <w:rPr>
          <w:rFonts w:ascii="Times New Roman" w:hAnsi="Times New Roman"/>
        </w:rPr>
        <w:t>for reimbursement</w:t>
      </w:r>
      <w:r>
        <w:rPr>
          <w:rFonts w:ascii="Times New Roman" w:hAnsi="Times New Roman"/>
        </w:rPr>
        <w:t xml:space="preserve"> </w:t>
      </w:r>
      <w:r w:rsidRPr="00786454">
        <w:rPr>
          <w:rFonts w:ascii="Times New Roman" w:hAnsi="Times New Roman"/>
        </w:rPr>
        <w:t>in a format</w:t>
      </w:r>
      <w:r>
        <w:rPr>
          <w:rFonts w:ascii="Times New Roman" w:hAnsi="Times New Roman"/>
        </w:rPr>
        <w:t xml:space="preserve"> SSA </w:t>
      </w:r>
      <w:r w:rsidR="008E5474">
        <w:rPr>
          <w:rFonts w:ascii="Times New Roman" w:hAnsi="Times New Roman"/>
        </w:rPr>
        <w:t>prescribes</w:t>
      </w:r>
      <w:r w:rsidRPr="00786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containing</w:t>
      </w:r>
      <w:r w:rsidR="008E5474">
        <w:rPr>
          <w:rFonts w:ascii="Times New Roman" w:hAnsi="Times New Roman"/>
        </w:rPr>
        <w:t xml:space="preserve">: </w:t>
      </w:r>
      <w:r w:rsidRPr="00786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(1) </w:t>
      </w:r>
      <w:r w:rsidRPr="00786454">
        <w:rPr>
          <w:rFonts w:ascii="Times New Roman" w:hAnsi="Times New Roman"/>
        </w:rPr>
        <w:t>a descri</w:t>
      </w:r>
      <w:r>
        <w:rPr>
          <w:rFonts w:ascii="Times New Roman" w:hAnsi="Times New Roman"/>
        </w:rPr>
        <w:t>ptio</w:t>
      </w:r>
      <w:r w:rsidR="008E5474">
        <w:rPr>
          <w:rFonts w:ascii="Times New Roman" w:hAnsi="Times New Roman"/>
        </w:rPr>
        <w:t xml:space="preserve">n of each service provided; (2) the date </w:t>
      </w:r>
      <w:r w:rsidRPr="00786454">
        <w:rPr>
          <w:rFonts w:ascii="Times New Roman" w:hAnsi="Times New Roman"/>
        </w:rPr>
        <w:t xml:space="preserve">when the State VR agency provided the service, and </w:t>
      </w:r>
      <w:r>
        <w:rPr>
          <w:rFonts w:ascii="Times New Roman" w:hAnsi="Times New Roman"/>
        </w:rPr>
        <w:t xml:space="preserve">(3) </w:t>
      </w:r>
      <w:r w:rsidRPr="00786454">
        <w:rPr>
          <w:rFonts w:ascii="Times New Roman" w:hAnsi="Times New Roman"/>
        </w:rPr>
        <w:t>the cost of the service</w:t>
      </w:r>
      <w:r>
        <w:rPr>
          <w:rFonts w:ascii="Times New Roman" w:hAnsi="Times New Roman"/>
        </w:rPr>
        <w:t xml:space="preserve"> </w:t>
      </w:r>
      <w:r w:rsidR="008E5474">
        <w:rPr>
          <w:rFonts w:ascii="Times New Roman" w:hAnsi="Times New Roman"/>
        </w:rPr>
        <w:t xml:space="preserve">they </w:t>
      </w:r>
      <w:r>
        <w:rPr>
          <w:rFonts w:ascii="Times New Roman" w:hAnsi="Times New Roman"/>
        </w:rPr>
        <w:t>provided</w:t>
      </w:r>
      <w:r w:rsidRPr="00786454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 w:rsidRPr="0078645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SSA</w:t>
      </w:r>
      <w:r w:rsidRPr="00786454">
        <w:rPr>
          <w:rFonts w:ascii="Times New Roman" w:hAnsi="Times New Roman"/>
        </w:rPr>
        <w:t xml:space="preserve"> need</w:t>
      </w:r>
      <w:r>
        <w:rPr>
          <w:rFonts w:ascii="Times New Roman" w:hAnsi="Times New Roman"/>
        </w:rPr>
        <w:t>s</w:t>
      </w:r>
      <w:r w:rsidRPr="00786454">
        <w:rPr>
          <w:rFonts w:ascii="Times New Roman" w:hAnsi="Times New Roman"/>
        </w:rPr>
        <w:t xml:space="preserve"> this information to determine whether or not</w:t>
      </w:r>
      <w:r>
        <w:rPr>
          <w:rFonts w:ascii="Times New Roman" w:hAnsi="Times New Roman"/>
        </w:rPr>
        <w:t>,</w:t>
      </w:r>
      <w:r w:rsidRPr="00786454">
        <w:rPr>
          <w:rFonts w:ascii="Times New Roman" w:hAnsi="Times New Roman"/>
        </w:rPr>
        <w:t xml:space="preserve"> and how much</w:t>
      </w:r>
      <w:r>
        <w:rPr>
          <w:rFonts w:ascii="Times New Roman" w:hAnsi="Times New Roman"/>
        </w:rPr>
        <w:t>,</w:t>
      </w:r>
      <w:r w:rsidRPr="00786454">
        <w:rPr>
          <w:rFonts w:ascii="Times New Roman" w:hAnsi="Times New Roman"/>
        </w:rPr>
        <w:t xml:space="preserve"> to pay under our vocational rehabilitation programs.</w:t>
      </w:r>
    </w:p>
    <w:p w:rsidR="008E5474" w:rsidRPr="00786454" w:rsidRDefault="008E5474" w:rsidP="00DB7DBD">
      <w:pPr>
        <w:ind w:left="1166"/>
        <w:rPr>
          <w:rFonts w:ascii="Times New Roman" w:hAnsi="Times New Roman"/>
        </w:rPr>
      </w:pPr>
    </w:p>
    <w:p w:rsidR="00DB7DBD" w:rsidRPr="00786454" w:rsidRDefault="00DB7DBD" w:rsidP="008E5474">
      <w:pPr>
        <w:widowControl/>
        <w:numPr>
          <w:ilvl w:val="1"/>
          <w:numId w:val="50"/>
        </w:numPr>
        <w:tabs>
          <w:tab w:val="left" w:pos="1170"/>
        </w:tabs>
        <w:ind w:left="720" w:firstLine="0"/>
        <w:rPr>
          <w:rFonts w:ascii="Times New Roman" w:hAnsi="Times New Roman"/>
        </w:rPr>
      </w:pPr>
      <w:r w:rsidRPr="00786454">
        <w:rPr>
          <w:rFonts w:ascii="Times New Roman" w:hAnsi="Times New Roman"/>
          <w:u w:val="single"/>
        </w:rPr>
        <w:t>Certifying Adherence to Cost Containment Policies and Procedures</w:t>
      </w:r>
      <w:r w:rsidRPr="00786454">
        <w:rPr>
          <w:rFonts w:ascii="Times New Roman" w:hAnsi="Times New Roman"/>
        </w:rPr>
        <w:t>:</w:t>
      </w:r>
    </w:p>
    <w:p w:rsidR="00DB7DBD" w:rsidRDefault="00DB7DBD" w:rsidP="008E5474">
      <w:pPr>
        <w:ind w:left="1166"/>
        <w:rPr>
          <w:rFonts w:ascii="Times New Roman" w:hAnsi="Times New Roman"/>
        </w:rPr>
      </w:pPr>
      <w:r>
        <w:rPr>
          <w:rFonts w:ascii="Times New Roman" w:hAnsi="Times New Roman"/>
        </w:rPr>
        <w:t>SSA needs the information each s</w:t>
      </w:r>
      <w:r w:rsidRPr="00786454">
        <w:rPr>
          <w:rFonts w:ascii="Times New Roman" w:hAnsi="Times New Roman"/>
        </w:rPr>
        <w:t>tate VR agency provides about their cost c</w:t>
      </w:r>
      <w:r>
        <w:rPr>
          <w:rFonts w:ascii="Times New Roman" w:hAnsi="Times New Roman"/>
        </w:rPr>
        <w:t>ontainment policies</w:t>
      </w:r>
      <w:r w:rsidRPr="00786454">
        <w:rPr>
          <w:rFonts w:ascii="Times New Roman" w:hAnsi="Times New Roman"/>
        </w:rPr>
        <w:t xml:space="preserve"> to permit us to </w:t>
      </w:r>
      <w:r>
        <w:rPr>
          <w:rFonts w:ascii="Times New Roman" w:hAnsi="Times New Roman"/>
        </w:rPr>
        <w:t xml:space="preserve">make sure </w:t>
      </w:r>
      <w:r w:rsidRPr="00786454">
        <w:rPr>
          <w:rFonts w:ascii="Times New Roman" w:hAnsi="Times New Roman"/>
        </w:rPr>
        <w:t>the cost</w:t>
      </w:r>
      <w:r>
        <w:rPr>
          <w:rFonts w:ascii="Times New Roman" w:hAnsi="Times New Roman"/>
        </w:rPr>
        <w:t xml:space="preserve">s we reimburse are in accordance with the </w:t>
      </w:r>
      <w:r w:rsidRPr="00786454">
        <w:rPr>
          <w:rFonts w:ascii="Times New Roman" w:hAnsi="Times New Roman"/>
        </w:rPr>
        <w:t>cost containment policies</w:t>
      </w:r>
      <w:r>
        <w:rPr>
          <w:rFonts w:ascii="Times New Roman" w:hAnsi="Times New Roman"/>
        </w:rPr>
        <w:t xml:space="preserve"> described in #1 above</w:t>
      </w:r>
      <w:r w:rsidRPr="00786454">
        <w:rPr>
          <w:rFonts w:ascii="Times New Roman" w:hAnsi="Times New Roman"/>
        </w:rPr>
        <w:t>.</w:t>
      </w:r>
    </w:p>
    <w:p w:rsidR="008E5474" w:rsidRPr="00786454" w:rsidRDefault="008E5474" w:rsidP="008E5474">
      <w:pPr>
        <w:ind w:left="1166"/>
        <w:rPr>
          <w:rFonts w:ascii="Times New Roman" w:hAnsi="Times New Roman"/>
        </w:rPr>
      </w:pPr>
    </w:p>
    <w:p w:rsidR="00DB7DBD" w:rsidRPr="00786454" w:rsidRDefault="00DB7DBD" w:rsidP="008E5474">
      <w:pPr>
        <w:widowControl/>
        <w:numPr>
          <w:ilvl w:val="1"/>
          <w:numId w:val="50"/>
        </w:numPr>
        <w:tabs>
          <w:tab w:val="left" w:pos="1170"/>
        </w:tabs>
        <w:ind w:left="720" w:firstLine="0"/>
        <w:rPr>
          <w:rFonts w:ascii="Times New Roman" w:hAnsi="Times New Roman"/>
          <w:u w:val="single"/>
        </w:rPr>
      </w:pPr>
      <w:r w:rsidRPr="00786454">
        <w:rPr>
          <w:rFonts w:ascii="Times New Roman" w:hAnsi="Times New Roman"/>
          <w:u w:val="single"/>
        </w:rPr>
        <w:t>Preparing Causality Statements:</w:t>
      </w:r>
    </w:p>
    <w:p w:rsidR="00DB7DBD" w:rsidRDefault="00DB7DBD" w:rsidP="008E5474">
      <w:pPr>
        <w:ind w:left="1166"/>
        <w:rPr>
          <w:rFonts w:ascii="Times New Roman" w:hAnsi="Times New Roman"/>
        </w:rPr>
      </w:pPr>
      <w:r w:rsidRPr="00786454">
        <w:rPr>
          <w:rFonts w:ascii="Times New Roman" w:hAnsi="Times New Roman"/>
        </w:rPr>
        <w:t>The</w:t>
      </w:r>
      <w:r>
        <w:rPr>
          <w:rFonts w:ascii="Times New Roman" w:hAnsi="Times New Roman"/>
        </w:rPr>
        <w:t xml:space="preserve"> information </w:t>
      </w:r>
      <w:r w:rsidR="008E5474">
        <w:rPr>
          <w:rFonts w:ascii="Times New Roman" w:hAnsi="Times New Roman"/>
        </w:rPr>
        <w:t>the state VR agencies present</w:t>
      </w:r>
      <w:r w:rsidRPr="00786454">
        <w:rPr>
          <w:rFonts w:ascii="Times New Roman" w:hAnsi="Times New Roman"/>
        </w:rPr>
        <w:t xml:space="preserve"> for validation review enables SSA to assess the appropriatenes</w:t>
      </w:r>
      <w:r>
        <w:rPr>
          <w:rFonts w:ascii="Times New Roman" w:hAnsi="Times New Roman"/>
        </w:rPr>
        <w:t xml:space="preserve">s of its reimbursement policies.  The information also helps SSA determine when and </w:t>
      </w:r>
      <w:r w:rsidRPr="00786454">
        <w:rPr>
          <w:rFonts w:ascii="Times New Roman" w:hAnsi="Times New Roman"/>
        </w:rPr>
        <w:t xml:space="preserve">where we should </w:t>
      </w:r>
      <w:r>
        <w:rPr>
          <w:rFonts w:ascii="Times New Roman" w:hAnsi="Times New Roman"/>
        </w:rPr>
        <w:t>consider changes to ensure we secure</w:t>
      </w:r>
      <w:r w:rsidRPr="00786454">
        <w:rPr>
          <w:rFonts w:ascii="Times New Roman" w:hAnsi="Times New Roman"/>
        </w:rPr>
        <w:t xml:space="preserve"> maximum benefits from VR services at the appropri</w:t>
      </w:r>
      <w:r>
        <w:rPr>
          <w:rFonts w:ascii="Times New Roman" w:hAnsi="Times New Roman"/>
        </w:rPr>
        <w:t>ate level of cost</w:t>
      </w:r>
      <w:r w:rsidRPr="00786454">
        <w:rPr>
          <w:rFonts w:ascii="Times New Roman" w:hAnsi="Times New Roman"/>
        </w:rPr>
        <w:t>.</w:t>
      </w:r>
    </w:p>
    <w:p w:rsidR="00DB7DBD" w:rsidRDefault="00DB7DBD" w:rsidP="00DB7DBD">
      <w:pPr>
        <w:ind w:left="720"/>
        <w:rPr>
          <w:rFonts w:ascii="Times New Roman" w:hAnsi="Times New Roman"/>
        </w:rPr>
      </w:pPr>
    </w:p>
    <w:p w:rsidR="006013A3" w:rsidRDefault="00AF3FF3" w:rsidP="00AF3FF3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State VR agencies submit this information </w:t>
      </w:r>
      <w:r w:rsidR="00DB7DBD">
        <w:rPr>
          <w:rFonts w:ascii="Times New Roman" w:hAnsi="Times New Roman"/>
        </w:rPr>
        <w:t xml:space="preserve">voluntarily </w:t>
      </w:r>
      <w:r>
        <w:rPr>
          <w:rFonts w:ascii="Times New Roman" w:hAnsi="Times New Roman"/>
        </w:rPr>
        <w:t>to ensure SSA reimburses them for services.  SSA collects the information</w:t>
      </w:r>
      <w:r w:rsidR="00DB7DBD">
        <w:rPr>
          <w:rFonts w:ascii="Times New Roman" w:hAnsi="Times New Roman"/>
        </w:rPr>
        <w:t xml:space="preserve"> on an on-going basis as VRAs </w:t>
      </w:r>
      <w:r>
        <w:rPr>
          <w:rFonts w:ascii="Times New Roman" w:hAnsi="Times New Roman"/>
        </w:rPr>
        <w:t>submit</w:t>
      </w:r>
      <w:r w:rsidR="00DB7DBD">
        <w:rPr>
          <w:rFonts w:ascii="Times New Roman" w:hAnsi="Times New Roman"/>
        </w:rPr>
        <w:t xml:space="preserve"> claims for reimbursement. </w:t>
      </w:r>
      <w:r>
        <w:rPr>
          <w:rFonts w:ascii="Times New Roman" w:hAnsi="Times New Roman"/>
        </w:rPr>
        <w:t xml:space="preserve"> </w:t>
      </w:r>
      <w:r w:rsidRPr="00786454">
        <w:rPr>
          <w:rFonts w:ascii="Times New Roman" w:hAnsi="Times New Roman"/>
        </w:rPr>
        <w:t xml:space="preserve">The respondents are State VR agencies </w:t>
      </w:r>
      <w:r>
        <w:rPr>
          <w:rFonts w:ascii="Times New Roman" w:hAnsi="Times New Roman"/>
        </w:rPr>
        <w:t>offering</w:t>
      </w:r>
      <w:r w:rsidRPr="00786454">
        <w:rPr>
          <w:rFonts w:ascii="Times New Roman" w:hAnsi="Times New Roman"/>
        </w:rPr>
        <w:t xml:space="preserve"> vocational and employment services for SSA </w:t>
      </w:r>
      <w:r>
        <w:rPr>
          <w:rFonts w:ascii="Times New Roman" w:hAnsi="Times New Roman"/>
        </w:rPr>
        <w:t>disability recipient</w:t>
      </w:r>
      <w:r w:rsidRPr="00786454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. 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36696D" w:rsidRPr="0036696D" w:rsidRDefault="00A45D82" w:rsidP="00A45D82">
      <w:pPr>
        <w:numPr>
          <w:ilvl w:val="0"/>
          <w:numId w:val="20"/>
        </w:numPr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Use of Information Technology to Collect the Information</w:t>
      </w:r>
    </w:p>
    <w:p w:rsidR="00F62D1E" w:rsidRDefault="00F62D1E" w:rsidP="00F62D1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SSA established e</w:t>
      </w:r>
      <w:r w:rsidRPr="00786454">
        <w:rPr>
          <w:rFonts w:ascii="Times New Roman" w:hAnsi="Times New Roman"/>
        </w:rPr>
        <w:t xml:space="preserve">-mail communication </w:t>
      </w:r>
      <w:r>
        <w:rPr>
          <w:rFonts w:ascii="Times New Roman" w:hAnsi="Times New Roman"/>
        </w:rPr>
        <w:t>with most states to facilitate s</w:t>
      </w:r>
      <w:r w:rsidRPr="00786454">
        <w:rPr>
          <w:rFonts w:ascii="Times New Roman" w:hAnsi="Times New Roman"/>
        </w:rPr>
        <w:t xml:space="preserve">tate reporting of those disabled individuals accepted for VR services.  There is currently no other technology available at this time to collect the remaining information.  </w:t>
      </w:r>
      <w:r>
        <w:rPr>
          <w:rFonts w:ascii="Times New Roman" w:hAnsi="Times New Roman"/>
        </w:rPr>
        <w:t>We did not create an electronic version of this</w:t>
      </w:r>
      <w:r w:rsidRPr="00786454">
        <w:rPr>
          <w:rFonts w:ascii="Times New Roman" w:hAnsi="Times New Roman"/>
        </w:rPr>
        <w:t xml:space="preserve"> collection </w:t>
      </w:r>
      <w:r>
        <w:rPr>
          <w:rFonts w:ascii="Times New Roman" w:hAnsi="Times New Roman"/>
        </w:rPr>
        <w:t>under the</w:t>
      </w:r>
      <w:r w:rsidRPr="00786454">
        <w:rPr>
          <w:rFonts w:ascii="Times New Roman" w:hAnsi="Times New Roman"/>
        </w:rPr>
        <w:t xml:space="preserve"> Government Paperwork Elimination Act (GPEA) because of </w:t>
      </w:r>
      <w:r>
        <w:rPr>
          <w:rFonts w:ascii="Times New Roman" w:hAnsi="Times New Roman"/>
        </w:rPr>
        <w:t xml:space="preserve">its </w:t>
      </w:r>
      <w:r w:rsidRPr="00786454">
        <w:rPr>
          <w:rFonts w:ascii="Times New Roman" w:hAnsi="Times New Roman"/>
        </w:rPr>
        <w:t>low volume (less than half of the GP</w:t>
      </w:r>
      <w:r>
        <w:rPr>
          <w:rFonts w:ascii="Times New Roman" w:hAnsi="Times New Roman"/>
        </w:rPr>
        <w:t>EA cut-off of 50,000).  H</w:t>
      </w:r>
      <w:r w:rsidRPr="00786454">
        <w:rPr>
          <w:rFonts w:ascii="Times New Roman" w:hAnsi="Times New Roman"/>
        </w:rPr>
        <w:t>owever,</w:t>
      </w:r>
      <w:r>
        <w:rPr>
          <w:rFonts w:ascii="Times New Roman" w:hAnsi="Times New Roman"/>
        </w:rPr>
        <w:t xml:space="preserve"> SSA </w:t>
      </w:r>
      <w:r w:rsidRPr="00786454">
        <w:rPr>
          <w:rFonts w:ascii="Times New Roman" w:hAnsi="Times New Roman"/>
        </w:rPr>
        <w:t>explored ways to automate the information collection.  Our ability to make greater use of information technology in this collect</w:t>
      </w:r>
      <w:r>
        <w:rPr>
          <w:rFonts w:ascii="Times New Roman" w:hAnsi="Times New Roman"/>
        </w:rPr>
        <w:t>ion depends, in part, on the s</w:t>
      </w:r>
      <w:r w:rsidRPr="00786454">
        <w:rPr>
          <w:rFonts w:ascii="Times New Roman" w:hAnsi="Times New Roman"/>
        </w:rPr>
        <w:t xml:space="preserve">tate </w:t>
      </w:r>
      <w:r>
        <w:rPr>
          <w:rFonts w:ascii="Times New Roman" w:hAnsi="Times New Roman"/>
        </w:rPr>
        <w:t xml:space="preserve">VR </w:t>
      </w:r>
      <w:r w:rsidRPr="00786454">
        <w:rPr>
          <w:rFonts w:ascii="Times New Roman" w:hAnsi="Times New Roman"/>
        </w:rPr>
        <w:lastRenderedPageBreak/>
        <w:t xml:space="preserve">agencies’ readiness to participate </w:t>
      </w:r>
      <w:r>
        <w:rPr>
          <w:rFonts w:ascii="Times New Roman" w:hAnsi="Times New Roman"/>
        </w:rPr>
        <w:t>using greater technology</w:t>
      </w:r>
      <w:r w:rsidR="00AF3FF3">
        <w:rPr>
          <w:rFonts w:ascii="Times New Roman" w:hAnsi="Times New Roman"/>
        </w:rPr>
        <w:t>.  Currently Form SSA</w:t>
      </w:r>
      <w:r w:rsidR="00AF3FF3">
        <w:rPr>
          <w:rFonts w:ascii="Times New Roman" w:hAnsi="Times New Roman"/>
        </w:rPr>
        <w:noBreakHyphen/>
      </w:r>
      <w:r w:rsidRPr="00786454">
        <w:rPr>
          <w:rFonts w:ascii="Times New Roman" w:hAnsi="Times New Roman"/>
        </w:rPr>
        <w:t xml:space="preserve">199 is available </w:t>
      </w:r>
      <w:r>
        <w:rPr>
          <w:rFonts w:ascii="Times New Roman" w:hAnsi="Times New Roman"/>
        </w:rPr>
        <w:t>as a print-only PDF on SSA’S website.  In the future, we hope state VR agencies will be more willing and able to use electronic means to submit this information.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AF3FF3" w:rsidRDefault="00A45D82" w:rsidP="0055694C">
      <w:pPr>
        <w:numPr>
          <w:ilvl w:val="0"/>
          <w:numId w:val="20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 xml:space="preserve">Why </w:t>
      </w:r>
      <w:r w:rsidR="000C1D18">
        <w:rPr>
          <w:rFonts w:ascii="Times New Roman" w:hAnsi="Times New Roman"/>
          <w:b/>
        </w:rPr>
        <w:t>We Cannot Use Duplicate Information</w:t>
      </w:r>
    </w:p>
    <w:p w:rsidR="00F62D1E" w:rsidRPr="0055694C" w:rsidRDefault="00F62D1E" w:rsidP="00AF3FF3">
      <w:pPr>
        <w:ind w:left="720"/>
        <w:rPr>
          <w:rFonts w:ascii="Times New Roman" w:hAnsi="Times New Roman"/>
          <w:b/>
        </w:rPr>
      </w:pPr>
      <w:r w:rsidRPr="0055694C">
        <w:rPr>
          <w:rFonts w:ascii="Times New Roman" w:hAnsi="Times New Roman"/>
        </w:rPr>
        <w:t>The n</w:t>
      </w:r>
      <w:r w:rsidR="00AF3FF3">
        <w:rPr>
          <w:rFonts w:ascii="Times New Roman" w:hAnsi="Times New Roman"/>
        </w:rPr>
        <w:t>ature of the information we collect and the manner in which we collect</w:t>
      </w:r>
      <w:r w:rsidRPr="0055694C">
        <w:rPr>
          <w:rFonts w:ascii="Times New Roman" w:hAnsi="Times New Roman"/>
        </w:rPr>
        <w:t xml:space="preserve"> it preclude duplication.  SSA does not use anther collection instrument obtain similar data.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ind w:left="720"/>
        <w:rPr>
          <w:rFonts w:ascii="Times New Roman" w:hAnsi="Times New Roman"/>
        </w:rPr>
      </w:pPr>
    </w:p>
    <w:p w:rsidR="00E75DB0" w:rsidRPr="00AF3FF3" w:rsidRDefault="00077E0E" w:rsidP="00AF3FF3">
      <w:pPr>
        <w:numPr>
          <w:ilvl w:val="0"/>
          <w:numId w:val="28"/>
        </w:numPr>
        <w:tabs>
          <w:tab w:val="clear" w:pos="360"/>
        </w:tabs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  <w:b/>
        </w:rPr>
        <w:t>Minimizing Burden on Small Respondents</w:t>
      </w:r>
    </w:p>
    <w:p w:rsidR="00F62D1E" w:rsidRDefault="00F62D1E" w:rsidP="00F62D1E">
      <w:pPr>
        <w:ind w:left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>This collection does not affect small business or other small entities.</w:t>
      </w:r>
    </w:p>
    <w:p w:rsidR="00E75DB0" w:rsidRPr="00077E0E" w:rsidRDefault="00E75DB0" w:rsidP="00077E0E">
      <w:pPr>
        <w:ind w:left="720"/>
        <w:rPr>
          <w:rFonts w:ascii="Times New Roman" w:hAnsi="Times New Roman"/>
          <w:b/>
          <w:u w:val="single"/>
        </w:rPr>
      </w:pPr>
    </w:p>
    <w:p w:rsidR="00F62D1E" w:rsidRPr="00AF3FF3" w:rsidRDefault="0055694C" w:rsidP="00AF3FF3">
      <w:pPr>
        <w:numPr>
          <w:ilvl w:val="0"/>
          <w:numId w:val="28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A45D82" w:rsidRPr="00BC7F42">
        <w:rPr>
          <w:rFonts w:ascii="Times New Roman" w:hAnsi="Times New Roman"/>
          <w:b/>
        </w:rPr>
        <w:t xml:space="preserve">Consequence of Not Collecting Information or Collecting it Less Frequently </w:t>
      </w:r>
    </w:p>
    <w:p w:rsidR="00F62D1E" w:rsidRDefault="00F62D1E" w:rsidP="00F62D1E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If we collected this information less frequently, it </w:t>
      </w:r>
      <w:r w:rsidRPr="00786454">
        <w:rPr>
          <w:rFonts w:ascii="Times New Roman" w:hAnsi="Times New Roman"/>
        </w:rPr>
        <w:t>would create insufficient oversi</w:t>
      </w:r>
      <w:r w:rsidR="00AF3FF3">
        <w:rPr>
          <w:rFonts w:ascii="Times New Roman" w:hAnsi="Times New Roman"/>
        </w:rPr>
        <w:t>ght of costs claims;</w:t>
      </w:r>
      <w:r w:rsidRPr="00786454">
        <w:rPr>
          <w:rFonts w:ascii="Times New Roman" w:hAnsi="Times New Roman"/>
        </w:rPr>
        <w:t xml:space="preserve"> potentially lead </w:t>
      </w:r>
      <w:r w:rsidR="00AF3FF3">
        <w:rPr>
          <w:rFonts w:ascii="Times New Roman" w:hAnsi="Times New Roman"/>
        </w:rPr>
        <w:t>to inaccurate payment of claims;</w:t>
      </w:r>
      <w:r w:rsidRPr="00786454">
        <w:rPr>
          <w:rFonts w:ascii="Times New Roman" w:hAnsi="Times New Roman"/>
        </w:rPr>
        <w:t xml:space="preserve"> and unnecessary delay reimbursement</w:t>
      </w:r>
      <w:r>
        <w:rPr>
          <w:rFonts w:ascii="Times New Roman" w:hAnsi="Times New Roman"/>
        </w:rPr>
        <w:t xml:space="preserve"> to s</w:t>
      </w:r>
      <w:r w:rsidRPr="00786454">
        <w:rPr>
          <w:rFonts w:ascii="Times New Roman" w:hAnsi="Times New Roman"/>
        </w:rPr>
        <w:t>tate VR agencies for reasonable and necessary cost they i</w:t>
      </w:r>
      <w:r w:rsidR="00AF3FF3">
        <w:rPr>
          <w:rFonts w:ascii="Times New Roman" w:hAnsi="Times New Roman"/>
        </w:rPr>
        <w:t xml:space="preserve">ncurred and for which they </w:t>
      </w:r>
      <w:r w:rsidRPr="00786454">
        <w:rPr>
          <w:rFonts w:ascii="Times New Roman" w:hAnsi="Times New Roman"/>
        </w:rPr>
        <w:t xml:space="preserve">paid. </w:t>
      </w:r>
      <w:r>
        <w:rPr>
          <w:rFonts w:ascii="Times New Roman" w:hAnsi="Times New Roman"/>
        </w:rPr>
        <w:t xml:space="preserve"> </w:t>
      </w:r>
      <w:r w:rsidR="00AF3FF3">
        <w:rPr>
          <w:rFonts w:ascii="Times New Roman" w:hAnsi="Times New Roman"/>
        </w:rPr>
        <w:t xml:space="preserve">We </w:t>
      </w:r>
      <w:r w:rsidRPr="00786454">
        <w:rPr>
          <w:rFonts w:ascii="Times New Roman" w:hAnsi="Times New Roman"/>
        </w:rPr>
        <w:t xml:space="preserve">would </w:t>
      </w:r>
      <w:r w:rsidR="00AF3FF3">
        <w:rPr>
          <w:rFonts w:ascii="Times New Roman" w:hAnsi="Times New Roman"/>
        </w:rPr>
        <w:t xml:space="preserve">also </w:t>
      </w:r>
      <w:r w:rsidRPr="00786454">
        <w:rPr>
          <w:rFonts w:ascii="Times New Roman" w:hAnsi="Times New Roman"/>
        </w:rPr>
        <w:t>be unaware of State VR agency modifications affecting policies that could affect appropriate cost of VR services.</w:t>
      </w:r>
      <w:r>
        <w:rPr>
          <w:rFonts w:ascii="Times New Roman" w:hAnsi="Times New Roman"/>
        </w:rPr>
        <w:t xml:space="preserve">  Since we only collect this information when necessary, we cannot collect is less frequently.  </w:t>
      </w:r>
      <w:r w:rsidRPr="00786454">
        <w:rPr>
          <w:rFonts w:ascii="Times New Roman" w:hAnsi="Times New Roman"/>
        </w:rPr>
        <w:t>There are no technical or legal obstacles to burden reduction.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127980" w:rsidRDefault="0055694C" w:rsidP="00F62D1E">
      <w:pPr>
        <w:numPr>
          <w:ilvl w:val="0"/>
          <w:numId w:val="28"/>
        </w:num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A45D82" w:rsidRPr="00BC7F42">
        <w:rPr>
          <w:rFonts w:ascii="Times New Roman" w:hAnsi="Times New Roman"/>
          <w:b/>
        </w:rPr>
        <w:t xml:space="preserve">Special Circumstances </w:t>
      </w:r>
    </w:p>
    <w:p w:rsidR="00F62D1E" w:rsidRDefault="0055694C" w:rsidP="00F62D1E">
      <w:pPr>
        <w:ind w:left="36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F62D1E" w:rsidRPr="00786454">
        <w:rPr>
          <w:rFonts w:ascii="Times New Roman" w:hAnsi="Times New Roman"/>
        </w:rPr>
        <w:t xml:space="preserve">There are no special circumstances that would cause SSA to conduct this </w:t>
      </w:r>
      <w:r>
        <w:rPr>
          <w:rFonts w:ascii="Times New Roman" w:hAnsi="Times New Roman"/>
        </w:rPr>
        <w:tab/>
      </w:r>
      <w:r w:rsidR="00F62D1E" w:rsidRPr="00786454">
        <w:rPr>
          <w:rFonts w:ascii="Times New Roman" w:hAnsi="Times New Roman"/>
        </w:rPr>
        <w:t xml:space="preserve">information collection in a manner inconsistent with </w:t>
      </w:r>
      <w:proofErr w:type="gramStart"/>
      <w:r w:rsidR="00F62D1E" w:rsidRPr="00F62078">
        <w:rPr>
          <w:rFonts w:ascii="Times New Roman" w:hAnsi="Times New Roman"/>
          <w:i/>
        </w:rPr>
        <w:t>5</w:t>
      </w:r>
      <w:proofErr w:type="gramEnd"/>
      <w:r w:rsidR="00F62D1E" w:rsidRPr="00F62078">
        <w:rPr>
          <w:rFonts w:ascii="Times New Roman" w:hAnsi="Times New Roman"/>
          <w:i/>
        </w:rPr>
        <w:t xml:space="preserve"> CFR 1320.5</w:t>
      </w:r>
      <w:r w:rsidR="00F62D1E">
        <w:rPr>
          <w:rFonts w:ascii="Times New Roman" w:hAnsi="Times New Roman"/>
        </w:rPr>
        <w:t>.</w:t>
      </w:r>
    </w:p>
    <w:p w:rsidR="00F62D1E" w:rsidRPr="00BC7F42" w:rsidRDefault="00F62D1E" w:rsidP="00A45D82">
      <w:pPr>
        <w:rPr>
          <w:rFonts w:ascii="Times New Roman" w:hAnsi="Times New Roman"/>
          <w:b/>
          <w:i/>
        </w:rPr>
      </w:pPr>
    </w:p>
    <w:p w:rsidR="00AF3FF3" w:rsidRPr="00AF3FF3" w:rsidRDefault="00A45D82" w:rsidP="00AF3FF3">
      <w:pPr>
        <w:numPr>
          <w:ilvl w:val="0"/>
          <w:numId w:val="14"/>
        </w:numPr>
        <w:tabs>
          <w:tab w:val="clear" w:pos="720"/>
        </w:tabs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 xml:space="preserve">Solicitation of Public Comment and Other Consultations with the Public </w:t>
      </w:r>
    </w:p>
    <w:p w:rsidR="00F62D1E" w:rsidRPr="00AF3FF3" w:rsidRDefault="00AF3FF3" w:rsidP="00AF3FF3">
      <w:pPr>
        <w:ind w:left="720"/>
        <w:rPr>
          <w:rFonts w:ascii="Times New Roman" w:hAnsi="Times New Roman"/>
        </w:rPr>
      </w:pPr>
      <w:r w:rsidRPr="00AF3FF3">
        <w:rPr>
          <w:rFonts w:ascii="Times New Roman" w:hAnsi="Times New Roman"/>
        </w:rPr>
        <w:t>The 60-day advance Federal Register Notice published on Ju</w:t>
      </w:r>
      <w:r>
        <w:rPr>
          <w:rFonts w:ascii="Times New Roman" w:hAnsi="Times New Roman"/>
        </w:rPr>
        <w:t>ly 17</w:t>
      </w:r>
      <w:r w:rsidRPr="00AF3FF3">
        <w:rPr>
          <w:rFonts w:ascii="Times New Roman" w:hAnsi="Times New Roman"/>
        </w:rPr>
        <w:t xml:space="preserve">, 2015, at 80 FR </w:t>
      </w:r>
      <w:r>
        <w:rPr>
          <w:rFonts w:ascii="Times New Roman" w:hAnsi="Times New Roman"/>
        </w:rPr>
        <w:t>42600</w:t>
      </w:r>
      <w:r w:rsidRPr="00AF3FF3">
        <w:rPr>
          <w:rFonts w:ascii="Times New Roman" w:hAnsi="Times New Roman"/>
        </w:rPr>
        <w:t xml:space="preserve"> and we received no public comments.  The 30-day FRN published on </w:t>
      </w:r>
      <w:r w:rsidR="00BB624C">
        <w:rPr>
          <w:rFonts w:ascii="Times New Roman" w:hAnsi="Times New Roman"/>
        </w:rPr>
        <w:t>December 17</w:t>
      </w:r>
      <w:r w:rsidRPr="00AF3FF3">
        <w:rPr>
          <w:rFonts w:ascii="Times New Roman" w:hAnsi="Times New Roman"/>
        </w:rPr>
        <w:t xml:space="preserve">, 2015, at 80 FR </w:t>
      </w:r>
      <w:r w:rsidR="00BB624C">
        <w:rPr>
          <w:rFonts w:ascii="Times New Roman" w:hAnsi="Times New Roman"/>
        </w:rPr>
        <w:t>78811</w:t>
      </w:r>
      <w:r w:rsidRPr="00AF3FF3">
        <w:rPr>
          <w:rFonts w:ascii="Times New Roman" w:hAnsi="Times New Roman"/>
        </w:rPr>
        <w:t>.  If we receive any comments in response to this Notice, we will forward them to OMB</w:t>
      </w:r>
      <w:r w:rsidR="00F62D1E" w:rsidRPr="00AF3FF3">
        <w:rPr>
          <w:rFonts w:ascii="Times New Roman" w:hAnsi="Times New Roman"/>
        </w:rPr>
        <w:t>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640A26" w:rsidRDefault="00A45D82" w:rsidP="00640A26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Payment or Gifts to Respondents</w:t>
      </w:r>
    </w:p>
    <w:p w:rsidR="00F62D1E" w:rsidRDefault="00F62D1E" w:rsidP="00F62D1E">
      <w:pPr>
        <w:ind w:left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>SSA does not provide payments or gifts to the respondents exc</w:t>
      </w:r>
      <w:r w:rsidR="00BB624C">
        <w:rPr>
          <w:rFonts w:ascii="Times New Roman" w:hAnsi="Times New Roman"/>
        </w:rPr>
        <w:t>ept as stated in item #</w:t>
      </w:r>
      <w:r>
        <w:rPr>
          <w:rFonts w:ascii="Times New Roman" w:hAnsi="Times New Roman"/>
        </w:rPr>
        <w:t>13</w:t>
      </w:r>
      <w:r w:rsidRPr="00786454">
        <w:rPr>
          <w:rFonts w:ascii="Times New Roman" w:hAnsi="Times New Roman"/>
        </w:rPr>
        <w:t xml:space="preserve"> below</w:t>
      </w:r>
      <w:r>
        <w:rPr>
          <w:rFonts w:ascii="Times New Roman" w:hAnsi="Times New Roman"/>
        </w:rPr>
        <w:t xml:space="preserve"> for cost reimbursement purposes</w:t>
      </w:r>
      <w:r w:rsidRPr="00786454">
        <w:rPr>
          <w:rFonts w:ascii="Times New Roman" w:hAnsi="Times New Roman"/>
        </w:rPr>
        <w:t>.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795BAB" w:rsidRDefault="00A45D82" w:rsidP="00795BAB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Assurances of Confidentiality</w:t>
      </w:r>
    </w:p>
    <w:p w:rsidR="00F62D1E" w:rsidRPr="00F62078" w:rsidRDefault="00F62D1E" w:rsidP="00F62D1E">
      <w:pPr>
        <w:ind w:left="720"/>
        <w:rPr>
          <w:rFonts w:ascii="Times New Roman" w:hAnsi="Times New Roman"/>
        </w:rPr>
      </w:pPr>
      <w:r w:rsidRPr="00F62078">
        <w:rPr>
          <w:rFonts w:ascii="Times New Roman" w:hAnsi="Times New Roman"/>
        </w:rPr>
        <w:t>SSA protects and holds confidential the information it collects in accordance with</w:t>
      </w:r>
      <w:r w:rsidRPr="00F62078">
        <w:rPr>
          <w:rFonts w:ascii="Times New Roman" w:hAnsi="Times New Roman"/>
          <w:i/>
        </w:rPr>
        <w:t xml:space="preserve"> 42 U.S.C. 1306, 20 CFR 401 </w:t>
      </w:r>
      <w:r w:rsidRPr="00F62078">
        <w:rPr>
          <w:rFonts w:ascii="Times New Roman" w:hAnsi="Times New Roman"/>
        </w:rPr>
        <w:t>and</w:t>
      </w:r>
      <w:r w:rsidRPr="00F62078">
        <w:rPr>
          <w:rFonts w:ascii="Times New Roman" w:hAnsi="Times New Roman"/>
          <w:i/>
        </w:rPr>
        <w:t xml:space="preserve"> 402, 5 U.S.C. 552 </w:t>
      </w:r>
      <w:r w:rsidRPr="00F62078">
        <w:rPr>
          <w:rFonts w:ascii="Times New Roman" w:hAnsi="Times New Roman"/>
        </w:rPr>
        <w:t>(Freedom of Information Act),</w:t>
      </w:r>
      <w:r w:rsidRPr="00F62078">
        <w:rPr>
          <w:rFonts w:ascii="Times New Roman" w:hAnsi="Times New Roman"/>
          <w:i/>
        </w:rPr>
        <w:t xml:space="preserve"> 5 U.S.C. 552a </w:t>
      </w:r>
      <w:r w:rsidRPr="00F62078">
        <w:rPr>
          <w:rFonts w:ascii="Times New Roman" w:hAnsi="Times New Roman"/>
        </w:rPr>
        <w:t>(Privacy Act of 1974), and OMB Circular No</w:t>
      </w:r>
      <w:proofErr w:type="gramStart"/>
      <w:r w:rsidRPr="00F62078">
        <w:rPr>
          <w:rFonts w:ascii="Times New Roman" w:hAnsi="Times New Roman"/>
        </w:rPr>
        <w:t>. A-130.</w:t>
      </w:r>
      <w:proofErr w:type="gramEnd"/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D0011E" w:rsidRDefault="00A45D82" w:rsidP="00D0011E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Justification for Sensitive Questions</w:t>
      </w:r>
    </w:p>
    <w:p w:rsidR="00F62D1E" w:rsidRDefault="00F62D1E" w:rsidP="00F62D1E">
      <w:pPr>
        <w:ind w:left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>The information collection does not contain any questions of a sensitive nature.</w:t>
      </w:r>
    </w:p>
    <w:p w:rsidR="00A45D82" w:rsidRDefault="00A45D82" w:rsidP="00A45D82">
      <w:pPr>
        <w:rPr>
          <w:rFonts w:ascii="Times New Roman" w:hAnsi="Times New Roman"/>
        </w:rPr>
      </w:pPr>
    </w:p>
    <w:p w:rsidR="0031467F" w:rsidRDefault="0031467F" w:rsidP="00A45D82">
      <w:pPr>
        <w:rPr>
          <w:rFonts w:ascii="Times New Roman" w:hAnsi="Times New Roman"/>
        </w:rPr>
      </w:pPr>
    </w:p>
    <w:p w:rsidR="0031467F" w:rsidRDefault="0031467F" w:rsidP="00A45D82">
      <w:pPr>
        <w:rPr>
          <w:rFonts w:ascii="Times New Roman" w:hAnsi="Times New Roman"/>
        </w:rPr>
      </w:pPr>
    </w:p>
    <w:p w:rsidR="0031467F" w:rsidRPr="00BC7F42" w:rsidRDefault="0031467F" w:rsidP="00A45D82">
      <w:pPr>
        <w:rPr>
          <w:rFonts w:ascii="Times New Roman" w:hAnsi="Times New Roman"/>
        </w:rPr>
      </w:pPr>
    </w:p>
    <w:p w:rsidR="00F9405B" w:rsidRPr="0031467F" w:rsidRDefault="00A45D82" w:rsidP="0031467F">
      <w:pPr>
        <w:numPr>
          <w:ilvl w:val="0"/>
          <w:numId w:val="14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Estimates of Public Reporting Burden</w:t>
      </w:r>
    </w:p>
    <w:p w:rsidR="00F62D1E" w:rsidRDefault="00F62D1E" w:rsidP="0031467F">
      <w:pPr>
        <w:ind w:left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>The following chart summarizes the public reporting burden f</w:t>
      </w:r>
      <w:r>
        <w:rPr>
          <w:rFonts w:ascii="Times New Roman" w:hAnsi="Times New Roman"/>
        </w:rPr>
        <w:t>or the 80 s</w:t>
      </w:r>
      <w:r w:rsidRPr="00786454">
        <w:rPr>
          <w:rFonts w:ascii="Times New Roman" w:hAnsi="Times New Roman"/>
        </w:rPr>
        <w:t>tate VR agencies in regards to the three types of responses SSA requests</w:t>
      </w:r>
      <w:r>
        <w:rPr>
          <w:rFonts w:ascii="Times New Roman" w:hAnsi="Times New Roman"/>
        </w:rPr>
        <w:t>:</w:t>
      </w:r>
    </w:p>
    <w:p w:rsidR="00F62D1E" w:rsidRDefault="00F62D1E" w:rsidP="00F62D1E">
      <w:pPr>
        <w:ind w:left="720"/>
        <w:rPr>
          <w:rFonts w:ascii="Times New Roman" w:hAnsi="Times New Roman"/>
        </w:rPr>
      </w:pPr>
    </w:p>
    <w:tbl>
      <w:tblPr>
        <w:tblW w:w="8738" w:type="dxa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9"/>
        <w:gridCol w:w="1523"/>
        <w:gridCol w:w="1310"/>
        <w:gridCol w:w="1270"/>
        <w:gridCol w:w="1190"/>
        <w:gridCol w:w="1256"/>
      </w:tblGrid>
      <w:tr w:rsidR="00F62D1E" w:rsidRPr="003D7A5E" w:rsidTr="00F62D1E">
        <w:tc>
          <w:tcPr>
            <w:tcW w:w="2189" w:type="dxa"/>
            <w:shd w:val="clear" w:color="auto" w:fill="auto"/>
          </w:tcPr>
          <w:p w:rsidR="00F62D1E" w:rsidRPr="003D7A5E" w:rsidRDefault="0031467F" w:rsidP="009E57BD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Modality of Completion</w:t>
            </w:r>
          </w:p>
        </w:tc>
        <w:tc>
          <w:tcPr>
            <w:tcW w:w="1523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Number of Respondents</w:t>
            </w:r>
          </w:p>
        </w:tc>
        <w:tc>
          <w:tcPr>
            <w:tcW w:w="1310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Frequency of Response</w:t>
            </w:r>
          </w:p>
        </w:tc>
        <w:tc>
          <w:tcPr>
            <w:tcW w:w="1270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Number of Responses</w:t>
            </w:r>
          </w:p>
        </w:tc>
        <w:tc>
          <w:tcPr>
            <w:tcW w:w="1190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Average Burden Per Response (minutes)</w:t>
            </w:r>
          </w:p>
        </w:tc>
        <w:tc>
          <w:tcPr>
            <w:tcW w:w="1256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Estimated Annual Burden (hours)</w:t>
            </w:r>
          </w:p>
        </w:tc>
      </w:tr>
      <w:tr w:rsidR="00F62D1E" w:rsidRPr="003D7A5E" w:rsidTr="00F62D1E">
        <w:tc>
          <w:tcPr>
            <w:tcW w:w="2189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a. Claiming Reimbursement on SSA-199 – 20 CFR 404.2108(b) &amp; 416.2208(b)</w:t>
            </w:r>
          </w:p>
        </w:tc>
        <w:tc>
          <w:tcPr>
            <w:tcW w:w="1523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80</w:t>
            </w:r>
          </w:p>
        </w:tc>
        <w:tc>
          <w:tcPr>
            <w:tcW w:w="131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160</w:t>
            </w:r>
          </w:p>
        </w:tc>
        <w:tc>
          <w:tcPr>
            <w:tcW w:w="127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12,800</w:t>
            </w:r>
          </w:p>
        </w:tc>
        <w:tc>
          <w:tcPr>
            <w:tcW w:w="119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23</w:t>
            </w:r>
          </w:p>
        </w:tc>
        <w:tc>
          <w:tcPr>
            <w:tcW w:w="1256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4,907</w:t>
            </w:r>
          </w:p>
        </w:tc>
      </w:tr>
      <w:tr w:rsidR="00F62D1E" w:rsidRPr="003D7A5E" w:rsidTr="00F62D1E">
        <w:tc>
          <w:tcPr>
            <w:tcW w:w="2189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b. Certifying Adherence to Cost Containment Policy and Procedures – 20 CFR 404.2117(c)(1)&amp;(2), 416.2217(c)(1)&amp;(2) &amp; 34 CFR 361</w:t>
            </w:r>
          </w:p>
        </w:tc>
        <w:tc>
          <w:tcPr>
            <w:tcW w:w="1523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80</w:t>
            </w:r>
          </w:p>
        </w:tc>
        <w:tc>
          <w:tcPr>
            <w:tcW w:w="131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1</w:t>
            </w:r>
          </w:p>
        </w:tc>
        <w:tc>
          <w:tcPr>
            <w:tcW w:w="127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80</w:t>
            </w:r>
          </w:p>
        </w:tc>
        <w:tc>
          <w:tcPr>
            <w:tcW w:w="119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60</w:t>
            </w:r>
          </w:p>
        </w:tc>
        <w:tc>
          <w:tcPr>
            <w:tcW w:w="1256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80</w:t>
            </w:r>
          </w:p>
        </w:tc>
      </w:tr>
      <w:tr w:rsidR="00F62D1E" w:rsidRPr="003D7A5E" w:rsidTr="00F62D1E">
        <w:tc>
          <w:tcPr>
            <w:tcW w:w="2189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c. Preparing Causality Statements – 20 CFR 404.2121(a),  404.2101(a), 416.2201(a), &amp; 416.2221(a)</w:t>
            </w:r>
          </w:p>
        </w:tc>
        <w:tc>
          <w:tcPr>
            <w:tcW w:w="1523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80</w:t>
            </w:r>
          </w:p>
        </w:tc>
        <w:tc>
          <w:tcPr>
            <w:tcW w:w="131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2.5</w:t>
            </w:r>
          </w:p>
        </w:tc>
        <w:tc>
          <w:tcPr>
            <w:tcW w:w="127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200</w:t>
            </w:r>
          </w:p>
        </w:tc>
        <w:tc>
          <w:tcPr>
            <w:tcW w:w="119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100</w:t>
            </w:r>
          </w:p>
        </w:tc>
        <w:tc>
          <w:tcPr>
            <w:tcW w:w="1256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</w:rPr>
            </w:pPr>
            <w:r w:rsidRPr="003D7A5E">
              <w:rPr>
                <w:rFonts w:ascii="Times New Roman" w:hAnsi="Times New Roman"/>
              </w:rPr>
              <w:t>333</w:t>
            </w:r>
          </w:p>
        </w:tc>
      </w:tr>
      <w:tr w:rsidR="00F62D1E" w:rsidRPr="003D7A5E" w:rsidTr="00F62D1E">
        <w:tc>
          <w:tcPr>
            <w:tcW w:w="2189" w:type="dxa"/>
            <w:shd w:val="clear" w:color="auto" w:fill="auto"/>
          </w:tcPr>
          <w:p w:rsidR="00F62D1E" w:rsidRPr="003D7A5E" w:rsidRDefault="00F62D1E" w:rsidP="009E57BD">
            <w:pPr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Totals</w:t>
            </w:r>
          </w:p>
        </w:tc>
        <w:tc>
          <w:tcPr>
            <w:tcW w:w="1523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80</w:t>
            </w:r>
          </w:p>
        </w:tc>
        <w:tc>
          <w:tcPr>
            <w:tcW w:w="131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7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13,080</w:t>
            </w:r>
          </w:p>
        </w:tc>
        <w:tc>
          <w:tcPr>
            <w:tcW w:w="1190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256" w:type="dxa"/>
            <w:shd w:val="clear" w:color="auto" w:fill="auto"/>
          </w:tcPr>
          <w:p w:rsidR="00F62D1E" w:rsidRPr="003D7A5E" w:rsidRDefault="00F62D1E" w:rsidP="009E57BD">
            <w:pPr>
              <w:jc w:val="right"/>
              <w:rPr>
                <w:rFonts w:ascii="Times New Roman" w:hAnsi="Times New Roman"/>
                <w:b/>
              </w:rPr>
            </w:pPr>
            <w:r w:rsidRPr="003D7A5E">
              <w:rPr>
                <w:rFonts w:ascii="Times New Roman" w:hAnsi="Times New Roman"/>
                <w:b/>
              </w:rPr>
              <w:t>5,320</w:t>
            </w:r>
          </w:p>
        </w:tc>
      </w:tr>
    </w:tbl>
    <w:p w:rsidR="00F62D1E" w:rsidRPr="00786454" w:rsidRDefault="00F62D1E" w:rsidP="00F62D1E">
      <w:pPr>
        <w:ind w:left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 xml:space="preserve">The total burden for this ICR is </w:t>
      </w:r>
      <w:r w:rsidRPr="00154A60">
        <w:rPr>
          <w:rFonts w:ascii="Times New Roman" w:hAnsi="Times New Roman"/>
          <w:b/>
        </w:rPr>
        <w:t>5,320</w:t>
      </w:r>
      <w:r w:rsidRPr="00786454">
        <w:rPr>
          <w:rFonts w:ascii="Times New Roman" w:hAnsi="Times New Roman"/>
        </w:rPr>
        <w:t xml:space="preserve"> hours.  This figure represents burden hours and</w:t>
      </w:r>
      <w:r>
        <w:rPr>
          <w:rFonts w:ascii="Times New Roman" w:hAnsi="Times New Roman"/>
        </w:rPr>
        <w:t xml:space="preserve"> SSA calculated </w:t>
      </w:r>
      <w:r w:rsidRPr="00786454">
        <w:rPr>
          <w:rFonts w:ascii="Times New Roman" w:hAnsi="Times New Roman"/>
        </w:rPr>
        <w:t xml:space="preserve">no separate cost burden. </w:t>
      </w:r>
    </w:p>
    <w:p w:rsidR="003B15EC" w:rsidRPr="003B15EC" w:rsidRDefault="00F62D1E" w:rsidP="004509AD">
      <w:pPr>
        <w:tabs>
          <w:tab w:val="left" w:pos="360"/>
        </w:tabs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</w:rPr>
        <w:tab/>
      </w:r>
    </w:p>
    <w:p w:rsidR="00A45D82" w:rsidRPr="00BC7F42" w:rsidRDefault="00A45D82" w:rsidP="00A45D82">
      <w:pPr>
        <w:ind w:left="720" w:hanging="720"/>
        <w:rPr>
          <w:rFonts w:ascii="Times New Roman" w:hAnsi="Times New Roman"/>
        </w:rPr>
      </w:pPr>
      <w:r w:rsidRPr="003B15EC">
        <w:rPr>
          <w:rFonts w:ascii="Times New Roman" w:hAnsi="Times New Roman"/>
          <w:b/>
        </w:rPr>
        <w:t>13.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Annual</w:t>
      </w:r>
      <w:r w:rsidRPr="00BC7F42">
        <w:rPr>
          <w:rFonts w:ascii="Times New Roman" w:hAnsi="Times New Roman"/>
        </w:rPr>
        <w:t xml:space="preserve"> </w:t>
      </w:r>
      <w:r w:rsidRPr="00BC7F42">
        <w:rPr>
          <w:rFonts w:ascii="Times New Roman" w:hAnsi="Times New Roman"/>
          <w:b/>
        </w:rPr>
        <w:t>Cost to the Respondents (Other)</w:t>
      </w:r>
      <w:r w:rsidRPr="00BC7F42">
        <w:rPr>
          <w:rFonts w:ascii="Times New Roman" w:hAnsi="Times New Roman"/>
        </w:rPr>
        <w:t xml:space="preserve"> </w:t>
      </w:r>
    </w:p>
    <w:p w:rsidR="00A45D82" w:rsidRPr="00F62D1E" w:rsidRDefault="009E64CF" w:rsidP="00A45D82">
      <w:pPr>
        <w:ind w:firstLine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>SSA reimburses the respondents for costs incurre</w:t>
      </w:r>
      <w:r>
        <w:rPr>
          <w:rFonts w:ascii="Times New Roman" w:hAnsi="Times New Roman"/>
        </w:rPr>
        <w:t>d to complete this collection</w:t>
      </w:r>
      <w:r w:rsidR="00121032" w:rsidRPr="00F62D1E">
        <w:rPr>
          <w:rFonts w:ascii="Times New Roman" w:hAnsi="Times New Roman"/>
        </w:rPr>
        <w:t xml:space="preserve">. </w:t>
      </w:r>
      <w:r w:rsidR="00A45D82" w:rsidRPr="00F62D1E">
        <w:rPr>
          <w:rFonts w:ascii="Times New Roman" w:hAnsi="Times New Roman"/>
        </w:rPr>
        <w:t xml:space="preserve"> 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121032" w:rsidRPr="00121032" w:rsidRDefault="00A45D82" w:rsidP="00A45D82">
      <w:pPr>
        <w:numPr>
          <w:ilvl w:val="0"/>
          <w:numId w:val="27"/>
        </w:numPr>
        <w:tabs>
          <w:tab w:val="clear" w:pos="360"/>
          <w:tab w:val="left" w:pos="720"/>
        </w:tabs>
        <w:ind w:left="720" w:hanging="720"/>
        <w:rPr>
          <w:rFonts w:ascii="Times New Roman" w:hAnsi="Times New Roman"/>
        </w:rPr>
      </w:pPr>
      <w:r w:rsidRPr="00BC7F42">
        <w:rPr>
          <w:rFonts w:ascii="Times New Roman" w:hAnsi="Times New Roman"/>
          <w:b/>
        </w:rPr>
        <w:t>Annual Cost To Federal Government</w:t>
      </w:r>
    </w:p>
    <w:p w:rsidR="001D7BEF" w:rsidRPr="00894EA6" w:rsidRDefault="001D7BEF" w:rsidP="001D7BEF">
      <w:pPr>
        <w:ind w:left="720"/>
        <w:rPr>
          <w:rFonts w:ascii="Times New Roman" w:hAnsi="Times New Roman"/>
        </w:rPr>
      </w:pPr>
      <w:r w:rsidRPr="00894EA6">
        <w:rPr>
          <w:rFonts w:ascii="Times New Roman" w:hAnsi="Times New Roman"/>
        </w:rPr>
        <w:t xml:space="preserve">The annual cost to the Federal Government is approximately </w:t>
      </w:r>
      <w:r w:rsidR="00894EA6" w:rsidRPr="00894EA6">
        <w:rPr>
          <w:rFonts w:ascii="Times New Roman" w:hAnsi="Times New Roman"/>
        </w:rPr>
        <w:t>$45,000</w:t>
      </w:r>
      <w:r w:rsidRPr="00894EA6">
        <w:rPr>
          <w:rFonts w:ascii="Times New Roman" w:hAnsi="Times New Roman"/>
        </w:rPr>
        <w:t xml:space="preserve">. </w:t>
      </w:r>
      <w:r w:rsidR="009E64CF">
        <w:rPr>
          <w:rFonts w:ascii="Times New Roman" w:hAnsi="Times New Roman"/>
        </w:rPr>
        <w:t xml:space="preserve"> </w:t>
      </w:r>
      <w:r w:rsidRPr="00894EA6">
        <w:rPr>
          <w:rFonts w:ascii="Times New Roman" w:hAnsi="Times New Roman"/>
        </w:rPr>
        <w:t>This estimate is a projection of the costs for processing the form</w:t>
      </w:r>
      <w:r w:rsidR="009E64CF">
        <w:rPr>
          <w:rFonts w:ascii="Times New Roman" w:hAnsi="Times New Roman"/>
        </w:rPr>
        <w:t xml:space="preserve"> and collecting the information.</w:t>
      </w:r>
    </w:p>
    <w:p w:rsidR="00F0585C" w:rsidRDefault="00F0585C" w:rsidP="006F4D0F">
      <w:pPr>
        <w:tabs>
          <w:tab w:val="left" w:pos="720"/>
        </w:tabs>
        <w:ind w:left="720"/>
        <w:rPr>
          <w:rFonts w:ascii="Times New Roman" w:hAnsi="Times New Roman"/>
        </w:rPr>
      </w:pPr>
    </w:p>
    <w:p w:rsidR="00063A05" w:rsidRDefault="00A45D82" w:rsidP="009E64CF">
      <w:pPr>
        <w:ind w:left="720" w:hanging="720"/>
        <w:rPr>
          <w:rFonts w:ascii="Times New Roman" w:hAnsi="Times New Roman"/>
          <w:b/>
        </w:rPr>
      </w:pPr>
      <w:r w:rsidRPr="0069667B">
        <w:rPr>
          <w:rFonts w:ascii="Times New Roman" w:hAnsi="Times New Roman"/>
          <w:b/>
        </w:rPr>
        <w:t>15.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 xml:space="preserve">Program Changes or Adjustments to the Information Collection </w:t>
      </w:r>
      <w:r w:rsidR="00063A05">
        <w:rPr>
          <w:rFonts w:ascii="Times New Roman" w:hAnsi="Times New Roman"/>
          <w:b/>
        </w:rPr>
        <w:t>Request</w:t>
      </w:r>
    </w:p>
    <w:p w:rsidR="001D7BEF" w:rsidRPr="00786454" w:rsidRDefault="001D7BEF" w:rsidP="001D7BEF">
      <w:pPr>
        <w:ind w:left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 xml:space="preserve">There are no changes to the public reporting burden. </w:t>
      </w:r>
    </w:p>
    <w:p w:rsidR="009E64CF" w:rsidRPr="00BC7F42" w:rsidRDefault="009E64CF" w:rsidP="00A45D82">
      <w:pPr>
        <w:rPr>
          <w:rFonts w:ascii="Times New Roman" w:hAnsi="Times New Roman"/>
        </w:rPr>
      </w:pPr>
    </w:p>
    <w:p w:rsidR="00063A05" w:rsidRDefault="00A45D82" w:rsidP="00A45D82">
      <w:pPr>
        <w:ind w:left="720" w:hanging="720"/>
        <w:rPr>
          <w:rFonts w:ascii="Times New Roman" w:hAnsi="Times New Roman"/>
        </w:rPr>
      </w:pPr>
      <w:r w:rsidRPr="003B30B4">
        <w:rPr>
          <w:rFonts w:ascii="Times New Roman" w:hAnsi="Times New Roman"/>
          <w:b/>
        </w:rPr>
        <w:lastRenderedPageBreak/>
        <w:t>16.</w:t>
      </w:r>
      <w:r w:rsidRPr="00BC7F42">
        <w:rPr>
          <w:rFonts w:ascii="Times New Roman" w:hAnsi="Times New Roman"/>
        </w:rPr>
        <w:t xml:space="preserve">  </w:t>
      </w:r>
      <w:r w:rsidRPr="00BC7F42">
        <w:rPr>
          <w:rFonts w:ascii="Times New Roman" w:hAnsi="Times New Roman"/>
        </w:rPr>
        <w:tab/>
      </w:r>
      <w:r w:rsidRPr="00BC7F42">
        <w:rPr>
          <w:rFonts w:ascii="Times New Roman" w:hAnsi="Times New Roman"/>
          <w:b/>
        </w:rPr>
        <w:t>P</w:t>
      </w:r>
      <w:bookmarkStart w:id="0" w:name="_GoBack"/>
      <w:bookmarkEnd w:id="0"/>
      <w:r w:rsidRPr="00BC7F42">
        <w:rPr>
          <w:rFonts w:ascii="Times New Roman" w:hAnsi="Times New Roman"/>
          <w:b/>
        </w:rPr>
        <w:t>lans for Publication Information Collection</w:t>
      </w:r>
      <w:r w:rsidR="003B30B4">
        <w:rPr>
          <w:rFonts w:ascii="Times New Roman" w:hAnsi="Times New Roman"/>
          <w:b/>
        </w:rPr>
        <w:t xml:space="preserve"> Results</w:t>
      </w:r>
    </w:p>
    <w:p w:rsidR="001D7BEF" w:rsidRPr="00786454" w:rsidRDefault="001D7BEF" w:rsidP="001D7BEF">
      <w:pPr>
        <w:ind w:left="720"/>
        <w:rPr>
          <w:rFonts w:ascii="Times New Roman" w:hAnsi="Times New Roman"/>
        </w:rPr>
      </w:pPr>
      <w:r w:rsidRPr="00786454">
        <w:rPr>
          <w:rFonts w:ascii="Times New Roman" w:hAnsi="Times New Roman"/>
        </w:rPr>
        <w:t>SSA does not publish the results of the information collection.</w:t>
      </w:r>
    </w:p>
    <w:p w:rsidR="00A45D82" w:rsidRPr="00BC7F42" w:rsidRDefault="00A45D82" w:rsidP="00A45D82">
      <w:pPr>
        <w:pStyle w:val="Header"/>
        <w:tabs>
          <w:tab w:val="clear" w:pos="4320"/>
          <w:tab w:val="clear" w:pos="8640"/>
        </w:tabs>
        <w:rPr>
          <w:rFonts w:ascii="Times New Roman" w:hAnsi="Times New Roman"/>
        </w:rPr>
      </w:pPr>
    </w:p>
    <w:p w:rsidR="003B30B4" w:rsidRDefault="00A45D82" w:rsidP="00A45D82">
      <w:pPr>
        <w:ind w:left="720" w:hanging="720"/>
        <w:rPr>
          <w:rFonts w:ascii="Times New Roman" w:hAnsi="Times New Roman"/>
        </w:rPr>
      </w:pPr>
      <w:r w:rsidRPr="003B30B4">
        <w:rPr>
          <w:rFonts w:ascii="Times New Roman" w:hAnsi="Times New Roman"/>
          <w:b/>
        </w:rPr>
        <w:t>17.</w:t>
      </w:r>
      <w:r w:rsidRPr="00BC7F42">
        <w:rPr>
          <w:rFonts w:ascii="Times New Roman" w:hAnsi="Times New Roman"/>
        </w:rPr>
        <w:tab/>
      </w:r>
      <w:r w:rsidR="003B30B4">
        <w:rPr>
          <w:rFonts w:ascii="Times New Roman" w:hAnsi="Times New Roman"/>
          <w:b/>
        </w:rPr>
        <w:t>Displaying the OMB Approval Expiration Date</w:t>
      </w:r>
    </w:p>
    <w:p w:rsidR="009E64CF" w:rsidRPr="001D7BEF" w:rsidRDefault="003B30B4" w:rsidP="009E64CF">
      <w:pPr>
        <w:pStyle w:val="NoSpacing"/>
        <w:ind w:left="720"/>
        <w:rPr>
          <w:bCs/>
          <w:iCs/>
        </w:rPr>
      </w:pPr>
      <w:r w:rsidRPr="001D7BEF">
        <w:rPr>
          <w:bCs/>
          <w:iCs/>
        </w:rPr>
        <w:t>OMB granted SSA an exemption from the requirement to print the OMB expiration date on its program forms</w:t>
      </w:r>
      <w:r w:rsidR="00FA0FE2" w:rsidRPr="001D7BEF">
        <w:rPr>
          <w:bCs/>
          <w:iCs/>
        </w:rPr>
        <w:t xml:space="preserve">.  </w:t>
      </w:r>
      <w:r w:rsidRPr="001D7BEF">
        <w:rPr>
          <w:bCs/>
          <w:iCs/>
        </w:rPr>
        <w:t>SSA produces millions of public-use forms with life cycles exceeding those of an OMB approval.  Since SSA does not periodically revise and reprint its public-use forms (e.g., on an annual basis), OMB granted this exemption so SSA would not have to destroy stocks of otherwise useable forms with expired OMB approval da</w:t>
      </w:r>
      <w:r w:rsidR="009E64CF">
        <w:rPr>
          <w:bCs/>
          <w:iCs/>
        </w:rPr>
        <w:t>tes, avoiding Government waste.</w:t>
      </w:r>
    </w:p>
    <w:p w:rsidR="00A45D82" w:rsidRPr="00BC7F42" w:rsidRDefault="00A45D82" w:rsidP="00A45D82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rPr>
          <w:rFonts w:ascii="Times New Roman" w:hAnsi="Times New Roman"/>
          <w:b w:val="0"/>
          <w:i w:val="0"/>
        </w:rPr>
      </w:pPr>
    </w:p>
    <w:p w:rsidR="000B3B12" w:rsidRPr="009E64CF" w:rsidRDefault="00A45D82" w:rsidP="009E64CF">
      <w:pPr>
        <w:numPr>
          <w:ilvl w:val="0"/>
          <w:numId w:val="43"/>
        </w:numPr>
        <w:rPr>
          <w:rFonts w:ascii="Times New Roman" w:hAnsi="Times New Roman"/>
          <w:b/>
        </w:rPr>
      </w:pPr>
      <w:r w:rsidRPr="00BC7F42">
        <w:rPr>
          <w:rFonts w:ascii="Times New Roman" w:hAnsi="Times New Roman"/>
          <w:b/>
        </w:rPr>
        <w:t>Exceptions to Certification Statement</w:t>
      </w:r>
    </w:p>
    <w:p w:rsidR="0041131C" w:rsidRPr="001D7BEF" w:rsidRDefault="0041131C" w:rsidP="0041131C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left="720"/>
        <w:rPr>
          <w:rFonts w:ascii="Times New Roman" w:hAnsi="Times New Roman"/>
          <w:b w:val="0"/>
          <w:i w:val="0"/>
        </w:rPr>
      </w:pPr>
      <w:r w:rsidRPr="001D7BEF">
        <w:rPr>
          <w:rFonts w:ascii="Times New Roman" w:hAnsi="Times New Roman"/>
          <w:b w:val="0"/>
          <w:i w:val="0"/>
        </w:rPr>
        <w:t xml:space="preserve">SSA is not requesting an exception to the certification requirements at </w:t>
      </w:r>
      <w:r w:rsidRPr="009E64CF">
        <w:rPr>
          <w:rFonts w:ascii="Times New Roman" w:hAnsi="Times New Roman"/>
          <w:b w:val="0"/>
        </w:rPr>
        <w:t>5 CFR 1320.9</w:t>
      </w:r>
      <w:r w:rsidRPr="001D7BEF">
        <w:rPr>
          <w:rFonts w:ascii="Times New Roman" w:hAnsi="Times New Roman"/>
          <w:b w:val="0"/>
          <w:i w:val="0"/>
        </w:rPr>
        <w:t xml:space="preserve"> and related provisions at </w:t>
      </w:r>
      <w:r w:rsidRPr="009E64CF">
        <w:rPr>
          <w:rFonts w:ascii="Times New Roman" w:hAnsi="Times New Roman"/>
          <w:b w:val="0"/>
        </w:rPr>
        <w:t>5 CFR 1320.8(b</w:t>
      </w:r>
      <w:proofErr w:type="gramStart"/>
      <w:r w:rsidRPr="009E64CF">
        <w:rPr>
          <w:rFonts w:ascii="Times New Roman" w:hAnsi="Times New Roman"/>
          <w:b w:val="0"/>
        </w:rPr>
        <w:t>)(</w:t>
      </w:r>
      <w:proofErr w:type="gramEnd"/>
      <w:r w:rsidRPr="009E64CF">
        <w:rPr>
          <w:rFonts w:ascii="Times New Roman" w:hAnsi="Times New Roman"/>
          <w:b w:val="0"/>
        </w:rPr>
        <w:t>3)</w:t>
      </w:r>
      <w:r w:rsidRPr="001D7BEF">
        <w:rPr>
          <w:rFonts w:ascii="Times New Roman" w:hAnsi="Times New Roman"/>
          <w:b w:val="0"/>
          <w:i w:val="0"/>
        </w:rPr>
        <w:t xml:space="preserve">. </w:t>
      </w:r>
    </w:p>
    <w:p w:rsidR="00A45D82" w:rsidRPr="00BC7F42" w:rsidRDefault="00A45D82" w:rsidP="00A45D82">
      <w:pPr>
        <w:rPr>
          <w:rFonts w:ascii="Times New Roman" w:hAnsi="Times New Roman"/>
        </w:rPr>
      </w:pPr>
    </w:p>
    <w:p w:rsidR="00A45D82" w:rsidRDefault="00A45D82" w:rsidP="00A45D82">
      <w:pPr>
        <w:rPr>
          <w:rFonts w:ascii="Times New Roman" w:hAnsi="Times New Roman"/>
          <w:b/>
          <w:u w:val="single"/>
        </w:rPr>
      </w:pPr>
      <w:r w:rsidRPr="0041131C">
        <w:rPr>
          <w:rFonts w:ascii="Times New Roman" w:hAnsi="Times New Roman"/>
          <w:b/>
        </w:rPr>
        <w:t xml:space="preserve">B. </w:t>
      </w:r>
      <w:r w:rsidRPr="0041131C">
        <w:rPr>
          <w:rFonts w:ascii="Times New Roman" w:hAnsi="Times New Roman"/>
          <w:b/>
          <w:u w:val="single"/>
        </w:rPr>
        <w:t>Collections</w:t>
      </w:r>
      <w:r w:rsidRPr="00BC7F42">
        <w:rPr>
          <w:rFonts w:ascii="Times New Roman" w:hAnsi="Times New Roman"/>
          <w:b/>
          <w:u w:val="single"/>
        </w:rPr>
        <w:t xml:space="preserve"> of Information Employing Statistical Methods</w:t>
      </w:r>
    </w:p>
    <w:p w:rsidR="0041131C" w:rsidRPr="001D7BEF" w:rsidRDefault="0041131C" w:rsidP="0041131C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</w:t>
      </w:r>
    </w:p>
    <w:p w:rsidR="0002677F" w:rsidRPr="001D7BEF" w:rsidRDefault="0041131C" w:rsidP="001D7BEF">
      <w:pPr>
        <w:pStyle w:val="BodyText2"/>
        <w:tabs>
          <w:tab w:val="clear" w:pos="-1440"/>
          <w:tab w:val="clear" w:pos="-720"/>
          <w:tab w:val="clear" w:pos="0"/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lear" w:pos="10080"/>
          <w:tab w:val="clear" w:pos="10800"/>
        </w:tabs>
        <w:suppressAutoHyphens w:val="0"/>
        <w:ind w:firstLine="720"/>
        <w:rPr>
          <w:rFonts w:ascii="Times New Roman" w:hAnsi="Times New Roman"/>
          <w:b w:val="0"/>
          <w:i w:val="0"/>
        </w:rPr>
      </w:pPr>
      <w:r w:rsidRPr="001D7BEF">
        <w:rPr>
          <w:rFonts w:ascii="Times New Roman" w:hAnsi="Times New Roman"/>
          <w:b w:val="0"/>
          <w:i w:val="0"/>
        </w:rPr>
        <w:t xml:space="preserve">SSA does not use statistical methods for this information collection. </w:t>
      </w:r>
    </w:p>
    <w:sectPr w:rsidR="0002677F" w:rsidRPr="001D7BE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9F9" w:rsidRDefault="000179F9">
      <w:r>
        <w:separator/>
      </w:r>
    </w:p>
  </w:endnote>
  <w:endnote w:type="continuationSeparator" w:id="0">
    <w:p w:rsidR="000179F9" w:rsidRDefault="00017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9F9" w:rsidRDefault="000179F9">
      <w:r>
        <w:separator/>
      </w:r>
    </w:p>
  </w:footnote>
  <w:footnote w:type="continuationSeparator" w:id="0">
    <w:p w:rsidR="000179F9" w:rsidRDefault="000179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44631A7"/>
    <w:multiLevelType w:val="hybridMultilevel"/>
    <w:tmpl w:val="517ECA56"/>
    <w:lvl w:ilvl="0" w:tplc="F80EF5B8">
      <w:start w:val="1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50424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77E2AE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1049699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3067307"/>
    <w:multiLevelType w:val="singleLevel"/>
    <w:tmpl w:val="25A23760"/>
    <w:lvl w:ilvl="0">
      <w:start w:val="22"/>
      <w:numFmt w:val="lowerLetter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>
    <w:nsid w:val="19C304D7"/>
    <w:multiLevelType w:val="singleLevel"/>
    <w:tmpl w:val="D9787828"/>
    <w:lvl w:ilvl="0">
      <w:start w:val="1"/>
      <w:numFmt w:val="lowerLetter"/>
      <w:lvlText w:val="(%1)"/>
      <w:lvlJc w:val="left"/>
      <w:pPr>
        <w:tabs>
          <w:tab w:val="num" w:pos="1455"/>
        </w:tabs>
        <w:ind w:left="1455" w:hanging="720"/>
      </w:pPr>
      <w:rPr>
        <w:rFonts w:hint="default"/>
      </w:rPr>
    </w:lvl>
  </w:abstractNum>
  <w:abstractNum w:abstractNumId="7">
    <w:nsid w:val="1F693D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0602A3E"/>
    <w:multiLevelType w:val="hybridMultilevel"/>
    <w:tmpl w:val="AB964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F45D34"/>
    <w:multiLevelType w:val="hybridMultilevel"/>
    <w:tmpl w:val="A0CC2F10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24835CB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70E7633"/>
    <w:multiLevelType w:val="hybridMultilevel"/>
    <w:tmpl w:val="3F28754C"/>
    <w:lvl w:ilvl="0" w:tplc="5CAA4F5C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74B1E30"/>
    <w:multiLevelType w:val="hybridMultilevel"/>
    <w:tmpl w:val="929E5D74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3">
    <w:nsid w:val="2B9C394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2D083EE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2F2F508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FF90D5F"/>
    <w:multiLevelType w:val="singleLevel"/>
    <w:tmpl w:val="8B14E9A0"/>
    <w:lvl w:ilvl="0">
      <w:start w:val="3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7">
    <w:nsid w:val="330C0BA9"/>
    <w:multiLevelType w:val="hybridMultilevel"/>
    <w:tmpl w:val="0F9ACA6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36EB11BC"/>
    <w:multiLevelType w:val="hybridMultilevel"/>
    <w:tmpl w:val="015A2F82"/>
    <w:lvl w:ilvl="0" w:tplc="4E440AA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>
    <w:nsid w:val="37421940"/>
    <w:multiLevelType w:val="hybridMultilevel"/>
    <w:tmpl w:val="BE568B64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3AC00CE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>
    <w:nsid w:val="3B3B070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3C350B93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41837325"/>
    <w:multiLevelType w:val="hybridMultilevel"/>
    <w:tmpl w:val="63F674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1FF06C2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43985EE9"/>
    <w:multiLevelType w:val="hybridMultilevel"/>
    <w:tmpl w:val="B1628A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46DB132C"/>
    <w:multiLevelType w:val="hybridMultilevel"/>
    <w:tmpl w:val="439E855C"/>
    <w:lvl w:ilvl="0" w:tplc="0409000B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7">
    <w:nsid w:val="478A30F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4C785F9C"/>
    <w:multiLevelType w:val="hybridMultilevel"/>
    <w:tmpl w:val="3A08A69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CE81D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D101D77"/>
    <w:multiLevelType w:val="hybridMultilevel"/>
    <w:tmpl w:val="21E6E07A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49C2466"/>
    <w:multiLevelType w:val="hybridMultilevel"/>
    <w:tmpl w:val="445CF9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532C27FC">
      <w:start w:val="1"/>
      <w:numFmt w:val="lowerLetter"/>
      <w:lvlText w:val="%2."/>
      <w:lvlJc w:val="left"/>
      <w:pPr>
        <w:ind w:left="1152" w:hanging="252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2">
    <w:nsid w:val="5A605A35"/>
    <w:multiLevelType w:val="singleLevel"/>
    <w:tmpl w:val="51EE72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33">
    <w:nsid w:val="5DA832D9"/>
    <w:multiLevelType w:val="hybridMultilevel"/>
    <w:tmpl w:val="F2E49EE2"/>
    <w:lvl w:ilvl="0" w:tplc="8AE86CA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EE82F9B"/>
    <w:multiLevelType w:val="singleLevel"/>
    <w:tmpl w:val="16A4E01E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</w:abstractNum>
  <w:abstractNum w:abstractNumId="35">
    <w:nsid w:val="616F329C"/>
    <w:multiLevelType w:val="hybridMultilevel"/>
    <w:tmpl w:val="C8028774"/>
    <w:lvl w:ilvl="0" w:tplc="1DB618CC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D3BC8F6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2B51661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37">
    <w:nsid w:val="63C9722E"/>
    <w:multiLevelType w:val="hybridMultilevel"/>
    <w:tmpl w:val="427013DC"/>
    <w:lvl w:ilvl="0" w:tplc="8AE86CA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67CE2404"/>
    <w:multiLevelType w:val="hybridMultilevel"/>
    <w:tmpl w:val="EDA45C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AFD3D3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0">
    <w:nsid w:val="735608D6"/>
    <w:multiLevelType w:val="hybridMultilevel"/>
    <w:tmpl w:val="501826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3AD7803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2">
    <w:nsid w:val="749D6BD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74CC03B5"/>
    <w:multiLevelType w:val="singleLevel"/>
    <w:tmpl w:val="5382F96A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4">
    <w:nsid w:val="75F91B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76E50D95"/>
    <w:multiLevelType w:val="hybridMultilevel"/>
    <w:tmpl w:val="9BD6E22C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6">
    <w:nsid w:val="76EF0A82"/>
    <w:multiLevelType w:val="hybridMultilevel"/>
    <w:tmpl w:val="7F3EE3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866410B"/>
    <w:multiLevelType w:val="singleLevel"/>
    <w:tmpl w:val="598495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8">
    <w:nsid w:val="7A9B5E7D"/>
    <w:multiLevelType w:val="singleLevel"/>
    <w:tmpl w:val="287A29F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49">
    <w:nsid w:val="7B802170"/>
    <w:multiLevelType w:val="hybridMultilevel"/>
    <w:tmpl w:val="02DE3694"/>
    <w:lvl w:ilvl="0" w:tplc="8AE86CA8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7"/>
  </w:num>
  <w:num w:numId="3">
    <w:abstractNumId w:val="3"/>
  </w:num>
  <w:num w:numId="4">
    <w:abstractNumId w:val="20"/>
  </w:num>
  <w:num w:numId="5">
    <w:abstractNumId w:val="44"/>
  </w:num>
  <w:num w:numId="6">
    <w:abstractNumId w:val="7"/>
  </w:num>
  <w:num w:numId="7">
    <w:abstractNumId w:val="29"/>
  </w:num>
  <w:num w:numId="8">
    <w:abstractNumId w:val="36"/>
  </w:num>
  <w:num w:numId="9">
    <w:abstractNumId w:val="42"/>
  </w:num>
  <w:num w:numId="10">
    <w:abstractNumId w:val="4"/>
  </w:num>
  <w:num w:numId="11">
    <w:abstractNumId w:val="2"/>
  </w:num>
  <w:num w:numId="12">
    <w:abstractNumId w:val="15"/>
  </w:num>
  <w:num w:numId="13">
    <w:abstractNumId w:val="21"/>
  </w:num>
  <w:num w:numId="14">
    <w:abstractNumId w:val="48"/>
  </w:num>
  <w:num w:numId="15">
    <w:abstractNumId w:val="10"/>
  </w:num>
  <w:num w:numId="16">
    <w:abstractNumId w:val="13"/>
  </w:num>
  <w:num w:numId="17">
    <w:abstractNumId w:val="34"/>
  </w:num>
  <w:num w:numId="18">
    <w:abstractNumId w:val="6"/>
  </w:num>
  <w:num w:numId="19">
    <w:abstractNumId w:val="5"/>
  </w:num>
  <w:num w:numId="20">
    <w:abstractNumId w:val="47"/>
  </w:num>
  <w:num w:numId="21">
    <w:abstractNumId w:val="16"/>
  </w:num>
  <w:num w:numId="2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3">
    <w:abstractNumId w:val="41"/>
  </w:num>
  <w:num w:numId="24">
    <w:abstractNumId w:val="39"/>
  </w:num>
  <w:num w:numId="25">
    <w:abstractNumId w:val="24"/>
  </w:num>
  <w:num w:numId="26">
    <w:abstractNumId w:val="22"/>
  </w:num>
  <w:num w:numId="27">
    <w:abstractNumId w:val="43"/>
  </w:num>
  <w:num w:numId="28">
    <w:abstractNumId w:val="32"/>
  </w:num>
  <w:num w:numId="29">
    <w:abstractNumId w:val="28"/>
  </w:num>
  <w:num w:numId="30">
    <w:abstractNumId w:val="40"/>
  </w:num>
  <w:num w:numId="31">
    <w:abstractNumId w:val="38"/>
  </w:num>
  <w:num w:numId="32">
    <w:abstractNumId w:val="12"/>
  </w:num>
  <w:num w:numId="33">
    <w:abstractNumId w:val="26"/>
  </w:num>
  <w:num w:numId="34">
    <w:abstractNumId w:val="35"/>
  </w:num>
  <w:num w:numId="35">
    <w:abstractNumId w:val="49"/>
  </w:num>
  <w:num w:numId="36">
    <w:abstractNumId w:val="45"/>
  </w:num>
  <w:num w:numId="37">
    <w:abstractNumId w:val="19"/>
  </w:num>
  <w:num w:numId="38">
    <w:abstractNumId w:val="37"/>
  </w:num>
  <w:num w:numId="39">
    <w:abstractNumId w:val="9"/>
  </w:num>
  <w:num w:numId="40">
    <w:abstractNumId w:val="30"/>
  </w:num>
  <w:num w:numId="41">
    <w:abstractNumId w:val="23"/>
  </w:num>
  <w:num w:numId="42">
    <w:abstractNumId w:val="8"/>
  </w:num>
  <w:num w:numId="43">
    <w:abstractNumId w:val="1"/>
  </w:num>
  <w:num w:numId="44">
    <w:abstractNumId w:val="11"/>
  </w:num>
  <w:num w:numId="45">
    <w:abstractNumId w:val="46"/>
  </w:num>
  <w:num w:numId="46">
    <w:abstractNumId w:val="25"/>
  </w:num>
  <w:num w:numId="47">
    <w:abstractNumId w:val="33"/>
  </w:num>
  <w:num w:numId="48">
    <w:abstractNumId w:val="17"/>
  </w:num>
  <w:num w:numId="49">
    <w:abstractNumId w:val="18"/>
  </w:num>
  <w:num w:numId="5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D82"/>
    <w:rsid w:val="0000160B"/>
    <w:rsid w:val="000179F9"/>
    <w:rsid w:val="000222A7"/>
    <w:rsid w:val="00025216"/>
    <w:rsid w:val="00025D75"/>
    <w:rsid w:val="0002677F"/>
    <w:rsid w:val="00063A05"/>
    <w:rsid w:val="0006715D"/>
    <w:rsid w:val="0007189E"/>
    <w:rsid w:val="00077720"/>
    <w:rsid w:val="00077E0E"/>
    <w:rsid w:val="00086E84"/>
    <w:rsid w:val="000958AA"/>
    <w:rsid w:val="000A6AE3"/>
    <w:rsid w:val="000B2B68"/>
    <w:rsid w:val="000B3B12"/>
    <w:rsid w:val="000C151C"/>
    <w:rsid w:val="000C1D18"/>
    <w:rsid w:val="000D5F5C"/>
    <w:rsid w:val="00121032"/>
    <w:rsid w:val="00122EE2"/>
    <w:rsid w:val="00127980"/>
    <w:rsid w:val="00146275"/>
    <w:rsid w:val="0015576E"/>
    <w:rsid w:val="00192897"/>
    <w:rsid w:val="001A3317"/>
    <w:rsid w:val="001A65F9"/>
    <w:rsid w:val="001B7CF4"/>
    <w:rsid w:val="001C6D3A"/>
    <w:rsid w:val="001D0B21"/>
    <w:rsid w:val="001D7BEF"/>
    <w:rsid w:val="001E1076"/>
    <w:rsid w:val="00202C06"/>
    <w:rsid w:val="002321B0"/>
    <w:rsid w:val="00246836"/>
    <w:rsid w:val="0026052B"/>
    <w:rsid w:val="00276AAF"/>
    <w:rsid w:val="002801F8"/>
    <w:rsid w:val="002A4C30"/>
    <w:rsid w:val="002B0820"/>
    <w:rsid w:val="002B5578"/>
    <w:rsid w:val="002E18CF"/>
    <w:rsid w:val="002E335E"/>
    <w:rsid w:val="002F1C11"/>
    <w:rsid w:val="00302545"/>
    <w:rsid w:val="00307DB1"/>
    <w:rsid w:val="0031467F"/>
    <w:rsid w:val="003176E1"/>
    <w:rsid w:val="00331821"/>
    <w:rsid w:val="00333D3D"/>
    <w:rsid w:val="003465DC"/>
    <w:rsid w:val="003469CA"/>
    <w:rsid w:val="0036696D"/>
    <w:rsid w:val="0038050B"/>
    <w:rsid w:val="003B15EC"/>
    <w:rsid w:val="003B30B4"/>
    <w:rsid w:val="003C10BD"/>
    <w:rsid w:val="003E145C"/>
    <w:rsid w:val="00405548"/>
    <w:rsid w:val="0041131C"/>
    <w:rsid w:val="004317CB"/>
    <w:rsid w:val="00447EE9"/>
    <w:rsid w:val="0045065A"/>
    <w:rsid w:val="004509AD"/>
    <w:rsid w:val="00475350"/>
    <w:rsid w:val="00481B44"/>
    <w:rsid w:val="00484662"/>
    <w:rsid w:val="004915B5"/>
    <w:rsid w:val="004E146D"/>
    <w:rsid w:val="0050197F"/>
    <w:rsid w:val="005040EC"/>
    <w:rsid w:val="00506486"/>
    <w:rsid w:val="0055694C"/>
    <w:rsid w:val="0056163C"/>
    <w:rsid w:val="00564B5F"/>
    <w:rsid w:val="005721D4"/>
    <w:rsid w:val="00593A36"/>
    <w:rsid w:val="00594CB3"/>
    <w:rsid w:val="005A1198"/>
    <w:rsid w:val="005B15E5"/>
    <w:rsid w:val="005C2C39"/>
    <w:rsid w:val="005D4107"/>
    <w:rsid w:val="005F208A"/>
    <w:rsid w:val="006002DD"/>
    <w:rsid w:val="006013A3"/>
    <w:rsid w:val="006160ED"/>
    <w:rsid w:val="006249F2"/>
    <w:rsid w:val="00626C22"/>
    <w:rsid w:val="00631F1B"/>
    <w:rsid w:val="0063304D"/>
    <w:rsid w:val="00637AF5"/>
    <w:rsid w:val="00640A26"/>
    <w:rsid w:val="00663881"/>
    <w:rsid w:val="00664553"/>
    <w:rsid w:val="006806E1"/>
    <w:rsid w:val="00681CC9"/>
    <w:rsid w:val="0069667B"/>
    <w:rsid w:val="006B173F"/>
    <w:rsid w:val="006B17EF"/>
    <w:rsid w:val="006B297F"/>
    <w:rsid w:val="006F2B8B"/>
    <w:rsid w:val="006F4D0F"/>
    <w:rsid w:val="0070479A"/>
    <w:rsid w:val="00712F1B"/>
    <w:rsid w:val="0071437B"/>
    <w:rsid w:val="007245C9"/>
    <w:rsid w:val="007256B3"/>
    <w:rsid w:val="00742B56"/>
    <w:rsid w:val="00745462"/>
    <w:rsid w:val="00795BAB"/>
    <w:rsid w:val="007A08D1"/>
    <w:rsid w:val="007A2DEE"/>
    <w:rsid w:val="007B007C"/>
    <w:rsid w:val="007D061D"/>
    <w:rsid w:val="007D22EB"/>
    <w:rsid w:val="007E17BD"/>
    <w:rsid w:val="00806984"/>
    <w:rsid w:val="00810485"/>
    <w:rsid w:val="00814772"/>
    <w:rsid w:val="00824D72"/>
    <w:rsid w:val="00825B97"/>
    <w:rsid w:val="0084775D"/>
    <w:rsid w:val="0086463A"/>
    <w:rsid w:val="008754ED"/>
    <w:rsid w:val="00891CA8"/>
    <w:rsid w:val="00892E12"/>
    <w:rsid w:val="00894EA6"/>
    <w:rsid w:val="008B6774"/>
    <w:rsid w:val="008D158E"/>
    <w:rsid w:val="008E3A3A"/>
    <w:rsid w:val="008E5474"/>
    <w:rsid w:val="00906892"/>
    <w:rsid w:val="009252AB"/>
    <w:rsid w:val="00951258"/>
    <w:rsid w:val="00952C5B"/>
    <w:rsid w:val="00955EC4"/>
    <w:rsid w:val="009748B6"/>
    <w:rsid w:val="00975DD8"/>
    <w:rsid w:val="00997DB0"/>
    <w:rsid w:val="009A0B16"/>
    <w:rsid w:val="009E3C50"/>
    <w:rsid w:val="009E57BD"/>
    <w:rsid w:val="009E64CF"/>
    <w:rsid w:val="009F23D6"/>
    <w:rsid w:val="009F7BB3"/>
    <w:rsid w:val="00A337E4"/>
    <w:rsid w:val="00A33C65"/>
    <w:rsid w:val="00A34222"/>
    <w:rsid w:val="00A45D82"/>
    <w:rsid w:val="00A651A7"/>
    <w:rsid w:val="00A67D76"/>
    <w:rsid w:val="00A706B8"/>
    <w:rsid w:val="00AA06A4"/>
    <w:rsid w:val="00AA0858"/>
    <w:rsid w:val="00AA0C27"/>
    <w:rsid w:val="00AB0CA7"/>
    <w:rsid w:val="00AC39FD"/>
    <w:rsid w:val="00AD0977"/>
    <w:rsid w:val="00AE0527"/>
    <w:rsid w:val="00AF3BEA"/>
    <w:rsid w:val="00AF3FF3"/>
    <w:rsid w:val="00B007C5"/>
    <w:rsid w:val="00B01D57"/>
    <w:rsid w:val="00B1652C"/>
    <w:rsid w:val="00B66DA7"/>
    <w:rsid w:val="00B741F6"/>
    <w:rsid w:val="00B92550"/>
    <w:rsid w:val="00BA1653"/>
    <w:rsid w:val="00BA401A"/>
    <w:rsid w:val="00BB624C"/>
    <w:rsid w:val="00BC5531"/>
    <w:rsid w:val="00BC7F42"/>
    <w:rsid w:val="00BF026F"/>
    <w:rsid w:val="00C0290B"/>
    <w:rsid w:val="00C22097"/>
    <w:rsid w:val="00C25FDC"/>
    <w:rsid w:val="00C34A91"/>
    <w:rsid w:val="00C377BC"/>
    <w:rsid w:val="00C5104E"/>
    <w:rsid w:val="00C60E61"/>
    <w:rsid w:val="00C668CC"/>
    <w:rsid w:val="00C67C8A"/>
    <w:rsid w:val="00C67F83"/>
    <w:rsid w:val="00C941E2"/>
    <w:rsid w:val="00CA0B15"/>
    <w:rsid w:val="00CA5F75"/>
    <w:rsid w:val="00CA6CAE"/>
    <w:rsid w:val="00CB7253"/>
    <w:rsid w:val="00CB7557"/>
    <w:rsid w:val="00CD07B4"/>
    <w:rsid w:val="00CD667A"/>
    <w:rsid w:val="00CE23C1"/>
    <w:rsid w:val="00CE326C"/>
    <w:rsid w:val="00D0011E"/>
    <w:rsid w:val="00D03E8A"/>
    <w:rsid w:val="00D42EFE"/>
    <w:rsid w:val="00D44900"/>
    <w:rsid w:val="00D5531A"/>
    <w:rsid w:val="00D678F8"/>
    <w:rsid w:val="00DB1DB4"/>
    <w:rsid w:val="00DB7DBD"/>
    <w:rsid w:val="00DD494D"/>
    <w:rsid w:val="00DE6186"/>
    <w:rsid w:val="00E0137B"/>
    <w:rsid w:val="00E065DA"/>
    <w:rsid w:val="00E3164F"/>
    <w:rsid w:val="00E437C5"/>
    <w:rsid w:val="00E75DB0"/>
    <w:rsid w:val="00E80456"/>
    <w:rsid w:val="00E956F3"/>
    <w:rsid w:val="00EC7EFD"/>
    <w:rsid w:val="00ED36D8"/>
    <w:rsid w:val="00EE31AE"/>
    <w:rsid w:val="00EE6086"/>
    <w:rsid w:val="00EF4071"/>
    <w:rsid w:val="00EF765F"/>
    <w:rsid w:val="00F028DE"/>
    <w:rsid w:val="00F0585C"/>
    <w:rsid w:val="00F107B7"/>
    <w:rsid w:val="00F11F57"/>
    <w:rsid w:val="00F14BA8"/>
    <w:rsid w:val="00F15EF8"/>
    <w:rsid w:val="00F36E53"/>
    <w:rsid w:val="00F4316C"/>
    <w:rsid w:val="00F46176"/>
    <w:rsid w:val="00F5149E"/>
    <w:rsid w:val="00F56A74"/>
    <w:rsid w:val="00F57AD9"/>
    <w:rsid w:val="00F62D1E"/>
    <w:rsid w:val="00F832E5"/>
    <w:rsid w:val="00F870A3"/>
    <w:rsid w:val="00F91762"/>
    <w:rsid w:val="00F9405B"/>
    <w:rsid w:val="00FA0FE2"/>
    <w:rsid w:val="00FA34E8"/>
    <w:rsid w:val="00FA7D4E"/>
    <w:rsid w:val="00FD549D"/>
    <w:rsid w:val="00FD6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5D82"/>
    <w:pPr>
      <w:widowControl w:val="0"/>
    </w:pPr>
    <w:rPr>
      <w:rFonts w:ascii="Courier" w:eastAsia="Times New Roman" w:hAnsi="Courier"/>
      <w:snapToGrid w:val="0"/>
      <w:sz w:val="24"/>
      <w:szCs w:val="24"/>
    </w:rPr>
  </w:style>
  <w:style w:type="paragraph" w:styleId="Heading1">
    <w:name w:val="heading 1"/>
    <w:basedOn w:val="Normal"/>
    <w:next w:val="Normal"/>
    <w:qFormat/>
    <w:rsid w:val="00A45D82"/>
    <w:pPr>
      <w:keepNext/>
      <w:tabs>
        <w:tab w:val="left" w:pos="-1440"/>
        <w:tab w:val="left" w:pos="-720"/>
        <w:tab w:val="left" w:pos="450"/>
        <w:tab w:val="left" w:pos="720"/>
        <w:tab w:val="left" w:pos="90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Courier New" w:hAnsi="Courier New" w:cs="Courier New"/>
      <w:b/>
      <w:bCs/>
    </w:rPr>
  </w:style>
  <w:style w:type="paragraph" w:styleId="Heading6">
    <w:name w:val="heading 6"/>
    <w:basedOn w:val="Normal"/>
    <w:next w:val="Normal"/>
    <w:qFormat/>
    <w:rsid w:val="00A45D82"/>
    <w:pPr>
      <w:keepNext/>
      <w:jc w:val="right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A45D82"/>
    <w:pPr>
      <w:keepNext/>
      <w:outlineLvl w:val="6"/>
    </w:pPr>
    <w:rPr>
      <w:rFonts w:ascii="Times New Roman" w:hAnsi="Times New Roman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A45D82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A45D82"/>
    <w:pPr>
      <w:suppressAutoHyphens/>
      <w:jc w:val="center"/>
    </w:pPr>
    <w:rPr>
      <w:b/>
      <w:bCs/>
    </w:rPr>
  </w:style>
  <w:style w:type="paragraph" w:styleId="BodyText">
    <w:name w:val="Body Text"/>
    <w:basedOn w:val="Normal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</w:rPr>
  </w:style>
  <w:style w:type="paragraph" w:styleId="BodyText2">
    <w:name w:val="Body Text 2"/>
    <w:basedOn w:val="Normal"/>
    <w:link w:val="BodyText2Char"/>
    <w:rsid w:val="00A45D82"/>
    <w:pPr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</w:pPr>
    <w:rPr>
      <w:b/>
      <w:bCs/>
      <w:i/>
      <w:iCs/>
    </w:rPr>
  </w:style>
  <w:style w:type="paragraph" w:styleId="BodyText3">
    <w:name w:val="Body Text 3"/>
    <w:basedOn w:val="Normal"/>
    <w:rsid w:val="00A45D82"/>
    <w:rPr>
      <w:i/>
      <w:iCs/>
    </w:rPr>
  </w:style>
  <w:style w:type="character" w:styleId="Hyperlink">
    <w:name w:val="Hyperlink"/>
    <w:rsid w:val="00A45D82"/>
    <w:rPr>
      <w:color w:val="0000FF"/>
      <w:u w:val="single"/>
    </w:rPr>
  </w:style>
  <w:style w:type="paragraph" w:styleId="Footer">
    <w:name w:val="footer"/>
    <w:basedOn w:val="Normal"/>
    <w:rsid w:val="00A45D8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D82"/>
  </w:style>
  <w:style w:type="character" w:styleId="FollowedHyperlink">
    <w:name w:val="FollowedHyperlink"/>
    <w:rsid w:val="005D4107"/>
    <w:rPr>
      <w:color w:val="606420"/>
      <w:u w:val="single"/>
    </w:rPr>
  </w:style>
  <w:style w:type="table" w:styleId="TableGrid">
    <w:name w:val="Table Grid"/>
    <w:basedOn w:val="TableNormal"/>
    <w:rsid w:val="00C34A9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AD0977"/>
    <w:pPr>
      <w:ind w:left="720"/>
      <w:contextualSpacing/>
    </w:pPr>
  </w:style>
  <w:style w:type="paragraph" w:styleId="NoSpacing">
    <w:name w:val="No Spacing"/>
    <w:qFormat/>
    <w:rsid w:val="00063A05"/>
    <w:rPr>
      <w:rFonts w:eastAsia="Times New Roman"/>
      <w:sz w:val="24"/>
      <w:szCs w:val="24"/>
      <w:lang w:bidi="en-US"/>
    </w:rPr>
  </w:style>
  <w:style w:type="character" w:customStyle="1" w:styleId="BodyText2Char">
    <w:name w:val="Body Text 2 Char"/>
    <w:link w:val="BodyText2"/>
    <w:rsid w:val="0041131C"/>
    <w:rPr>
      <w:rFonts w:ascii="Courier" w:hAnsi="Courier"/>
      <w:b/>
      <w:bCs/>
      <w:i/>
      <w:iCs/>
      <w:snapToGrid w:val="0"/>
      <w:sz w:val="24"/>
      <w:szCs w:val="24"/>
      <w:lang w:val="en-US" w:eastAsia="en-US" w:bidi="ar-SA"/>
    </w:rPr>
  </w:style>
  <w:style w:type="character" w:customStyle="1" w:styleId="HeaderChar">
    <w:name w:val="Header Char"/>
    <w:link w:val="Header"/>
    <w:rsid w:val="0041131C"/>
    <w:rPr>
      <w:rFonts w:ascii="Courier" w:hAnsi="Courier"/>
      <w:snapToGrid w:val="0"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2B0820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2B0820"/>
    <w:rPr>
      <w:sz w:val="16"/>
      <w:szCs w:val="16"/>
    </w:rPr>
  </w:style>
  <w:style w:type="paragraph" w:styleId="CommentText">
    <w:name w:val="annotation text"/>
    <w:basedOn w:val="Normal"/>
    <w:semiHidden/>
    <w:rsid w:val="002B082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2B082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5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94722-AF5A-45CD-B565-452144447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461</TotalTime>
  <Pages>5</Pages>
  <Words>1492</Words>
  <Characters>8361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of Information Collection and Form Number(s)</vt:lpstr>
    </vt:vector>
  </TitlesOfParts>
  <Company>Social Security Administration</Company>
  <LinksUpToDate>false</LinksUpToDate>
  <CharactersWithSpaces>9834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Information Collection and Form Number(s)</dc:title>
  <dc:creator>Naomi</dc:creator>
  <cp:lastModifiedBy>889123</cp:lastModifiedBy>
  <cp:revision>8</cp:revision>
  <dcterms:created xsi:type="dcterms:W3CDTF">2015-10-23T18:35:00Z</dcterms:created>
  <dcterms:modified xsi:type="dcterms:W3CDTF">2015-12-22T20:01:00Z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