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A95" w:rsidRDefault="00CC4A95">
      <w:pPr>
        <w:tabs>
          <w:tab w:val="center" w:pos="4680"/>
        </w:tabs>
        <w:ind w:right="-720"/>
        <w:jc w:val="center"/>
        <w:rPr>
          <w:b/>
          <w:sz w:val="24"/>
          <w:szCs w:val="24"/>
        </w:rPr>
      </w:pPr>
      <w:r>
        <w:rPr>
          <w:b/>
          <w:sz w:val="24"/>
          <w:szCs w:val="24"/>
        </w:rPr>
        <w:t>Supporting Statement for Notice Regarding</w:t>
      </w:r>
    </w:p>
    <w:p w:rsidR="00CC4A95" w:rsidRDefault="00CC4A95">
      <w:pPr>
        <w:tabs>
          <w:tab w:val="center" w:pos="4680"/>
        </w:tabs>
        <w:ind w:right="-720"/>
        <w:jc w:val="center"/>
        <w:rPr>
          <w:b/>
          <w:sz w:val="24"/>
          <w:szCs w:val="24"/>
        </w:rPr>
      </w:pPr>
      <w:r>
        <w:rPr>
          <w:b/>
          <w:sz w:val="24"/>
          <w:szCs w:val="24"/>
        </w:rPr>
        <w:t xml:space="preserve"> Substitution of Party Upon Death of Claimant</w:t>
      </w:r>
      <w:r w:rsidR="00AC41E9">
        <w:rPr>
          <w:b/>
          <w:sz w:val="24"/>
          <w:szCs w:val="24"/>
        </w:rPr>
        <w:t xml:space="preserve"> – </w:t>
      </w:r>
      <w:r>
        <w:rPr>
          <w:b/>
          <w:sz w:val="24"/>
          <w:szCs w:val="24"/>
        </w:rPr>
        <w:t>HA-539</w:t>
      </w:r>
    </w:p>
    <w:p w:rsidR="004B489B" w:rsidRDefault="00CC4A95" w:rsidP="000C495A">
      <w:pPr>
        <w:tabs>
          <w:tab w:val="center" w:pos="4680"/>
        </w:tabs>
        <w:ind w:right="-720"/>
        <w:jc w:val="center"/>
        <w:rPr>
          <w:b/>
          <w:iCs/>
          <w:sz w:val="24"/>
          <w:szCs w:val="24"/>
        </w:rPr>
      </w:pPr>
      <w:r>
        <w:rPr>
          <w:b/>
          <w:iCs/>
          <w:sz w:val="24"/>
          <w:szCs w:val="24"/>
        </w:rPr>
        <w:t>20 CFR 404.957(c</w:t>
      </w:r>
      <w:proofErr w:type="gramStart"/>
      <w:r>
        <w:rPr>
          <w:b/>
          <w:iCs/>
          <w:sz w:val="24"/>
          <w:szCs w:val="24"/>
        </w:rPr>
        <w:t>)(</w:t>
      </w:r>
      <w:proofErr w:type="gramEnd"/>
      <w:r>
        <w:rPr>
          <w:b/>
          <w:iCs/>
          <w:sz w:val="24"/>
          <w:szCs w:val="24"/>
        </w:rPr>
        <w:t>4) and 416.1457(c)(4)</w:t>
      </w:r>
    </w:p>
    <w:p w:rsidR="006061F2" w:rsidRDefault="00CC4A95" w:rsidP="000C495A">
      <w:pPr>
        <w:tabs>
          <w:tab w:val="center" w:pos="4680"/>
        </w:tabs>
        <w:ind w:right="-720"/>
        <w:jc w:val="center"/>
        <w:rPr>
          <w:b/>
          <w:sz w:val="24"/>
          <w:szCs w:val="24"/>
        </w:rPr>
      </w:pPr>
      <w:r>
        <w:rPr>
          <w:b/>
          <w:sz w:val="24"/>
          <w:szCs w:val="24"/>
        </w:rPr>
        <w:t>OMB No. 0960-0288</w:t>
      </w:r>
    </w:p>
    <w:p w:rsidR="000C495A" w:rsidRDefault="000C495A" w:rsidP="000C495A">
      <w:pPr>
        <w:tabs>
          <w:tab w:val="center" w:pos="4680"/>
        </w:tabs>
        <w:ind w:right="-720"/>
        <w:jc w:val="center"/>
        <w:rPr>
          <w:b/>
          <w:sz w:val="24"/>
          <w:szCs w:val="24"/>
        </w:rPr>
      </w:pPr>
    </w:p>
    <w:p w:rsidR="000C495A" w:rsidRPr="000C495A" w:rsidRDefault="000C495A" w:rsidP="000C495A">
      <w:pPr>
        <w:tabs>
          <w:tab w:val="center" w:pos="4680"/>
        </w:tabs>
        <w:ind w:right="-720"/>
        <w:jc w:val="center"/>
        <w:rPr>
          <w:b/>
          <w:sz w:val="24"/>
          <w:szCs w:val="24"/>
        </w:rPr>
      </w:pPr>
    </w:p>
    <w:p w:rsidR="00CC4A95" w:rsidRDefault="00CC4A95">
      <w:pPr>
        <w:ind w:left="720" w:hanging="720"/>
        <w:rPr>
          <w:b/>
          <w:sz w:val="24"/>
          <w:szCs w:val="24"/>
          <w:u w:val="single"/>
        </w:rPr>
      </w:pPr>
      <w:r>
        <w:rPr>
          <w:b/>
          <w:sz w:val="24"/>
          <w:szCs w:val="24"/>
        </w:rPr>
        <w:t>A.</w:t>
      </w:r>
      <w:r>
        <w:rPr>
          <w:b/>
          <w:sz w:val="24"/>
          <w:szCs w:val="24"/>
        </w:rPr>
        <w:tab/>
      </w:r>
      <w:r>
        <w:rPr>
          <w:b/>
          <w:sz w:val="24"/>
          <w:szCs w:val="24"/>
          <w:u w:val="single"/>
        </w:rPr>
        <w:t>Justification</w:t>
      </w:r>
    </w:p>
    <w:p w:rsidR="00CC4A95" w:rsidRDefault="00CC4A95">
      <w:pPr>
        <w:tabs>
          <w:tab w:val="left" w:pos="-720"/>
        </w:tabs>
        <w:rPr>
          <w:sz w:val="24"/>
          <w:szCs w:val="24"/>
        </w:rPr>
      </w:pPr>
    </w:p>
    <w:p w:rsidR="00CF7BFE" w:rsidRDefault="00CC4A95" w:rsidP="0062677B">
      <w:pPr>
        <w:numPr>
          <w:ilvl w:val="0"/>
          <w:numId w:val="1"/>
        </w:numPr>
        <w:tabs>
          <w:tab w:val="left" w:pos="1440"/>
        </w:tabs>
        <w:rPr>
          <w:rFonts w:cs="Garamond"/>
          <w:b/>
          <w:sz w:val="24"/>
          <w:szCs w:val="24"/>
        </w:rPr>
      </w:pPr>
      <w:r>
        <w:rPr>
          <w:rFonts w:cs="Garamond"/>
          <w:b/>
          <w:sz w:val="24"/>
          <w:szCs w:val="24"/>
        </w:rPr>
        <w:t>Introduction/Authoring Laws and Regulations</w:t>
      </w:r>
    </w:p>
    <w:p w:rsidR="00CC4A95" w:rsidRPr="00CF7BFE" w:rsidRDefault="0084332A" w:rsidP="00CF7BFE">
      <w:pPr>
        <w:tabs>
          <w:tab w:val="left" w:pos="1440"/>
        </w:tabs>
        <w:ind w:left="1440"/>
        <w:rPr>
          <w:rFonts w:cs="Garamond"/>
          <w:b/>
          <w:sz w:val="24"/>
          <w:szCs w:val="24"/>
        </w:rPr>
      </w:pPr>
      <w:r w:rsidRPr="004B489B">
        <w:rPr>
          <w:sz w:val="24"/>
          <w:szCs w:val="24"/>
        </w:rPr>
        <w:t>Section</w:t>
      </w:r>
      <w:r w:rsidR="0062677B" w:rsidRPr="004B489B">
        <w:rPr>
          <w:sz w:val="24"/>
          <w:szCs w:val="24"/>
        </w:rPr>
        <w:t>s</w:t>
      </w:r>
      <w:r w:rsidR="00CC4A95" w:rsidRPr="00CF7BFE">
        <w:rPr>
          <w:i/>
          <w:sz w:val="24"/>
          <w:szCs w:val="24"/>
        </w:rPr>
        <w:t xml:space="preserve"> 20 </w:t>
      </w:r>
      <w:r w:rsidR="00CC4A95" w:rsidRPr="00CF7BFE">
        <w:rPr>
          <w:sz w:val="24"/>
          <w:szCs w:val="24"/>
        </w:rPr>
        <w:t>CFR</w:t>
      </w:r>
      <w:r w:rsidR="00CC4A95" w:rsidRPr="00CF7BFE">
        <w:rPr>
          <w:i/>
          <w:sz w:val="24"/>
          <w:szCs w:val="24"/>
        </w:rPr>
        <w:t xml:space="preserve"> 404.957(c)(4) </w:t>
      </w:r>
      <w:r w:rsidR="00CC4A95" w:rsidRPr="00CF7BFE">
        <w:rPr>
          <w:sz w:val="24"/>
          <w:szCs w:val="24"/>
        </w:rPr>
        <w:t>and</w:t>
      </w:r>
      <w:r w:rsidR="00CC4A95" w:rsidRPr="00CF7BFE">
        <w:rPr>
          <w:i/>
          <w:sz w:val="24"/>
          <w:szCs w:val="24"/>
        </w:rPr>
        <w:t xml:space="preserve"> 416.1457(c)(4)</w:t>
      </w:r>
      <w:r w:rsidR="00CC4A95" w:rsidRPr="00CF7BFE">
        <w:rPr>
          <w:sz w:val="24"/>
          <w:szCs w:val="24"/>
        </w:rPr>
        <w:t xml:space="preserve"> of the </w:t>
      </w:r>
      <w:r w:rsidR="00CF7BFE" w:rsidRPr="004B489B">
        <w:rPr>
          <w:i/>
          <w:sz w:val="24"/>
          <w:szCs w:val="24"/>
        </w:rPr>
        <w:t xml:space="preserve">Code of Federal Regulations </w:t>
      </w:r>
      <w:r w:rsidR="004B489B">
        <w:rPr>
          <w:sz w:val="24"/>
          <w:szCs w:val="24"/>
        </w:rPr>
        <w:t>provide that an administrative law j</w:t>
      </w:r>
      <w:r w:rsidR="00CC4A95" w:rsidRPr="00CF7BFE">
        <w:rPr>
          <w:sz w:val="24"/>
          <w:szCs w:val="24"/>
        </w:rPr>
        <w:t>udge (ALJ) may dismiss a request for hearing on a pending claim of a deceased individu</w:t>
      </w:r>
      <w:r w:rsidRPr="00CF7BFE">
        <w:rPr>
          <w:sz w:val="24"/>
          <w:szCs w:val="24"/>
        </w:rPr>
        <w:t xml:space="preserve">al, </w:t>
      </w:r>
      <w:r w:rsidR="00CC4A95" w:rsidRPr="00CF7BFE">
        <w:rPr>
          <w:sz w:val="24"/>
          <w:szCs w:val="24"/>
        </w:rPr>
        <w:t xml:space="preserve">unless </w:t>
      </w:r>
      <w:r w:rsidR="000A05C6" w:rsidRPr="00CF7BFE">
        <w:rPr>
          <w:sz w:val="24"/>
          <w:szCs w:val="24"/>
        </w:rPr>
        <w:t xml:space="preserve">other </w:t>
      </w:r>
      <w:r w:rsidR="00CC4A95" w:rsidRPr="00CF7BFE">
        <w:rPr>
          <w:sz w:val="24"/>
          <w:szCs w:val="24"/>
        </w:rPr>
        <w:t>individual</w:t>
      </w:r>
      <w:r w:rsidR="000A05C6" w:rsidRPr="00CF7BFE">
        <w:rPr>
          <w:sz w:val="24"/>
          <w:szCs w:val="24"/>
        </w:rPr>
        <w:t>s</w:t>
      </w:r>
      <w:r w:rsidRPr="00CF7BFE">
        <w:rPr>
          <w:sz w:val="24"/>
          <w:szCs w:val="24"/>
        </w:rPr>
        <w:t xml:space="preserve"> make</w:t>
      </w:r>
      <w:r w:rsidR="004B489B">
        <w:rPr>
          <w:sz w:val="24"/>
          <w:szCs w:val="24"/>
        </w:rPr>
        <w:t xml:space="preserve"> a written request showing </w:t>
      </w:r>
      <w:r w:rsidR="000A05C6" w:rsidRPr="00CF7BFE">
        <w:rPr>
          <w:sz w:val="24"/>
          <w:szCs w:val="24"/>
        </w:rPr>
        <w:t xml:space="preserve">they </w:t>
      </w:r>
      <w:r w:rsidR="00CC4A95" w:rsidRPr="00CF7BFE">
        <w:rPr>
          <w:sz w:val="24"/>
          <w:szCs w:val="24"/>
        </w:rPr>
        <w:t>may be adversely affected by dismissal of the request</w:t>
      </w:r>
      <w:r w:rsidR="00C748A5" w:rsidRPr="00CF7BFE">
        <w:rPr>
          <w:sz w:val="24"/>
          <w:szCs w:val="24"/>
        </w:rPr>
        <w:t xml:space="preserve">.  </w:t>
      </w:r>
      <w:r w:rsidR="00CC4A95" w:rsidRPr="004B489B">
        <w:rPr>
          <w:sz w:val="24"/>
          <w:szCs w:val="24"/>
        </w:rPr>
        <w:t xml:space="preserve">Sections </w:t>
      </w:r>
      <w:r w:rsidR="00CC4A95" w:rsidRPr="00CF7BFE">
        <w:rPr>
          <w:i/>
          <w:sz w:val="24"/>
          <w:szCs w:val="24"/>
        </w:rPr>
        <w:t xml:space="preserve">205(a) </w:t>
      </w:r>
      <w:r w:rsidR="00CC4A95" w:rsidRPr="00CF7BFE">
        <w:rPr>
          <w:sz w:val="24"/>
          <w:szCs w:val="24"/>
        </w:rPr>
        <w:t>and</w:t>
      </w:r>
      <w:r w:rsidR="00CC4A95" w:rsidRPr="00CF7BFE">
        <w:rPr>
          <w:i/>
          <w:sz w:val="24"/>
          <w:szCs w:val="24"/>
        </w:rPr>
        <w:t xml:space="preserve"> 1631(e) </w:t>
      </w:r>
      <w:r w:rsidR="00CC4A95" w:rsidRPr="00CF7BFE">
        <w:rPr>
          <w:sz w:val="24"/>
          <w:szCs w:val="24"/>
        </w:rPr>
        <w:t>of the</w:t>
      </w:r>
      <w:r w:rsidR="004B489B">
        <w:rPr>
          <w:i/>
          <w:sz w:val="24"/>
          <w:szCs w:val="24"/>
        </w:rPr>
        <w:t xml:space="preserve"> Social Security Act (</w:t>
      </w:r>
      <w:r w:rsidR="00CC4A95" w:rsidRPr="00CF7BFE">
        <w:rPr>
          <w:i/>
          <w:sz w:val="24"/>
          <w:szCs w:val="24"/>
        </w:rPr>
        <w:t>Act</w:t>
      </w:r>
      <w:r w:rsidR="004B489B" w:rsidRPr="00CF7BFE">
        <w:rPr>
          <w:i/>
          <w:sz w:val="24"/>
          <w:szCs w:val="24"/>
        </w:rPr>
        <w:t>)</w:t>
      </w:r>
      <w:r w:rsidR="00CF7BFE">
        <w:rPr>
          <w:i/>
          <w:sz w:val="24"/>
          <w:szCs w:val="24"/>
        </w:rPr>
        <w:t xml:space="preserve"> </w:t>
      </w:r>
      <w:r w:rsidR="0062677B" w:rsidRPr="00CF7BFE">
        <w:rPr>
          <w:sz w:val="24"/>
          <w:szCs w:val="24"/>
        </w:rPr>
        <w:t>provide</w:t>
      </w:r>
      <w:r w:rsidR="00CC4A95" w:rsidRPr="00CF7BFE">
        <w:rPr>
          <w:sz w:val="24"/>
          <w:szCs w:val="24"/>
        </w:rPr>
        <w:t xml:space="preserve"> </w:t>
      </w:r>
      <w:r w:rsidR="004B489B">
        <w:rPr>
          <w:sz w:val="24"/>
          <w:szCs w:val="24"/>
        </w:rPr>
        <w:t xml:space="preserve">the </w:t>
      </w:r>
      <w:r w:rsidR="00CC4A95" w:rsidRPr="00CF7BFE">
        <w:rPr>
          <w:sz w:val="24"/>
          <w:szCs w:val="24"/>
        </w:rPr>
        <w:t>authority for SSA to require submissio</w:t>
      </w:r>
      <w:r w:rsidR="004B489B">
        <w:rPr>
          <w:sz w:val="24"/>
          <w:szCs w:val="24"/>
        </w:rPr>
        <w:t xml:space="preserve">n of this information before we proceed </w:t>
      </w:r>
      <w:r w:rsidR="00CC4A95" w:rsidRPr="00CF7BFE">
        <w:rPr>
          <w:sz w:val="24"/>
          <w:szCs w:val="24"/>
        </w:rPr>
        <w:t>with the claim.</w:t>
      </w:r>
    </w:p>
    <w:p w:rsidR="00CC4A95" w:rsidRDefault="00CC4A95">
      <w:pPr>
        <w:tabs>
          <w:tab w:val="left" w:pos="720"/>
          <w:tab w:val="left" w:pos="1440"/>
          <w:tab w:val="left" w:pos="2160"/>
        </w:tabs>
        <w:ind w:left="1440"/>
        <w:rPr>
          <w:sz w:val="24"/>
          <w:szCs w:val="24"/>
        </w:rPr>
      </w:pPr>
    </w:p>
    <w:p w:rsidR="00CC4A95" w:rsidRDefault="00CC4A95">
      <w:pPr>
        <w:numPr>
          <w:ilvl w:val="0"/>
          <w:numId w:val="1"/>
        </w:numPr>
        <w:tabs>
          <w:tab w:val="left" w:pos="1440"/>
        </w:tabs>
        <w:rPr>
          <w:b/>
          <w:spacing w:val="-2"/>
          <w:sz w:val="24"/>
          <w:szCs w:val="24"/>
        </w:rPr>
      </w:pPr>
      <w:r>
        <w:rPr>
          <w:b/>
          <w:spacing w:val="-2"/>
          <w:sz w:val="24"/>
          <w:szCs w:val="24"/>
        </w:rPr>
        <w:t>Description of Collection</w:t>
      </w:r>
    </w:p>
    <w:p w:rsidR="00D6450A" w:rsidRDefault="00E60B62">
      <w:pPr>
        <w:tabs>
          <w:tab w:val="left" w:pos="720"/>
          <w:tab w:val="left" w:pos="1440"/>
          <w:tab w:val="left" w:pos="2160"/>
        </w:tabs>
        <w:ind w:left="1440"/>
        <w:rPr>
          <w:sz w:val="24"/>
          <w:szCs w:val="24"/>
        </w:rPr>
      </w:pPr>
      <w:r>
        <w:rPr>
          <w:sz w:val="24"/>
          <w:szCs w:val="24"/>
        </w:rPr>
        <w:t xml:space="preserve">An </w:t>
      </w:r>
      <w:r w:rsidR="000A05C6">
        <w:rPr>
          <w:sz w:val="24"/>
          <w:szCs w:val="24"/>
        </w:rPr>
        <w:t>ALJ m</w:t>
      </w:r>
      <w:r>
        <w:rPr>
          <w:sz w:val="24"/>
          <w:szCs w:val="24"/>
        </w:rPr>
        <w:t>ay dismiss a request for a hearing on a pending claim of a deceased individual for Social Security benefits or Supplemental Security Income (SSI) payments</w:t>
      </w:r>
      <w:r w:rsidR="00C748A5">
        <w:rPr>
          <w:sz w:val="24"/>
          <w:szCs w:val="24"/>
        </w:rPr>
        <w:t xml:space="preserve">.  </w:t>
      </w:r>
      <w:r w:rsidR="000C495A">
        <w:rPr>
          <w:sz w:val="24"/>
          <w:szCs w:val="24"/>
        </w:rPr>
        <w:t>Individuals who believe the dismissal may adversely affect them,</w:t>
      </w:r>
      <w:r>
        <w:rPr>
          <w:sz w:val="24"/>
          <w:szCs w:val="24"/>
        </w:rPr>
        <w:t xml:space="preserve"> may ask to be substitute part</w:t>
      </w:r>
      <w:r w:rsidR="00CE1DC8">
        <w:rPr>
          <w:sz w:val="24"/>
          <w:szCs w:val="24"/>
        </w:rPr>
        <w:t>ies</w:t>
      </w:r>
      <w:r>
        <w:rPr>
          <w:sz w:val="24"/>
          <w:szCs w:val="24"/>
        </w:rPr>
        <w:t xml:space="preserve"> for the deceased claimant by completing Form </w:t>
      </w:r>
    </w:p>
    <w:p w:rsidR="00CC4A95" w:rsidRDefault="00E60B62">
      <w:pPr>
        <w:tabs>
          <w:tab w:val="left" w:pos="720"/>
          <w:tab w:val="left" w:pos="1440"/>
          <w:tab w:val="left" w:pos="2160"/>
        </w:tabs>
        <w:ind w:left="1440"/>
        <w:rPr>
          <w:sz w:val="24"/>
          <w:szCs w:val="24"/>
        </w:rPr>
      </w:pPr>
      <w:r>
        <w:rPr>
          <w:sz w:val="24"/>
          <w:szCs w:val="24"/>
        </w:rPr>
        <w:t xml:space="preserve">HA-539.  The ALJs and the </w:t>
      </w:r>
      <w:proofErr w:type="gramStart"/>
      <w:r>
        <w:rPr>
          <w:sz w:val="24"/>
          <w:szCs w:val="24"/>
        </w:rPr>
        <w:t>hearing office support staff</w:t>
      </w:r>
      <w:proofErr w:type="gramEnd"/>
      <w:r>
        <w:rPr>
          <w:sz w:val="24"/>
          <w:szCs w:val="24"/>
        </w:rPr>
        <w:t xml:space="preserve"> use this form to</w:t>
      </w:r>
      <w:r w:rsidR="000C495A">
        <w:rPr>
          <w:sz w:val="24"/>
          <w:szCs w:val="24"/>
        </w:rPr>
        <w:t>:  (1) </w:t>
      </w:r>
      <w:r>
        <w:rPr>
          <w:sz w:val="24"/>
          <w:szCs w:val="24"/>
        </w:rPr>
        <w:t>maintain a written record of the request; (2) establish the relationship of the requester to the deceased claimant; (3) determine the substituted individual’s wishes regarding an oral hearing or decision on the record; and (4) admit the data into the claimant’s official record as an exhibit.  The respondents are individuals requesting to be substitute part</w:t>
      </w:r>
      <w:r w:rsidR="00CE1DC8">
        <w:rPr>
          <w:sz w:val="24"/>
          <w:szCs w:val="24"/>
        </w:rPr>
        <w:t>ies</w:t>
      </w:r>
      <w:r>
        <w:rPr>
          <w:sz w:val="24"/>
          <w:szCs w:val="24"/>
        </w:rPr>
        <w:t xml:space="preserve"> for a deceased claimant.</w:t>
      </w:r>
    </w:p>
    <w:p w:rsidR="00CC4A95" w:rsidRDefault="00CC4A95">
      <w:pPr>
        <w:tabs>
          <w:tab w:val="left" w:pos="720"/>
          <w:tab w:val="left" w:pos="1440"/>
          <w:tab w:val="left" w:pos="2160"/>
        </w:tabs>
        <w:ind w:left="1440"/>
        <w:rPr>
          <w:sz w:val="24"/>
          <w:szCs w:val="24"/>
        </w:rPr>
      </w:pPr>
    </w:p>
    <w:p w:rsidR="00CC4A95" w:rsidRDefault="00CC4A95">
      <w:pPr>
        <w:numPr>
          <w:ilvl w:val="0"/>
          <w:numId w:val="1"/>
        </w:numPr>
        <w:tabs>
          <w:tab w:val="left" w:pos="1440"/>
        </w:tabs>
        <w:rPr>
          <w:b/>
          <w:spacing w:val="-4"/>
          <w:sz w:val="24"/>
          <w:szCs w:val="24"/>
        </w:rPr>
      </w:pPr>
      <w:r>
        <w:rPr>
          <w:b/>
          <w:spacing w:val="-4"/>
          <w:sz w:val="24"/>
          <w:szCs w:val="24"/>
        </w:rPr>
        <w:t>Use of Information Technology to Collect the Information</w:t>
      </w:r>
    </w:p>
    <w:p w:rsidR="00A46CDD" w:rsidRPr="00A46CDD" w:rsidRDefault="00A46CDD">
      <w:pPr>
        <w:tabs>
          <w:tab w:val="left" w:pos="720"/>
          <w:tab w:val="left" w:pos="1440"/>
          <w:tab w:val="left" w:pos="2160"/>
        </w:tabs>
        <w:ind w:left="1440"/>
        <w:rPr>
          <w:sz w:val="24"/>
          <w:szCs w:val="24"/>
        </w:rPr>
      </w:pPr>
      <w:r>
        <w:rPr>
          <w:sz w:val="24"/>
          <w:szCs w:val="24"/>
        </w:rPr>
        <w:t xml:space="preserve">Form </w:t>
      </w:r>
      <w:r w:rsidR="00CC4A95">
        <w:rPr>
          <w:sz w:val="24"/>
          <w:szCs w:val="24"/>
        </w:rPr>
        <w:t>HA-539 is available as a print-only PDF on the SSA’s website</w:t>
      </w:r>
      <w:r w:rsidR="004B489B">
        <w:rPr>
          <w:sz w:val="24"/>
          <w:szCs w:val="24"/>
        </w:rPr>
        <w:t xml:space="preserve">.  </w:t>
      </w:r>
      <w:r w:rsidRPr="00A46CDD">
        <w:rPr>
          <w:sz w:val="24"/>
          <w:szCs w:val="24"/>
        </w:rPr>
        <w:t>SSA did not c</w:t>
      </w:r>
      <w:r w:rsidR="004B489B">
        <w:rPr>
          <w:sz w:val="24"/>
          <w:szCs w:val="24"/>
        </w:rPr>
        <w:t>reate an electronic version of F</w:t>
      </w:r>
      <w:r w:rsidRPr="00A46CDD">
        <w:rPr>
          <w:sz w:val="24"/>
          <w:szCs w:val="24"/>
        </w:rPr>
        <w:t xml:space="preserve">orm </w:t>
      </w:r>
      <w:r>
        <w:rPr>
          <w:sz w:val="24"/>
          <w:szCs w:val="24"/>
        </w:rPr>
        <w:t>HA-539</w:t>
      </w:r>
      <w:r w:rsidRPr="00A46CDD">
        <w:rPr>
          <w:sz w:val="24"/>
          <w:szCs w:val="24"/>
        </w:rPr>
        <w:t xml:space="preserve"> under the agency’s Government Paperwork Elimination Act (GPEA) plan because only</w:t>
      </w:r>
      <w:r>
        <w:rPr>
          <w:sz w:val="24"/>
          <w:szCs w:val="24"/>
        </w:rPr>
        <w:t xml:space="preserve"> 4,000</w:t>
      </w:r>
      <w:r w:rsidRPr="00A46CDD">
        <w:rPr>
          <w:sz w:val="24"/>
          <w:szCs w:val="24"/>
        </w:rPr>
        <w:t xml:space="preserve"> respondents complete the form.  This is less t</w:t>
      </w:r>
      <w:r>
        <w:rPr>
          <w:sz w:val="24"/>
          <w:szCs w:val="24"/>
        </w:rPr>
        <w:t>han the GPEA cut-off of 50,000.</w:t>
      </w:r>
    </w:p>
    <w:p w:rsidR="00A46CDD" w:rsidRDefault="00A46CDD">
      <w:pPr>
        <w:tabs>
          <w:tab w:val="left" w:pos="720"/>
          <w:tab w:val="left" w:pos="1440"/>
          <w:tab w:val="left" w:pos="2160"/>
        </w:tabs>
        <w:ind w:left="1440"/>
        <w:rPr>
          <w:sz w:val="24"/>
          <w:szCs w:val="24"/>
        </w:rPr>
      </w:pPr>
    </w:p>
    <w:p w:rsidR="00CC4A95" w:rsidRDefault="00CC4A95" w:rsidP="001438AF">
      <w:pPr>
        <w:numPr>
          <w:ilvl w:val="0"/>
          <w:numId w:val="1"/>
        </w:numPr>
        <w:tabs>
          <w:tab w:val="left" w:pos="1440"/>
        </w:tabs>
        <w:rPr>
          <w:b/>
          <w:spacing w:val="-2"/>
          <w:sz w:val="24"/>
          <w:szCs w:val="24"/>
        </w:rPr>
      </w:pPr>
      <w:r>
        <w:rPr>
          <w:b/>
          <w:spacing w:val="-2"/>
          <w:sz w:val="24"/>
          <w:szCs w:val="24"/>
        </w:rPr>
        <w:t>Why We Cannot Use Duplicate Information</w:t>
      </w:r>
    </w:p>
    <w:p w:rsidR="001438AF" w:rsidRPr="001438AF" w:rsidRDefault="001438AF" w:rsidP="001438AF">
      <w:pPr>
        <w:pStyle w:val="ListParagraph"/>
        <w:ind w:left="1440"/>
        <w:rPr>
          <w:sz w:val="24"/>
          <w:szCs w:val="24"/>
        </w:rPr>
      </w:pPr>
      <w:r w:rsidRPr="001438AF">
        <w:rPr>
          <w:sz w:val="24"/>
          <w:szCs w:val="24"/>
        </w:rPr>
        <w:t xml:space="preserve">The nature of the information we are collecting and the manner in which we are collecting it preclude duplication.  SSA does not use another collection instrument to obtain similar data.  </w:t>
      </w:r>
    </w:p>
    <w:p w:rsidR="00CC4A95" w:rsidRDefault="00CC4A95">
      <w:pPr>
        <w:tabs>
          <w:tab w:val="left" w:pos="720"/>
          <w:tab w:val="left" w:pos="1440"/>
          <w:tab w:val="left" w:pos="2160"/>
        </w:tabs>
        <w:ind w:left="1440"/>
        <w:rPr>
          <w:sz w:val="24"/>
          <w:szCs w:val="24"/>
        </w:rPr>
      </w:pPr>
    </w:p>
    <w:p w:rsidR="00CC4A95" w:rsidRDefault="00CC4A95">
      <w:pPr>
        <w:numPr>
          <w:ilvl w:val="0"/>
          <w:numId w:val="1"/>
        </w:numPr>
        <w:tabs>
          <w:tab w:val="left" w:pos="1440"/>
        </w:tabs>
        <w:rPr>
          <w:b/>
          <w:spacing w:val="-2"/>
          <w:sz w:val="24"/>
          <w:szCs w:val="24"/>
        </w:rPr>
      </w:pPr>
      <w:r>
        <w:rPr>
          <w:b/>
          <w:spacing w:val="-2"/>
          <w:sz w:val="24"/>
          <w:szCs w:val="24"/>
        </w:rPr>
        <w:t>Minimizing Burden on Small Respondents</w:t>
      </w:r>
    </w:p>
    <w:p w:rsidR="00CC4A95" w:rsidRDefault="00CC4A95">
      <w:pPr>
        <w:tabs>
          <w:tab w:val="left" w:pos="720"/>
          <w:tab w:val="left" w:pos="1440"/>
          <w:tab w:val="left" w:pos="2160"/>
        </w:tabs>
        <w:ind w:left="1440"/>
        <w:rPr>
          <w:sz w:val="24"/>
          <w:szCs w:val="24"/>
        </w:rPr>
      </w:pPr>
      <w:r>
        <w:rPr>
          <w:sz w:val="24"/>
          <w:szCs w:val="24"/>
        </w:rPr>
        <w:t xml:space="preserve">This collection does not </w:t>
      </w:r>
      <w:r w:rsidR="00DA481A">
        <w:rPr>
          <w:sz w:val="24"/>
          <w:szCs w:val="24"/>
        </w:rPr>
        <w:t>affect</w:t>
      </w:r>
      <w:r>
        <w:rPr>
          <w:sz w:val="24"/>
          <w:szCs w:val="24"/>
        </w:rPr>
        <w:t xml:space="preserve"> small businesses or other small entities.</w:t>
      </w:r>
    </w:p>
    <w:p w:rsidR="006061F2" w:rsidRDefault="006061F2" w:rsidP="000C495A">
      <w:pPr>
        <w:tabs>
          <w:tab w:val="left" w:pos="720"/>
          <w:tab w:val="left" w:pos="1440"/>
          <w:tab w:val="left" w:pos="2160"/>
        </w:tabs>
        <w:rPr>
          <w:sz w:val="24"/>
          <w:szCs w:val="24"/>
        </w:rPr>
      </w:pPr>
    </w:p>
    <w:p w:rsidR="00CC4A95" w:rsidRDefault="001438AF" w:rsidP="001438AF">
      <w:pPr>
        <w:numPr>
          <w:ilvl w:val="0"/>
          <w:numId w:val="1"/>
        </w:numPr>
        <w:tabs>
          <w:tab w:val="clear" w:pos="1440"/>
          <w:tab w:val="left" w:pos="1350"/>
        </w:tabs>
        <w:rPr>
          <w:b/>
          <w:sz w:val="24"/>
          <w:szCs w:val="24"/>
        </w:rPr>
      </w:pPr>
      <w:r>
        <w:rPr>
          <w:b/>
          <w:sz w:val="24"/>
          <w:szCs w:val="24"/>
        </w:rPr>
        <w:tab/>
      </w:r>
      <w:r w:rsidR="00CC4A95">
        <w:rPr>
          <w:b/>
          <w:sz w:val="24"/>
          <w:szCs w:val="24"/>
        </w:rPr>
        <w:t>Consequence of Not Collecting Information or Collecting it Less Frequently</w:t>
      </w:r>
    </w:p>
    <w:p w:rsidR="00CC4A95" w:rsidRPr="000C495A" w:rsidRDefault="00DC3E2C" w:rsidP="000C495A">
      <w:pPr>
        <w:tabs>
          <w:tab w:val="left" w:pos="720"/>
          <w:tab w:val="left" w:pos="1440"/>
          <w:tab w:val="left" w:pos="2160"/>
        </w:tabs>
        <w:ind w:left="1440"/>
        <w:rPr>
          <w:sz w:val="24"/>
          <w:szCs w:val="24"/>
        </w:rPr>
      </w:pPr>
      <w:r>
        <w:rPr>
          <w:sz w:val="24"/>
          <w:szCs w:val="24"/>
        </w:rPr>
        <w:t>If we did not use Form HA-</w:t>
      </w:r>
      <w:r w:rsidR="001438AF">
        <w:rPr>
          <w:sz w:val="24"/>
          <w:szCs w:val="24"/>
        </w:rPr>
        <w:t xml:space="preserve">539, we </w:t>
      </w:r>
      <w:r w:rsidR="006061F2">
        <w:rPr>
          <w:sz w:val="24"/>
          <w:szCs w:val="24"/>
        </w:rPr>
        <w:t>might</w:t>
      </w:r>
      <w:r w:rsidR="001C03D4">
        <w:rPr>
          <w:sz w:val="24"/>
          <w:szCs w:val="24"/>
        </w:rPr>
        <w:t xml:space="preserve"> inadvertently deny individuals who </w:t>
      </w:r>
      <w:r w:rsidR="00CC4A95">
        <w:rPr>
          <w:sz w:val="24"/>
          <w:szCs w:val="24"/>
        </w:rPr>
        <w:t>qualify for benefits under the claim of a deceased individual</w:t>
      </w:r>
      <w:r w:rsidR="001C03D4" w:rsidRPr="001C03D4">
        <w:rPr>
          <w:sz w:val="24"/>
          <w:szCs w:val="24"/>
        </w:rPr>
        <w:t xml:space="preserve"> </w:t>
      </w:r>
      <w:r w:rsidR="001C03D4">
        <w:rPr>
          <w:sz w:val="24"/>
          <w:szCs w:val="24"/>
        </w:rPr>
        <w:t xml:space="preserve">the right to pursue the </w:t>
      </w:r>
      <w:r w:rsidR="001C03D4">
        <w:rPr>
          <w:sz w:val="24"/>
          <w:szCs w:val="24"/>
        </w:rPr>
        <w:lastRenderedPageBreak/>
        <w:t>claim</w:t>
      </w:r>
      <w:r w:rsidR="00CC4A95">
        <w:rPr>
          <w:sz w:val="24"/>
          <w:szCs w:val="24"/>
        </w:rPr>
        <w:t>.  Because</w:t>
      </w:r>
      <w:r w:rsidR="001C03D4">
        <w:rPr>
          <w:sz w:val="24"/>
          <w:szCs w:val="24"/>
        </w:rPr>
        <w:t xml:space="preserve"> we only collect this information</w:t>
      </w:r>
      <w:r w:rsidR="00CC4A95">
        <w:rPr>
          <w:sz w:val="24"/>
          <w:szCs w:val="24"/>
        </w:rPr>
        <w:t xml:space="preserve"> </w:t>
      </w:r>
      <w:r w:rsidR="001438AF">
        <w:rPr>
          <w:sz w:val="24"/>
          <w:szCs w:val="24"/>
        </w:rPr>
        <w:t>on an as needed basis</w:t>
      </w:r>
      <w:r w:rsidR="00CC4A95">
        <w:rPr>
          <w:sz w:val="24"/>
          <w:szCs w:val="24"/>
        </w:rPr>
        <w:t>,</w:t>
      </w:r>
      <w:r w:rsidR="001C03D4">
        <w:rPr>
          <w:sz w:val="24"/>
          <w:szCs w:val="24"/>
        </w:rPr>
        <w:t xml:space="preserve"> we cannot collect</w:t>
      </w:r>
      <w:r w:rsidR="00CC4A95">
        <w:rPr>
          <w:sz w:val="24"/>
          <w:szCs w:val="24"/>
        </w:rPr>
        <w:t xml:space="preserve"> it less frequently.</w:t>
      </w:r>
      <w:r w:rsidR="000C495A">
        <w:rPr>
          <w:sz w:val="24"/>
          <w:szCs w:val="24"/>
        </w:rPr>
        <w:t xml:space="preserve">  </w:t>
      </w:r>
      <w:proofErr w:type="gramStart"/>
      <w:r w:rsidR="00CC4A95">
        <w:rPr>
          <w:sz w:val="24"/>
          <w:szCs w:val="24"/>
        </w:rPr>
        <w:t>There are no technical or legal obstacles that prevent burden reduction.</w:t>
      </w:r>
      <w:proofErr w:type="gramEnd"/>
      <w:r w:rsidR="00CC4A95">
        <w:rPr>
          <w:b/>
          <w:sz w:val="24"/>
          <w:szCs w:val="24"/>
        </w:rPr>
        <w:t xml:space="preserve"> </w:t>
      </w:r>
    </w:p>
    <w:p w:rsidR="00CC4A95" w:rsidRDefault="00CC4A95">
      <w:pPr>
        <w:tabs>
          <w:tab w:val="left" w:pos="720"/>
          <w:tab w:val="left" w:pos="1440"/>
          <w:tab w:val="left" w:pos="2160"/>
        </w:tabs>
        <w:ind w:left="1440"/>
        <w:rPr>
          <w:sz w:val="24"/>
          <w:szCs w:val="24"/>
        </w:rPr>
      </w:pPr>
    </w:p>
    <w:p w:rsidR="000E0C3B" w:rsidRDefault="00CC4A95" w:rsidP="000E0C3B">
      <w:pPr>
        <w:numPr>
          <w:ilvl w:val="0"/>
          <w:numId w:val="1"/>
        </w:numPr>
        <w:tabs>
          <w:tab w:val="left" w:pos="1440"/>
        </w:tabs>
        <w:rPr>
          <w:b/>
          <w:sz w:val="24"/>
          <w:szCs w:val="24"/>
        </w:rPr>
      </w:pPr>
      <w:r>
        <w:rPr>
          <w:b/>
          <w:sz w:val="24"/>
          <w:szCs w:val="24"/>
        </w:rPr>
        <w:t>Special Circumstances</w:t>
      </w:r>
    </w:p>
    <w:p w:rsidR="000E0C3B" w:rsidRPr="004B489B" w:rsidRDefault="000E0C3B" w:rsidP="000E0C3B">
      <w:pPr>
        <w:tabs>
          <w:tab w:val="left" w:pos="1440"/>
        </w:tabs>
        <w:ind w:left="1440"/>
        <w:rPr>
          <w:i/>
          <w:sz w:val="24"/>
          <w:szCs w:val="24"/>
        </w:rPr>
      </w:pPr>
      <w:r w:rsidRPr="000E0C3B">
        <w:rPr>
          <w:sz w:val="24"/>
          <w:szCs w:val="24"/>
        </w:rPr>
        <w:t xml:space="preserve">There are no special circumstances that would cause SSA to conduct this information collection in a manner inconsistent with </w:t>
      </w:r>
      <w:proofErr w:type="gramStart"/>
      <w:r w:rsidRPr="004B489B">
        <w:rPr>
          <w:i/>
          <w:sz w:val="24"/>
          <w:szCs w:val="24"/>
        </w:rPr>
        <w:t>5</w:t>
      </w:r>
      <w:proofErr w:type="gramEnd"/>
      <w:r w:rsidRPr="004B489B">
        <w:rPr>
          <w:i/>
          <w:sz w:val="24"/>
          <w:szCs w:val="24"/>
        </w:rPr>
        <w:t xml:space="preserve"> CFR 1320.5.</w:t>
      </w:r>
    </w:p>
    <w:p w:rsidR="00CC4A95" w:rsidRPr="000E0C3B" w:rsidRDefault="00CC4A95">
      <w:pPr>
        <w:tabs>
          <w:tab w:val="left" w:pos="720"/>
          <w:tab w:val="left" w:pos="1440"/>
          <w:tab w:val="left" w:pos="2160"/>
        </w:tabs>
        <w:ind w:left="1440"/>
        <w:rPr>
          <w:sz w:val="24"/>
          <w:szCs w:val="24"/>
        </w:rPr>
      </w:pPr>
    </w:p>
    <w:p w:rsidR="00CC4A95" w:rsidRDefault="00CC4A95">
      <w:pPr>
        <w:numPr>
          <w:ilvl w:val="0"/>
          <w:numId w:val="1"/>
        </w:numPr>
        <w:tabs>
          <w:tab w:val="left" w:pos="1440"/>
        </w:tabs>
        <w:rPr>
          <w:b/>
          <w:sz w:val="24"/>
          <w:szCs w:val="24"/>
        </w:rPr>
      </w:pPr>
      <w:r>
        <w:rPr>
          <w:b/>
          <w:sz w:val="24"/>
          <w:szCs w:val="24"/>
        </w:rPr>
        <w:t>Solicitation of Public Comment and Other Consultations with the Public</w:t>
      </w:r>
    </w:p>
    <w:p w:rsidR="00565B1D" w:rsidRPr="00565B1D" w:rsidRDefault="00565B1D" w:rsidP="00565B1D">
      <w:pPr>
        <w:pStyle w:val="ListParagraph"/>
        <w:ind w:left="1440"/>
        <w:rPr>
          <w:sz w:val="24"/>
          <w:szCs w:val="24"/>
        </w:rPr>
      </w:pPr>
      <w:r w:rsidRPr="00565B1D">
        <w:rPr>
          <w:sz w:val="24"/>
          <w:szCs w:val="24"/>
        </w:rPr>
        <w:t>The 60-day advance Federal Register Notice published on</w:t>
      </w:r>
      <w:r w:rsidR="004B489B">
        <w:rPr>
          <w:sz w:val="24"/>
          <w:szCs w:val="24"/>
        </w:rPr>
        <w:t xml:space="preserve"> June 24, 2015</w:t>
      </w:r>
      <w:r>
        <w:rPr>
          <w:sz w:val="24"/>
          <w:szCs w:val="24"/>
        </w:rPr>
        <w:t>,</w:t>
      </w:r>
      <w:r w:rsidRPr="00565B1D">
        <w:rPr>
          <w:sz w:val="24"/>
          <w:szCs w:val="24"/>
        </w:rPr>
        <w:t xml:space="preserve"> at </w:t>
      </w:r>
      <w:r w:rsidR="004B489B">
        <w:rPr>
          <w:sz w:val="24"/>
          <w:szCs w:val="24"/>
        </w:rPr>
        <w:t>80</w:t>
      </w:r>
      <w:r w:rsidRPr="00565B1D">
        <w:rPr>
          <w:sz w:val="24"/>
          <w:szCs w:val="24"/>
        </w:rPr>
        <w:t xml:space="preserve"> FR </w:t>
      </w:r>
      <w:r w:rsidR="004B489B">
        <w:rPr>
          <w:sz w:val="24"/>
          <w:szCs w:val="24"/>
        </w:rPr>
        <w:t>36313</w:t>
      </w:r>
      <w:r w:rsidRPr="00565B1D">
        <w:rPr>
          <w:sz w:val="24"/>
          <w:szCs w:val="24"/>
        </w:rPr>
        <w:t xml:space="preserve"> and we received no public comments.  The 30-day FRN published on </w:t>
      </w:r>
      <w:r w:rsidR="00D32C7C">
        <w:rPr>
          <w:sz w:val="24"/>
          <w:szCs w:val="24"/>
        </w:rPr>
        <w:t>September 9, 2015,</w:t>
      </w:r>
      <w:r w:rsidR="00E26A00">
        <w:rPr>
          <w:sz w:val="24"/>
          <w:szCs w:val="24"/>
        </w:rPr>
        <w:t xml:space="preserve"> </w:t>
      </w:r>
      <w:r w:rsidRPr="00565B1D">
        <w:rPr>
          <w:sz w:val="24"/>
          <w:szCs w:val="24"/>
        </w:rPr>
        <w:t>at</w:t>
      </w:r>
      <w:r w:rsidR="000C495A">
        <w:rPr>
          <w:sz w:val="24"/>
          <w:szCs w:val="24"/>
        </w:rPr>
        <w:t xml:space="preserve"> 80</w:t>
      </w:r>
      <w:r w:rsidR="004B489B">
        <w:rPr>
          <w:sz w:val="24"/>
          <w:szCs w:val="24"/>
        </w:rPr>
        <w:t xml:space="preserve"> FR </w:t>
      </w:r>
      <w:r w:rsidR="00D32C7C">
        <w:rPr>
          <w:sz w:val="24"/>
          <w:szCs w:val="24"/>
        </w:rPr>
        <w:t>53608</w:t>
      </w:r>
      <w:r w:rsidRPr="00565B1D">
        <w:rPr>
          <w:sz w:val="24"/>
          <w:szCs w:val="24"/>
        </w:rPr>
        <w:t xml:space="preserve">.  If we receive any comments in response to this Notice, we will forward them to OMB. </w:t>
      </w:r>
    </w:p>
    <w:p w:rsidR="00CC4A95" w:rsidRPr="00565B1D" w:rsidRDefault="00CC4A95">
      <w:pPr>
        <w:tabs>
          <w:tab w:val="left" w:pos="720"/>
          <w:tab w:val="left" w:pos="1440"/>
          <w:tab w:val="left" w:pos="2160"/>
        </w:tabs>
        <w:ind w:left="1440"/>
        <w:rPr>
          <w:sz w:val="24"/>
          <w:szCs w:val="24"/>
        </w:rPr>
      </w:pPr>
    </w:p>
    <w:p w:rsidR="00CC4A95" w:rsidRDefault="00CC4A95">
      <w:pPr>
        <w:numPr>
          <w:ilvl w:val="0"/>
          <w:numId w:val="1"/>
        </w:numPr>
        <w:tabs>
          <w:tab w:val="left" w:pos="1440"/>
        </w:tabs>
        <w:rPr>
          <w:b/>
          <w:sz w:val="24"/>
          <w:szCs w:val="24"/>
        </w:rPr>
      </w:pPr>
      <w:r>
        <w:rPr>
          <w:b/>
          <w:sz w:val="24"/>
          <w:szCs w:val="24"/>
        </w:rPr>
        <w:t>Payment or Gifts to Respondents</w:t>
      </w:r>
    </w:p>
    <w:p w:rsidR="00CC4A95" w:rsidRDefault="00CC4A95">
      <w:pPr>
        <w:tabs>
          <w:tab w:val="left" w:pos="720"/>
          <w:tab w:val="left" w:pos="1440"/>
          <w:tab w:val="left" w:pos="2160"/>
        </w:tabs>
        <w:ind w:left="1440"/>
        <w:rPr>
          <w:sz w:val="24"/>
          <w:szCs w:val="24"/>
        </w:rPr>
      </w:pPr>
      <w:r>
        <w:rPr>
          <w:sz w:val="24"/>
          <w:szCs w:val="24"/>
        </w:rPr>
        <w:t xml:space="preserve">SSA </w:t>
      </w:r>
      <w:r w:rsidR="001A53EB">
        <w:rPr>
          <w:sz w:val="24"/>
          <w:szCs w:val="24"/>
        </w:rPr>
        <w:t xml:space="preserve">does not </w:t>
      </w:r>
      <w:r>
        <w:rPr>
          <w:sz w:val="24"/>
          <w:szCs w:val="24"/>
        </w:rPr>
        <w:t xml:space="preserve">provide </w:t>
      </w:r>
      <w:r w:rsidR="001A53EB">
        <w:rPr>
          <w:sz w:val="24"/>
          <w:szCs w:val="24"/>
        </w:rPr>
        <w:t>p</w:t>
      </w:r>
      <w:r>
        <w:rPr>
          <w:sz w:val="24"/>
          <w:szCs w:val="24"/>
        </w:rPr>
        <w:t>ayment or gifts to the respondents.</w:t>
      </w:r>
    </w:p>
    <w:p w:rsidR="00CC4A95" w:rsidRDefault="00CC4A95">
      <w:pPr>
        <w:tabs>
          <w:tab w:val="left" w:pos="720"/>
          <w:tab w:val="left" w:pos="1440"/>
          <w:tab w:val="left" w:pos="2160"/>
        </w:tabs>
        <w:ind w:left="1440"/>
        <w:rPr>
          <w:sz w:val="24"/>
          <w:szCs w:val="24"/>
        </w:rPr>
      </w:pPr>
    </w:p>
    <w:p w:rsidR="00CC4A95" w:rsidRDefault="00CC4A95">
      <w:pPr>
        <w:numPr>
          <w:ilvl w:val="0"/>
          <w:numId w:val="1"/>
        </w:numPr>
        <w:tabs>
          <w:tab w:val="left" w:pos="1440"/>
        </w:tabs>
        <w:rPr>
          <w:b/>
          <w:sz w:val="24"/>
          <w:szCs w:val="24"/>
        </w:rPr>
      </w:pPr>
      <w:r>
        <w:rPr>
          <w:b/>
          <w:sz w:val="24"/>
          <w:szCs w:val="24"/>
        </w:rPr>
        <w:t>Assurances of Confidentiality</w:t>
      </w:r>
    </w:p>
    <w:p w:rsidR="00A33874" w:rsidRPr="00A33874" w:rsidRDefault="00A33874" w:rsidP="00A33874">
      <w:pPr>
        <w:pStyle w:val="ListParagraph"/>
        <w:ind w:left="1440"/>
        <w:rPr>
          <w:sz w:val="24"/>
          <w:szCs w:val="24"/>
        </w:rPr>
      </w:pPr>
      <w:r w:rsidRPr="00A33874">
        <w:rPr>
          <w:sz w:val="24"/>
          <w:szCs w:val="24"/>
        </w:rPr>
        <w:t xml:space="preserve">SSA protects and holds confidential the information it collects in accordance with </w:t>
      </w:r>
      <w:r w:rsidRPr="004B489B">
        <w:rPr>
          <w:i/>
          <w:sz w:val="24"/>
          <w:szCs w:val="24"/>
        </w:rPr>
        <w:t>42 U.S.C. 1306, 20 CFR 401</w:t>
      </w:r>
      <w:r w:rsidRPr="00A33874">
        <w:rPr>
          <w:sz w:val="24"/>
          <w:szCs w:val="24"/>
        </w:rPr>
        <w:t xml:space="preserve"> and </w:t>
      </w:r>
      <w:r w:rsidRPr="004B489B">
        <w:rPr>
          <w:i/>
          <w:sz w:val="24"/>
          <w:szCs w:val="24"/>
        </w:rPr>
        <w:t xml:space="preserve">402, 5 U.S.C. 552 </w:t>
      </w:r>
      <w:r w:rsidRPr="000C495A">
        <w:rPr>
          <w:sz w:val="24"/>
          <w:szCs w:val="24"/>
        </w:rPr>
        <w:t xml:space="preserve">(Freedom of Information Act), </w:t>
      </w:r>
      <w:r w:rsidRPr="004B489B">
        <w:rPr>
          <w:i/>
          <w:sz w:val="24"/>
          <w:szCs w:val="24"/>
        </w:rPr>
        <w:t xml:space="preserve">5 U.S.C. 552a </w:t>
      </w:r>
      <w:r w:rsidRPr="000C495A">
        <w:rPr>
          <w:sz w:val="24"/>
          <w:szCs w:val="24"/>
        </w:rPr>
        <w:t>(Privacy Act of 1974),</w:t>
      </w:r>
      <w:r w:rsidRPr="00A33874">
        <w:rPr>
          <w:sz w:val="24"/>
          <w:szCs w:val="24"/>
        </w:rPr>
        <w:t xml:space="preserve"> and OMB Circular No</w:t>
      </w:r>
      <w:proofErr w:type="gramStart"/>
      <w:r w:rsidRPr="00A33874">
        <w:rPr>
          <w:sz w:val="24"/>
          <w:szCs w:val="24"/>
        </w:rPr>
        <w:t xml:space="preserve">. </w:t>
      </w:r>
      <w:proofErr w:type="gramEnd"/>
      <w:r w:rsidRPr="00A33874">
        <w:rPr>
          <w:sz w:val="24"/>
          <w:szCs w:val="24"/>
        </w:rPr>
        <w:t>A-130</w:t>
      </w:r>
      <w:r w:rsidRPr="00A33874">
        <w:rPr>
          <w:color w:val="0000FF"/>
          <w:sz w:val="24"/>
          <w:szCs w:val="24"/>
        </w:rPr>
        <w:t>.</w:t>
      </w:r>
    </w:p>
    <w:p w:rsidR="00CC4A95" w:rsidRPr="00A33874" w:rsidRDefault="00CC4A95">
      <w:pPr>
        <w:tabs>
          <w:tab w:val="left" w:pos="720"/>
          <w:tab w:val="left" w:pos="1440"/>
          <w:tab w:val="left" w:pos="2160"/>
        </w:tabs>
        <w:ind w:left="1440"/>
        <w:rPr>
          <w:sz w:val="24"/>
          <w:szCs w:val="24"/>
        </w:rPr>
      </w:pPr>
    </w:p>
    <w:p w:rsidR="00CC4A95" w:rsidRDefault="00CC4A95">
      <w:pPr>
        <w:numPr>
          <w:ilvl w:val="0"/>
          <w:numId w:val="1"/>
        </w:numPr>
        <w:tabs>
          <w:tab w:val="left" w:pos="1440"/>
        </w:tabs>
        <w:rPr>
          <w:b/>
          <w:sz w:val="24"/>
          <w:szCs w:val="24"/>
        </w:rPr>
      </w:pPr>
      <w:r>
        <w:rPr>
          <w:b/>
          <w:sz w:val="24"/>
          <w:szCs w:val="24"/>
        </w:rPr>
        <w:t>Justification for Sensitive Questions</w:t>
      </w:r>
    </w:p>
    <w:p w:rsidR="00CC4A95" w:rsidRDefault="00CC4A95">
      <w:pPr>
        <w:tabs>
          <w:tab w:val="left" w:pos="720"/>
          <w:tab w:val="left" w:pos="1440"/>
          <w:tab w:val="left" w:pos="2160"/>
        </w:tabs>
        <w:ind w:left="1440"/>
        <w:rPr>
          <w:sz w:val="24"/>
          <w:szCs w:val="24"/>
        </w:rPr>
      </w:pPr>
      <w:r>
        <w:rPr>
          <w:sz w:val="24"/>
          <w:szCs w:val="24"/>
        </w:rPr>
        <w:t>The information collection does not contain any questions of a sensitive nature.</w:t>
      </w:r>
    </w:p>
    <w:p w:rsidR="00CC4A95" w:rsidRDefault="00CC4A95">
      <w:pPr>
        <w:tabs>
          <w:tab w:val="left" w:pos="720"/>
          <w:tab w:val="left" w:pos="1440"/>
          <w:tab w:val="left" w:pos="2160"/>
        </w:tabs>
        <w:ind w:left="1440"/>
        <w:rPr>
          <w:sz w:val="24"/>
          <w:szCs w:val="24"/>
        </w:rPr>
      </w:pPr>
    </w:p>
    <w:p w:rsidR="00CC4A95" w:rsidRDefault="00CC4A95">
      <w:pPr>
        <w:numPr>
          <w:ilvl w:val="0"/>
          <w:numId w:val="1"/>
        </w:numPr>
        <w:tabs>
          <w:tab w:val="left" w:pos="1440"/>
        </w:tabs>
        <w:rPr>
          <w:b/>
          <w:sz w:val="24"/>
          <w:szCs w:val="24"/>
        </w:rPr>
      </w:pPr>
      <w:r>
        <w:rPr>
          <w:b/>
          <w:sz w:val="24"/>
          <w:szCs w:val="24"/>
        </w:rPr>
        <w:t>Estimates of Public Reporting Burden</w:t>
      </w:r>
    </w:p>
    <w:tbl>
      <w:tblPr>
        <w:tblW w:w="774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620"/>
        <w:gridCol w:w="1350"/>
        <w:gridCol w:w="1620"/>
        <w:gridCol w:w="1710"/>
      </w:tblGrid>
      <w:tr w:rsidR="00A33874" w:rsidTr="00F11A30">
        <w:trPr>
          <w:trHeight w:val="1181"/>
        </w:trPr>
        <w:tc>
          <w:tcPr>
            <w:tcW w:w="1440" w:type="dxa"/>
            <w:shd w:val="clear" w:color="auto" w:fill="auto"/>
          </w:tcPr>
          <w:p w:rsidR="00A33874" w:rsidRPr="00F11A30" w:rsidRDefault="00A33874" w:rsidP="0062677B">
            <w:pPr>
              <w:widowControl w:val="0"/>
              <w:snapToGrid w:val="0"/>
              <w:rPr>
                <w:rFonts w:eastAsia="Calibri"/>
                <w:b/>
                <w:bCs/>
                <w:sz w:val="24"/>
                <w:szCs w:val="24"/>
              </w:rPr>
            </w:pPr>
            <w:r w:rsidRPr="00F11A30">
              <w:rPr>
                <w:rFonts w:eastAsia="Calibri"/>
                <w:b/>
                <w:bCs/>
                <w:sz w:val="24"/>
                <w:szCs w:val="24"/>
              </w:rPr>
              <w:t>Modality of Completion</w:t>
            </w:r>
          </w:p>
        </w:tc>
        <w:tc>
          <w:tcPr>
            <w:tcW w:w="1620" w:type="dxa"/>
            <w:shd w:val="clear" w:color="auto" w:fill="auto"/>
          </w:tcPr>
          <w:p w:rsidR="00A33874" w:rsidRPr="00F11A30" w:rsidRDefault="00A33874" w:rsidP="0062677B">
            <w:pPr>
              <w:widowControl w:val="0"/>
              <w:snapToGrid w:val="0"/>
              <w:rPr>
                <w:rFonts w:eastAsia="Calibri"/>
                <w:b/>
                <w:bCs/>
                <w:sz w:val="24"/>
                <w:szCs w:val="24"/>
              </w:rPr>
            </w:pPr>
            <w:r w:rsidRPr="00F11A30">
              <w:rPr>
                <w:b/>
                <w:bCs/>
                <w:sz w:val="24"/>
                <w:szCs w:val="24"/>
              </w:rPr>
              <w:t>Number of Respondents</w:t>
            </w:r>
          </w:p>
        </w:tc>
        <w:tc>
          <w:tcPr>
            <w:tcW w:w="1350" w:type="dxa"/>
            <w:shd w:val="clear" w:color="auto" w:fill="auto"/>
          </w:tcPr>
          <w:p w:rsidR="00A33874" w:rsidRPr="00F11A30" w:rsidRDefault="00A33874" w:rsidP="0062677B">
            <w:pPr>
              <w:widowControl w:val="0"/>
              <w:snapToGrid w:val="0"/>
              <w:rPr>
                <w:rFonts w:eastAsia="Calibri"/>
                <w:b/>
                <w:bCs/>
                <w:sz w:val="24"/>
                <w:szCs w:val="24"/>
              </w:rPr>
            </w:pPr>
            <w:r w:rsidRPr="00F11A30">
              <w:rPr>
                <w:b/>
                <w:bCs/>
                <w:sz w:val="24"/>
                <w:szCs w:val="24"/>
              </w:rPr>
              <w:t>Frequency of Response</w:t>
            </w:r>
          </w:p>
        </w:tc>
        <w:tc>
          <w:tcPr>
            <w:tcW w:w="1620" w:type="dxa"/>
            <w:shd w:val="clear" w:color="auto" w:fill="auto"/>
          </w:tcPr>
          <w:p w:rsidR="00A33874" w:rsidRPr="00F11A30" w:rsidRDefault="00A33874" w:rsidP="0062677B">
            <w:pPr>
              <w:widowControl w:val="0"/>
              <w:snapToGrid w:val="0"/>
              <w:rPr>
                <w:rFonts w:eastAsia="Calibri"/>
                <w:b/>
                <w:bCs/>
                <w:sz w:val="24"/>
                <w:szCs w:val="24"/>
              </w:rPr>
            </w:pPr>
            <w:r w:rsidRPr="00F11A30">
              <w:rPr>
                <w:b/>
                <w:bCs/>
                <w:sz w:val="24"/>
                <w:szCs w:val="24"/>
              </w:rPr>
              <w:t>Average Burden Per Response (minutes)</w:t>
            </w:r>
          </w:p>
        </w:tc>
        <w:tc>
          <w:tcPr>
            <w:tcW w:w="1710" w:type="dxa"/>
            <w:shd w:val="clear" w:color="auto" w:fill="auto"/>
          </w:tcPr>
          <w:p w:rsidR="00A33874" w:rsidRPr="00F11A30" w:rsidRDefault="00A33874" w:rsidP="0062677B">
            <w:pPr>
              <w:widowControl w:val="0"/>
              <w:snapToGrid w:val="0"/>
              <w:rPr>
                <w:rFonts w:eastAsia="Calibri"/>
                <w:b/>
                <w:bCs/>
                <w:sz w:val="24"/>
                <w:szCs w:val="24"/>
              </w:rPr>
            </w:pPr>
            <w:r w:rsidRPr="00F11A30">
              <w:rPr>
                <w:b/>
                <w:bCs/>
                <w:sz w:val="24"/>
                <w:szCs w:val="24"/>
              </w:rPr>
              <w:t>Estimated Total Annual Burden (hours)</w:t>
            </w:r>
          </w:p>
        </w:tc>
      </w:tr>
      <w:tr w:rsidR="00A33874" w:rsidTr="00F11A30">
        <w:trPr>
          <w:trHeight w:val="300"/>
        </w:trPr>
        <w:tc>
          <w:tcPr>
            <w:tcW w:w="1440" w:type="dxa"/>
            <w:shd w:val="clear" w:color="auto" w:fill="auto"/>
          </w:tcPr>
          <w:p w:rsidR="00A33874" w:rsidRPr="000B4C41" w:rsidRDefault="00A33874" w:rsidP="0062677B">
            <w:pPr>
              <w:pStyle w:val="HTMLPreformatted"/>
              <w:rPr>
                <w:rFonts w:ascii="Times New Roman" w:hAnsi="Times New Roman"/>
                <w:sz w:val="24"/>
              </w:rPr>
            </w:pPr>
            <w:r>
              <w:rPr>
                <w:rFonts w:ascii="Times New Roman" w:hAnsi="Times New Roman"/>
                <w:sz w:val="24"/>
              </w:rPr>
              <w:t>HA-539</w:t>
            </w:r>
          </w:p>
        </w:tc>
        <w:tc>
          <w:tcPr>
            <w:tcW w:w="1620" w:type="dxa"/>
            <w:shd w:val="clear" w:color="auto" w:fill="auto"/>
          </w:tcPr>
          <w:p w:rsidR="00A33874" w:rsidRPr="000B4C41" w:rsidRDefault="00A33874" w:rsidP="00A33874">
            <w:pPr>
              <w:pStyle w:val="HTMLPreformatted"/>
              <w:jc w:val="right"/>
              <w:rPr>
                <w:rFonts w:ascii="Times New Roman" w:hAnsi="Times New Roman"/>
                <w:sz w:val="24"/>
              </w:rPr>
            </w:pPr>
            <w:r>
              <w:rPr>
                <w:rFonts w:ascii="Times New Roman" w:hAnsi="Times New Roman"/>
                <w:sz w:val="24"/>
              </w:rPr>
              <w:t>4,000</w:t>
            </w:r>
          </w:p>
        </w:tc>
        <w:tc>
          <w:tcPr>
            <w:tcW w:w="1350" w:type="dxa"/>
            <w:shd w:val="clear" w:color="auto" w:fill="auto"/>
          </w:tcPr>
          <w:p w:rsidR="00A33874" w:rsidRPr="000B4C41" w:rsidRDefault="00A33874" w:rsidP="00A33874">
            <w:pPr>
              <w:pStyle w:val="HTMLPreformatted"/>
              <w:jc w:val="right"/>
              <w:rPr>
                <w:rFonts w:ascii="Times New Roman" w:hAnsi="Times New Roman"/>
                <w:sz w:val="24"/>
              </w:rPr>
            </w:pPr>
            <w:r w:rsidRPr="000B4C41">
              <w:rPr>
                <w:rFonts w:ascii="Times New Roman" w:hAnsi="Times New Roman"/>
                <w:sz w:val="24"/>
              </w:rPr>
              <w:t>1</w:t>
            </w:r>
          </w:p>
        </w:tc>
        <w:tc>
          <w:tcPr>
            <w:tcW w:w="1620" w:type="dxa"/>
            <w:shd w:val="clear" w:color="auto" w:fill="auto"/>
          </w:tcPr>
          <w:p w:rsidR="00A33874" w:rsidRPr="000B4C41" w:rsidRDefault="00A33874" w:rsidP="00A33874">
            <w:pPr>
              <w:pStyle w:val="HTMLPreformatted"/>
              <w:jc w:val="right"/>
              <w:rPr>
                <w:rFonts w:ascii="Times New Roman" w:hAnsi="Times New Roman"/>
                <w:sz w:val="24"/>
              </w:rPr>
            </w:pPr>
            <w:r>
              <w:rPr>
                <w:rFonts w:ascii="Times New Roman" w:hAnsi="Times New Roman"/>
                <w:sz w:val="24"/>
              </w:rPr>
              <w:t>5</w:t>
            </w:r>
          </w:p>
        </w:tc>
        <w:tc>
          <w:tcPr>
            <w:tcW w:w="1710" w:type="dxa"/>
            <w:shd w:val="clear" w:color="auto" w:fill="auto"/>
          </w:tcPr>
          <w:p w:rsidR="00A33874" w:rsidRPr="000B4C41" w:rsidRDefault="00A33874" w:rsidP="00A33874">
            <w:pPr>
              <w:pStyle w:val="HTMLPreformatted"/>
              <w:jc w:val="right"/>
              <w:rPr>
                <w:rFonts w:ascii="Times New Roman" w:hAnsi="Times New Roman"/>
                <w:sz w:val="24"/>
              </w:rPr>
            </w:pPr>
            <w:r>
              <w:rPr>
                <w:rFonts w:ascii="Times New Roman" w:hAnsi="Times New Roman"/>
                <w:sz w:val="24"/>
              </w:rPr>
              <w:t>333</w:t>
            </w:r>
          </w:p>
        </w:tc>
      </w:tr>
    </w:tbl>
    <w:p w:rsidR="004B489B" w:rsidRDefault="004B489B" w:rsidP="004B489B">
      <w:pPr>
        <w:pStyle w:val="ListParagraph"/>
        <w:ind w:firstLine="720"/>
        <w:rPr>
          <w:sz w:val="24"/>
          <w:szCs w:val="24"/>
        </w:rPr>
      </w:pPr>
    </w:p>
    <w:p w:rsidR="004B489B" w:rsidRDefault="004B489B" w:rsidP="004B489B">
      <w:pPr>
        <w:pStyle w:val="ListParagraph"/>
        <w:ind w:firstLine="720"/>
        <w:rPr>
          <w:sz w:val="24"/>
          <w:szCs w:val="24"/>
        </w:rPr>
      </w:pPr>
      <w:r>
        <w:rPr>
          <w:sz w:val="24"/>
          <w:szCs w:val="24"/>
        </w:rPr>
        <w:t xml:space="preserve">The total burden for this information collection request </w:t>
      </w:r>
      <w:r w:rsidRPr="003D1A0C">
        <w:rPr>
          <w:sz w:val="24"/>
          <w:szCs w:val="24"/>
        </w:rPr>
        <w:t>is</w:t>
      </w:r>
      <w:r w:rsidR="003D1A0C" w:rsidRPr="003D1A0C">
        <w:rPr>
          <w:sz w:val="24"/>
          <w:szCs w:val="24"/>
        </w:rPr>
        <w:t xml:space="preserve"> </w:t>
      </w:r>
      <w:r w:rsidR="003D1A0C">
        <w:rPr>
          <w:sz w:val="24"/>
          <w:szCs w:val="24"/>
        </w:rPr>
        <w:t>333</w:t>
      </w:r>
      <w:r>
        <w:rPr>
          <w:sz w:val="24"/>
          <w:szCs w:val="24"/>
        </w:rPr>
        <w:t xml:space="preserve"> hours.  This figure </w:t>
      </w:r>
    </w:p>
    <w:p w:rsidR="003D1A0C" w:rsidRPr="003D1A0C" w:rsidRDefault="004B489B" w:rsidP="004B489B">
      <w:pPr>
        <w:pStyle w:val="ListParagraph"/>
        <w:ind w:firstLine="720"/>
        <w:rPr>
          <w:sz w:val="24"/>
          <w:szCs w:val="24"/>
        </w:rPr>
      </w:pPr>
      <w:proofErr w:type="gramStart"/>
      <w:r>
        <w:rPr>
          <w:sz w:val="24"/>
          <w:szCs w:val="24"/>
        </w:rPr>
        <w:t>represen</w:t>
      </w:r>
      <w:bookmarkStart w:id="0" w:name="_GoBack"/>
      <w:bookmarkEnd w:id="0"/>
      <w:r>
        <w:rPr>
          <w:sz w:val="24"/>
          <w:szCs w:val="24"/>
        </w:rPr>
        <w:t>ts</w:t>
      </w:r>
      <w:proofErr w:type="gramEnd"/>
      <w:r>
        <w:rPr>
          <w:sz w:val="24"/>
          <w:szCs w:val="24"/>
        </w:rPr>
        <w:t xml:space="preserve"> burden hours, and </w:t>
      </w:r>
      <w:r w:rsidR="003D1A0C" w:rsidRPr="003D1A0C">
        <w:rPr>
          <w:sz w:val="24"/>
          <w:szCs w:val="24"/>
        </w:rPr>
        <w:t>we</w:t>
      </w:r>
      <w:r w:rsidR="003D1A0C">
        <w:rPr>
          <w:sz w:val="24"/>
          <w:szCs w:val="24"/>
        </w:rPr>
        <w:t xml:space="preserve"> </w:t>
      </w:r>
      <w:r w:rsidR="003D1A0C" w:rsidRPr="003D1A0C">
        <w:rPr>
          <w:sz w:val="24"/>
          <w:szCs w:val="24"/>
        </w:rPr>
        <w:t>did not calculate a separate cost burden.</w:t>
      </w:r>
    </w:p>
    <w:p w:rsidR="00CC4A95" w:rsidRDefault="003D1A0C">
      <w:pPr>
        <w:tabs>
          <w:tab w:val="left" w:pos="720"/>
          <w:tab w:val="left" w:pos="1440"/>
          <w:tab w:val="left" w:pos="2160"/>
        </w:tabs>
        <w:ind w:left="1440"/>
        <w:rPr>
          <w:sz w:val="24"/>
          <w:szCs w:val="24"/>
        </w:rPr>
      </w:pPr>
      <w:r>
        <w:rPr>
          <w:sz w:val="24"/>
          <w:szCs w:val="24"/>
        </w:rPr>
        <w:t xml:space="preserve"> </w:t>
      </w:r>
    </w:p>
    <w:p w:rsidR="00CC4A95" w:rsidRDefault="00CC4A95">
      <w:pPr>
        <w:numPr>
          <w:ilvl w:val="0"/>
          <w:numId w:val="1"/>
        </w:numPr>
        <w:tabs>
          <w:tab w:val="left" w:pos="1440"/>
        </w:tabs>
        <w:rPr>
          <w:b/>
          <w:sz w:val="24"/>
          <w:szCs w:val="24"/>
        </w:rPr>
      </w:pPr>
      <w:r>
        <w:rPr>
          <w:b/>
          <w:sz w:val="24"/>
          <w:szCs w:val="24"/>
        </w:rPr>
        <w:t>Annual</w:t>
      </w:r>
      <w:r>
        <w:rPr>
          <w:sz w:val="24"/>
          <w:szCs w:val="24"/>
        </w:rPr>
        <w:t xml:space="preserve"> </w:t>
      </w:r>
      <w:r>
        <w:rPr>
          <w:b/>
          <w:sz w:val="24"/>
          <w:szCs w:val="24"/>
        </w:rPr>
        <w:t>Cost to the Respondents (Other)</w:t>
      </w:r>
    </w:p>
    <w:p w:rsidR="00CC4A95" w:rsidRDefault="00083304">
      <w:pPr>
        <w:tabs>
          <w:tab w:val="left" w:pos="720"/>
          <w:tab w:val="left" w:pos="1440"/>
          <w:tab w:val="left" w:pos="2160"/>
        </w:tabs>
        <w:ind w:left="1440"/>
        <w:rPr>
          <w:sz w:val="24"/>
          <w:szCs w:val="24"/>
        </w:rPr>
      </w:pPr>
      <w:r>
        <w:rPr>
          <w:sz w:val="24"/>
          <w:szCs w:val="24"/>
        </w:rPr>
        <w:t>This collection does not impose a</w:t>
      </w:r>
      <w:r w:rsidR="00CC4A95">
        <w:rPr>
          <w:sz w:val="24"/>
          <w:szCs w:val="24"/>
        </w:rPr>
        <w:t xml:space="preserve"> known cost burden </w:t>
      </w:r>
      <w:r>
        <w:rPr>
          <w:sz w:val="24"/>
          <w:szCs w:val="24"/>
        </w:rPr>
        <w:t>on</w:t>
      </w:r>
      <w:r w:rsidR="00CC4A95">
        <w:rPr>
          <w:sz w:val="24"/>
          <w:szCs w:val="24"/>
        </w:rPr>
        <w:t xml:space="preserve"> the respondents.</w:t>
      </w:r>
    </w:p>
    <w:p w:rsidR="00CC4A95" w:rsidRDefault="00CC4A95">
      <w:pPr>
        <w:tabs>
          <w:tab w:val="left" w:pos="720"/>
          <w:tab w:val="left" w:pos="1440"/>
          <w:tab w:val="left" w:pos="2160"/>
        </w:tabs>
        <w:ind w:left="1440"/>
        <w:rPr>
          <w:sz w:val="24"/>
          <w:szCs w:val="24"/>
        </w:rPr>
      </w:pPr>
    </w:p>
    <w:p w:rsidR="00CC4A95" w:rsidRDefault="00CC4A95">
      <w:pPr>
        <w:numPr>
          <w:ilvl w:val="0"/>
          <w:numId w:val="1"/>
        </w:numPr>
        <w:tabs>
          <w:tab w:val="left" w:pos="1440"/>
        </w:tabs>
        <w:rPr>
          <w:b/>
          <w:spacing w:val="-2"/>
          <w:sz w:val="24"/>
          <w:szCs w:val="24"/>
        </w:rPr>
      </w:pPr>
      <w:r>
        <w:rPr>
          <w:b/>
          <w:spacing w:val="-2"/>
          <w:sz w:val="24"/>
          <w:szCs w:val="24"/>
        </w:rPr>
        <w:t>Annual Cost To Federal Government</w:t>
      </w:r>
    </w:p>
    <w:p w:rsidR="00CC4A95" w:rsidRDefault="00CC4A95">
      <w:pPr>
        <w:tabs>
          <w:tab w:val="left" w:pos="720"/>
          <w:tab w:val="left" w:pos="1440"/>
          <w:tab w:val="left" w:pos="2160"/>
        </w:tabs>
        <w:ind w:left="1440"/>
        <w:rPr>
          <w:sz w:val="24"/>
          <w:szCs w:val="24"/>
        </w:rPr>
      </w:pPr>
      <w:r>
        <w:rPr>
          <w:sz w:val="24"/>
          <w:szCs w:val="24"/>
        </w:rPr>
        <w:t>The annual cost to the Federal Government is approximately $254.  This estimate is a projection of cost</w:t>
      </w:r>
      <w:r w:rsidR="00735C9D">
        <w:rPr>
          <w:sz w:val="24"/>
          <w:szCs w:val="24"/>
        </w:rPr>
        <w:t>s for printing and distrib</w:t>
      </w:r>
      <w:r w:rsidR="00DA2B5E">
        <w:rPr>
          <w:sz w:val="24"/>
          <w:szCs w:val="24"/>
        </w:rPr>
        <w:t xml:space="preserve">uting the collection instrument, and for collecting the information.  </w:t>
      </w:r>
    </w:p>
    <w:p w:rsidR="000C495A" w:rsidRDefault="000C495A">
      <w:pPr>
        <w:tabs>
          <w:tab w:val="left" w:pos="720"/>
          <w:tab w:val="left" w:pos="1440"/>
          <w:tab w:val="left" w:pos="2160"/>
        </w:tabs>
        <w:ind w:left="1440"/>
        <w:rPr>
          <w:sz w:val="24"/>
          <w:szCs w:val="24"/>
        </w:rPr>
      </w:pPr>
    </w:p>
    <w:p w:rsidR="00CC4A95" w:rsidRDefault="00CC4A95">
      <w:pPr>
        <w:numPr>
          <w:ilvl w:val="0"/>
          <w:numId w:val="1"/>
        </w:numPr>
        <w:tabs>
          <w:tab w:val="left" w:pos="1440"/>
        </w:tabs>
        <w:rPr>
          <w:b/>
          <w:sz w:val="24"/>
          <w:szCs w:val="24"/>
        </w:rPr>
      </w:pPr>
      <w:r>
        <w:rPr>
          <w:b/>
          <w:sz w:val="24"/>
          <w:szCs w:val="24"/>
        </w:rPr>
        <w:t>Program Changes or Adjustments to the Information Collection Request</w:t>
      </w:r>
    </w:p>
    <w:p w:rsidR="005E3B20" w:rsidRPr="005E3B20" w:rsidRDefault="005E3B20" w:rsidP="005E3B20">
      <w:pPr>
        <w:pStyle w:val="ListParagraph"/>
        <w:ind w:left="1440"/>
        <w:rPr>
          <w:sz w:val="24"/>
          <w:szCs w:val="24"/>
        </w:rPr>
      </w:pPr>
      <w:r w:rsidRPr="005E3B20">
        <w:rPr>
          <w:sz w:val="24"/>
          <w:szCs w:val="24"/>
        </w:rPr>
        <w:t>There are no changes to the public reporting burden.</w:t>
      </w:r>
    </w:p>
    <w:p w:rsidR="00735C9D" w:rsidRDefault="00735C9D">
      <w:pPr>
        <w:tabs>
          <w:tab w:val="left" w:pos="-720"/>
          <w:tab w:val="left" w:pos="0"/>
          <w:tab w:val="left" w:pos="720"/>
        </w:tabs>
        <w:ind w:left="1440"/>
        <w:rPr>
          <w:sz w:val="24"/>
          <w:szCs w:val="24"/>
        </w:rPr>
      </w:pPr>
    </w:p>
    <w:p w:rsidR="00CC4A95" w:rsidRDefault="00CC4A95">
      <w:pPr>
        <w:numPr>
          <w:ilvl w:val="0"/>
          <w:numId w:val="1"/>
        </w:numPr>
        <w:tabs>
          <w:tab w:val="left" w:pos="1440"/>
        </w:tabs>
        <w:rPr>
          <w:b/>
          <w:sz w:val="24"/>
          <w:szCs w:val="24"/>
        </w:rPr>
      </w:pPr>
      <w:r>
        <w:rPr>
          <w:b/>
          <w:sz w:val="24"/>
          <w:szCs w:val="24"/>
        </w:rPr>
        <w:lastRenderedPageBreak/>
        <w:t>Plans for Publication Information Collection Results</w:t>
      </w:r>
    </w:p>
    <w:p w:rsidR="00CC4A95" w:rsidRDefault="001C03D4">
      <w:pPr>
        <w:tabs>
          <w:tab w:val="left" w:pos="-720"/>
          <w:tab w:val="left" w:pos="0"/>
          <w:tab w:val="left" w:pos="720"/>
        </w:tabs>
        <w:ind w:left="1440"/>
        <w:rPr>
          <w:sz w:val="24"/>
          <w:szCs w:val="24"/>
        </w:rPr>
      </w:pPr>
      <w:r>
        <w:rPr>
          <w:sz w:val="24"/>
          <w:szCs w:val="24"/>
        </w:rPr>
        <w:t>SSA will not publish t</w:t>
      </w:r>
      <w:r w:rsidR="00CC4A95">
        <w:rPr>
          <w:sz w:val="24"/>
          <w:szCs w:val="24"/>
        </w:rPr>
        <w:t xml:space="preserve">he results </w:t>
      </w:r>
      <w:r w:rsidR="00436F10">
        <w:rPr>
          <w:sz w:val="24"/>
          <w:szCs w:val="24"/>
        </w:rPr>
        <w:t>of t</w:t>
      </w:r>
      <w:r w:rsidR="00DC7B12">
        <w:rPr>
          <w:sz w:val="24"/>
          <w:szCs w:val="24"/>
        </w:rPr>
        <w:t>he</w:t>
      </w:r>
      <w:r w:rsidR="00436F10">
        <w:rPr>
          <w:sz w:val="24"/>
          <w:szCs w:val="24"/>
        </w:rPr>
        <w:t xml:space="preserve"> information collection.</w:t>
      </w:r>
    </w:p>
    <w:p w:rsidR="00CC4A95" w:rsidRDefault="00CC4A95">
      <w:pPr>
        <w:tabs>
          <w:tab w:val="left" w:pos="-720"/>
          <w:tab w:val="left" w:pos="0"/>
          <w:tab w:val="left" w:pos="720"/>
        </w:tabs>
        <w:ind w:left="1440"/>
        <w:rPr>
          <w:sz w:val="24"/>
          <w:szCs w:val="24"/>
        </w:rPr>
      </w:pPr>
    </w:p>
    <w:p w:rsidR="00CC4A95" w:rsidRDefault="00CC4A95">
      <w:pPr>
        <w:numPr>
          <w:ilvl w:val="0"/>
          <w:numId w:val="1"/>
        </w:numPr>
        <w:tabs>
          <w:tab w:val="left" w:pos="1440"/>
        </w:tabs>
        <w:rPr>
          <w:b/>
          <w:sz w:val="24"/>
          <w:szCs w:val="24"/>
        </w:rPr>
      </w:pPr>
      <w:r>
        <w:rPr>
          <w:b/>
          <w:sz w:val="24"/>
          <w:szCs w:val="24"/>
        </w:rPr>
        <w:t>Displaying the OMB Approval Expiration Date</w:t>
      </w:r>
    </w:p>
    <w:p w:rsidR="00DC7B12" w:rsidRPr="00DC7B12" w:rsidRDefault="00DC7B12" w:rsidP="00DC7B12">
      <w:pPr>
        <w:pStyle w:val="NoSpacing"/>
        <w:ind w:left="1440"/>
        <w:rPr>
          <w:bCs/>
          <w:iCs/>
        </w:rPr>
      </w:pPr>
      <w:r w:rsidRPr="00DC7B12">
        <w:rPr>
          <w:bCs/>
          <w:iCs/>
        </w:rPr>
        <w:t xml:space="preserve">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CC4A95" w:rsidRPr="00DC7B12" w:rsidRDefault="00CC4A95">
      <w:pPr>
        <w:tabs>
          <w:tab w:val="left" w:pos="-720"/>
          <w:tab w:val="left" w:pos="0"/>
          <w:tab w:val="left" w:pos="720"/>
        </w:tabs>
        <w:ind w:left="1440"/>
        <w:rPr>
          <w:sz w:val="24"/>
          <w:szCs w:val="24"/>
        </w:rPr>
      </w:pPr>
    </w:p>
    <w:p w:rsidR="00CC4A95" w:rsidRDefault="00CC4A95">
      <w:pPr>
        <w:numPr>
          <w:ilvl w:val="0"/>
          <w:numId w:val="1"/>
        </w:numPr>
        <w:tabs>
          <w:tab w:val="left" w:pos="1440"/>
        </w:tabs>
        <w:rPr>
          <w:b/>
          <w:sz w:val="24"/>
          <w:szCs w:val="24"/>
        </w:rPr>
      </w:pPr>
      <w:r>
        <w:rPr>
          <w:b/>
          <w:sz w:val="24"/>
          <w:szCs w:val="24"/>
        </w:rPr>
        <w:t>Exceptions to Certification Statement</w:t>
      </w:r>
    </w:p>
    <w:p w:rsidR="00810938" w:rsidRPr="004B489B" w:rsidRDefault="00810938" w:rsidP="00810938">
      <w:pPr>
        <w:pStyle w:val="BodyText2"/>
        <w:suppressAutoHyphens w:val="0"/>
        <w:spacing w:after="0" w:line="240" w:lineRule="auto"/>
        <w:ind w:left="1440"/>
        <w:rPr>
          <w:i/>
          <w:sz w:val="24"/>
          <w:szCs w:val="24"/>
        </w:rPr>
      </w:pPr>
      <w:r w:rsidRPr="00810938">
        <w:rPr>
          <w:sz w:val="24"/>
          <w:szCs w:val="24"/>
        </w:rPr>
        <w:t xml:space="preserve">SSA is not requesting an exception to the certification requirements at </w:t>
      </w:r>
      <w:r w:rsidRPr="004B489B">
        <w:rPr>
          <w:i/>
          <w:sz w:val="24"/>
          <w:szCs w:val="24"/>
        </w:rPr>
        <w:t>5 CFR 1320.9</w:t>
      </w:r>
      <w:r w:rsidRPr="00810938">
        <w:rPr>
          <w:sz w:val="24"/>
          <w:szCs w:val="24"/>
        </w:rPr>
        <w:t xml:space="preserve"> and related provisions at </w:t>
      </w:r>
      <w:r w:rsidRPr="004B489B">
        <w:rPr>
          <w:i/>
          <w:sz w:val="24"/>
          <w:szCs w:val="24"/>
        </w:rPr>
        <w:t>5 CFR 1320.8(b</w:t>
      </w:r>
      <w:proofErr w:type="gramStart"/>
      <w:r w:rsidRPr="004B489B">
        <w:rPr>
          <w:i/>
          <w:sz w:val="24"/>
          <w:szCs w:val="24"/>
        </w:rPr>
        <w:t>)(</w:t>
      </w:r>
      <w:proofErr w:type="gramEnd"/>
      <w:r w:rsidRPr="004B489B">
        <w:rPr>
          <w:i/>
          <w:sz w:val="24"/>
          <w:szCs w:val="24"/>
        </w:rPr>
        <w:t xml:space="preserve">3). </w:t>
      </w:r>
    </w:p>
    <w:p w:rsidR="00CC4A95" w:rsidRDefault="00CC4A95">
      <w:pPr>
        <w:pStyle w:val="BodyTextIndent"/>
        <w:ind w:left="0" w:firstLine="0"/>
        <w:rPr>
          <w:rFonts w:ascii="Times New Roman" w:hAnsi="Times New Roman" w:cs="Times New Roman"/>
        </w:rPr>
      </w:pPr>
    </w:p>
    <w:p w:rsidR="00CC4A95" w:rsidRDefault="00CC4A95">
      <w:pPr>
        <w:tabs>
          <w:tab w:val="left" w:pos="-720"/>
        </w:tabs>
        <w:ind w:left="720" w:hanging="720"/>
        <w:rPr>
          <w:b/>
          <w:sz w:val="24"/>
          <w:szCs w:val="24"/>
          <w:u w:val="single"/>
        </w:rPr>
      </w:pPr>
      <w:r>
        <w:rPr>
          <w:b/>
          <w:sz w:val="24"/>
          <w:szCs w:val="24"/>
        </w:rPr>
        <w:t>B.</w:t>
      </w:r>
      <w:r>
        <w:rPr>
          <w:b/>
          <w:sz w:val="24"/>
          <w:szCs w:val="24"/>
        </w:rPr>
        <w:tab/>
      </w:r>
      <w:r>
        <w:rPr>
          <w:b/>
          <w:sz w:val="24"/>
          <w:szCs w:val="24"/>
          <w:u w:val="single"/>
        </w:rPr>
        <w:t>Collections of Information Employing Statistical Methods</w:t>
      </w:r>
    </w:p>
    <w:p w:rsidR="00CC4A95" w:rsidRDefault="00CC4A95">
      <w:pPr>
        <w:tabs>
          <w:tab w:val="left" w:pos="-720"/>
        </w:tabs>
        <w:rPr>
          <w:sz w:val="24"/>
          <w:szCs w:val="24"/>
        </w:rPr>
      </w:pPr>
    </w:p>
    <w:p w:rsidR="00CC4A95" w:rsidRDefault="000C495A" w:rsidP="000C495A">
      <w:pPr>
        <w:tabs>
          <w:tab w:val="left" w:pos="-720"/>
          <w:tab w:val="left" w:pos="0"/>
        </w:tabs>
        <w:ind w:left="720" w:right="-720" w:hanging="720"/>
        <w:rPr>
          <w:sz w:val="24"/>
          <w:szCs w:val="24"/>
        </w:rPr>
      </w:pPr>
      <w:r>
        <w:rPr>
          <w:sz w:val="24"/>
          <w:szCs w:val="24"/>
        </w:rPr>
        <w:tab/>
      </w:r>
      <w:r w:rsidR="00CC4A95">
        <w:rPr>
          <w:sz w:val="24"/>
          <w:szCs w:val="24"/>
        </w:rPr>
        <w:t>S</w:t>
      </w:r>
      <w:r w:rsidR="001C03D4">
        <w:rPr>
          <w:sz w:val="24"/>
          <w:szCs w:val="24"/>
        </w:rPr>
        <w:t>SA does not use s</w:t>
      </w:r>
      <w:r w:rsidR="00CC4A95">
        <w:rPr>
          <w:sz w:val="24"/>
          <w:szCs w:val="24"/>
        </w:rPr>
        <w:t xml:space="preserve">tatistical methods </w:t>
      </w:r>
      <w:r w:rsidR="001C03D4">
        <w:rPr>
          <w:sz w:val="24"/>
          <w:szCs w:val="24"/>
        </w:rPr>
        <w:t>f</w:t>
      </w:r>
      <w:r w:rsidR="00CC4A95">
        <w:rPr>
          <w:sz w:val="24"/>
          <w:szCs w:val="24"/>
        </w:rPr>
        <w:t>or this information collection.</w:t>
      </w:r>
    </w:p>
    <w:p w:rsidR="00CC4A95" w:rsidRDefault="00CC4A95">
      <w:pPr>
        <w:ind w:right="-720"/>
      </w:pPr>
    </w:p>
    <w:sectPr w:rsidR="00CC4A95" w:rsidSect="00E60B62">
      <w:footnotePr>
        <w:pos w:val="beneathText"/>
      </w:footnotePr>
      <w:pgSz w:w="12240" w:h="15840"/>
      <w:pgMar w:top="1440" w:right="1440" w:bottom="1496" w:left="1260" w:header="720" w:footer="144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77B" w:rsidRDefault="0062677B">
      <w:r>
        <w:separator/>
      </w:r>
    </w:p>
  </w:endnote>
  <w:endnote w:type="continuationSeparator" w:id="0">
    <w:p w:rsidR="0062677B" w:rsidRDefault="00626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77B" w:rsidRDefault="0062677B">
      <w:r>
        <w:separator/>
      </w:r>
    </w:p>
  </w:footnote>
  <w:footnote w:type="continuationSeparator" w:id="0">
    <w:p w:rsidR="0062677B" w:rsidRDefault="006267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EFC6224C"/>
    <w:name w:val="WW8Num1"/>
    <w:lvl w:ilvl="0">
      <w:start w:val="1"/>
      <w:numFmt w:val="decimal"/>
      <w:lvlText w:val="%1."/>
      <w:lvlJc w:val="left"/>
      <w:pPr>
        <w:tabs>
          <w:tab w:val="num" w:pos="1440"/>
        </w:tabs>
        <w:ind w:left="1440" w:hanging="720"/>
      </w:pPr>
      <w:rPr>
        <w:b/>
      </w:r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29C"/>
    <w:rsid w:val="00083304"/>
    <w:rsid w:val="000A05C6"/>
    <w:rsid w:val="000C24BC"/>
    <w:rsid w:val="000C495A"/>
    <w:rsid w:val="000E0C3B"/>
    <w:rsid w:val="001438AF"/>
    <w:rsid w:val="001A53EB"/>
    <w:rsid w:val="001C03D4"/>
    <w:rsid w:val="0034129C"/>
    <w:rsid w:val="0035401A"/>
    <w:rsid w:val="00354B68"/>
    <w:rsid w:val="0037325A"/>
    <w:rsid w:val="003D1A0C"/>
    <w:rsid w:val="00403759"/>
    <w:rsid w:val="00436F10"/>
    <w:rsid w:val="004B489B"/>
    <w:rsid w:val="00565B1D"/>
    <w:rsid w:val="005E3B20"/>
    <w:rsid w:val="005F6674"/>
    <w:rsid w:val="006061F2"/>
    <w:rsid w:val="00620CD3"/>
    <w:rsid w:val="0062677B"/>
    <w:rsid w:val="00661F92"/>
    <w:rsid w:val="006B3B4B"/>
    <w:rsid w:val="00735C9D"/>
    <w:rsid w:val="007678CD"/>
    <w:rsid w:val="007F0EDD"/>
    <w:rsid w:val="00806B97"/>
    <w:rsid w:val="00810938"/>
    <w:rsid w:val="0081560B"/>
    <w:rsid w:val="008247B8"/>
    <w:rsid w:val="0084332A"/>
    <w:rsid w:val="008668BF"/>
    <w:rsid w:val="008B4F51"/>
    <w:rsid w:val="009B7B3A"/>
    <w:rsid w:val="00A33874"/>
    <w:rsid w:val="00A46CDD"/>
    <w:rsid w:val="00AC41E9"/>
    <w:rsid w:val="00BD7545"/>
    <w:rsid w:val="00C5211D"/>
    <w:rsid w:val="00C748A5"/>
    <w:rsid w:val="00CC4A95"/>
    <w:rsid w:val="00CE1DC8"/>
    <w:rsid w:val="00CF7BFE"/>
    <w:rsid w:val="00D32C7C"/>
    <w:rsid w:val="00D6450A"/>
    <w:rsid w:val="00DA2B5E"/>
    <w:rsid w:val="00DA30FC"/>
    <w:rsid w:val="00DA481A"/>
    <w:rsid w:val="00DC3E2C"/>
    <w:rsid w:val="00DC7B12"/>
    <w:rsid w:val="00E21BE2"/>
    <w:rsid w:val="00E26A00"/>
    <w:rsid w:val="00E60B62"/>
    <w:rsid w:val="00F11A30"/>
    <w:rsid w:val="00F16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3z0">
    <w:name w:val="WW8Num3z0"/>
    <w:rPr>
      <w:sz w:val="24"/>
    </w:rPr>
  </w:style>
  <w:style w:type="character" w:customStyle="1" w:styleId="WW8Num4z0">
    <w:name w:val="WW8Num4z0"/>
    <w:rPr>
      <w:strike w:val="0"/>
      <w:dstrike w:val="0"/>
    </w:rPr>
  </w:style>
  <w:style w:type="character" w:styleId="PageNumber">
    <w:name w:val="page number"/>
    <w:basedOn w:val="DefaultParagraphFont"/>
  </w:style>
  <w:style w:type="character" w:styleId="Hyperlink">
    <w:name w:val="Hyperlink"/>
    <w:basedOn w:val="DefaultParagraphFont"/>
    <w:rPr>
      <w:color w:val="0000FF"/>
      <w:u w:val="single"/>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EndnoteText">
    <w:name w:val="endnote text"/>
    <w:basedOn w:val="Normal"/>
    <w:semiHidden/>
    <w:pPr>
      <w:widowControl w:val="0"/>
    </w:pPr>
    <w:rPr>
      <w:rFonts w:ascii="Courier New" w:hAnsi="Courier New" w:cs="Courier New"/>
      <w:sz w:val="24"/>
      <w:szCs w:val="24"/>
    </w:rPr>
  </w:style>
  <w:style w:type="paragraph" w:styleId="BodyTextIndent">
    <w:name w:val="Body Text Indent"/>
    <w:basedOn w:val="Normal"/>
    <w:pPr>
      <w:widowControl w:val="0"/>
      <w:tabs>
        <w:tab w:val="left" w:pos="-720"/>
        <w:tab w:val="left" w:pos="0"/>
        <w:tab w:val="left" w:pos="720"/>
      </w:tabs>
      <w:ind w:left="1440" w:hanging="1440"/>
    </w:pPr>
    <w:rPr>
      <w:rFonts w:ascii="Courier New" w:hAnsi="Courier New" w:cs="Courier New"/>
      <w:sz w:val="24"/>
      <w:szCs w:val="24"/>
    </w:rPr>
  </w:style>
  <w:style w:type="paragraph" w:styleId="Footer">
    <w:name w:val="footer"/>
    <w:basedOn w:val="Normal"/>
    <w:pPr>
      <w:widowControl w:val="0"/>
      <w:tabs>
        <w:tab w:val="center" w:pos="4320"/>
        <w:tab w:val="right" w:pos="8640"/>
      </w:tabs>
    </w:pPr>
    <w:rPr>
      <w:rFonts w:ascii="Courier New" w:hAnsi="Courier New" w:cs="Courier New"/>
    </w:rPr>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320"/>
        <w:tab w:val="right" w:pos="8640"/>
      </w:tabs>
    </w:pPr>
  </w:style>
  <w:style w:type="paragraph" w:customStyle="1" w:styleId="Style1">
    <w:name w:val="Style 1"/>
    <w:basedOn w:val="Normal"/>
    <w:pPr>
      <w:spacing w:before="252"/>
      <w:ind w:left="1440" w:hanging="720"/>
    </w:pPr>
  </w:style>
  <w:style w:type="paragraph" w:styleId="ListParagraph">
    <w:name w:val="List Paragraph"/>
    <w:basedOn w:val="Normal"/>
    <w:qFormat/>
    <w:rsid w:val="001438AF"/>
    <w:pPr>
      <w:ind w:left="720"/>
      <w:contextualSpacing/>
    </w:pPr>
  </w:style>
  <w:style w:type="paragraph" w:styleId="BodyText2">
    <w:name w:val="Body Text 2"/>
    <w:basedOn w:val="Normal"/>
    <w:link w:val="BodyText2Char"/>
    <w:rsid w:val="000E0C3B"/>
    <w:pPr>
      <w:spacing w:after="120" w:line="480" w:lineRule="auto"/>
    </w:pPr>
  </w:style>
  <w:style w:type="character" w:customStyle="1" w:styleId="BodyText2Char">
    <w:name w:val="Body Text 2 Char"/>
    <w:basedOn w:val="DefaultParagraphFont"/>
    <w:link w:val="BodyText2"/>
    <w:rsid w:val="000E0C3B"/>
    <w:rPr>
      <w:lang w:eastAsia="ar-SA"/>
    </w:rPr>
  </w:style>
  <w:style w:type="paragraph" w:styleId="HTMLPreformatted">
    <w:name w:val="HTML Preformatted"/>
    <w:basedOn w:val="Normal"/>
    <w:link w:val="HTMLPreformattedChar"/>
    <w:rsid w:val="00A338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rPr>
  </w:style>
  <w:style w:type="character" w:customStyle="1" w:styleId="HTMLPreformattedChar">
    <w:name w:val="HTML Preformatted Char"/>
    <w:basedOn w:val="DefaultParagraphFont"/>
    <w:link w:val="HTMLPreformatted"/>
    <w:rsid w:val="00A33874"/>
    <w:rPr>
      <w:rFonts w:ascii="Courier New" w:eastAsia="SimSun" w:hAnsi="Courier New" w:cs="Courier New"/>
      <w:lang w:eastAsia="ar-SA"/>
    </w:rPr>
  </w:style>
  <w:style w:type="paragraph" w:styleId="NoSpacing">
    <w:name w:val="No Spacing"/>
    <w:qFormat/>
    <w:rsid w:val="00DC7B12"/>
    <w:rPr>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3z0">
    <w:name w:val="WW8Num3z0"/>
    <w:rPr>
      <w:sz w:val="24"/>
    </w:rPr>
  </w:style>
  <w:style w:type="character" w:customStyle="1" w:styleId="WW8Num4z0">
    <w:name w:val="WW8Num4z0"/>
    <w:rPr>
      <w:strike w:val="0"/>
      <w:dstrike w:val="0"/>
    </w:rPr>
  </w:style>
  <w:style w:type="character" w:styleId="PageNumber">
    <w:name w:val="page number"/>
    <w:basedOn w:val="DefaultParagraphFont"/>
  </w:style>
  <w:style w:type="character" w:styleId="Hyperlink">
    <w:name w:val="Hyperlink"/>
    <w:basedOn w:val="DefaultParagraphFont"/>
    <w:rPr>
      <w:color w:val="0000FF"/>
      <w:u w:val="single"/>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EndnoteText">
    <w:name w:val="endnote text"/>
    <w:basedOn w:val="Normal"/>
    <w:semiHidden/>
    <w:pPr>
      <w:widowControl w:val="0"/>
    </w:pPr>
    <w:rPr>
      <w:rFonts w:ascii="Courier New" w:hAnsi="Courier New" w:cs="Courier New"/>
      <w:sz w:val="24"/>
      <w:szCs w:val="24"/>
    </w:rPr>
  </w:style>
  <w:style w:type="paragraph" w:styleId="BodyTextIndent">
    <w:name w:val="Body Text Indent"/>
    <w:basedOn w:val="Normal"/>
    <w:pPr>
      <w:widowControl w:val="0"/>
      <w:tabs>
        <w:tab w:val="left" w:pos="-720"/>
        <w:tab w:val="left" w:pos="0"/>
        <w:tab w:val="left" w:pos="720"/>
      </w:tabs>
      <w:ind w:left="1440" w:hanging="1440"/>
    </w:pPr>
    <w:rPr>
      <w:rFonts w:ascii="Courier New" w:hAnsi="Courier New" w:cs="Courier New"/>
      <w:sz w:val="24"/>
      <w:szCs w:val="24"/>
    </w:rPr>
  </w:style>
  <w:style w:type="paragraph" w:styleId="Footer">
    <w:name w:val="footer"/>
    <w:basedOn w:val="Normal"/>
    <w:pPr>
      <w:widowControl w:val="0"/>
      <w:tabs>
        <w:tab w:val="center" w:pos="4320"/>
        <w:tab w:val="right" w:pos="8640"/>
      </w:tabs>
    </w:pPr>
    <w:rPr>
      <w:rFonts w:ascii="Courier New" w:hAnsi="Courier New" w:cs="Courier New"/>
    </w:rPr>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320"/>
        <w:tab w:val="right" w:pos="8640"/>
      </w:tabs>
    </w:pPr>
  </w:style>
  <w:style w:type="paragraph" w:customStyle="1" w:styleId="Style1">
    <w:name w:val="Style 1"/>
    <w:basedOn w:val="Normal"/>
    <w:pPr>
      <w:spacing w:before="252"/>
      <w:ind w:left="1440" w:hanging="720"/>
    </w:pPr>
  </w:style>
  <w:style w:type="paragraph" w:styleId="ListParagraph">
    <w:name w:val="List Paragraph"/>
    <w:basedOn w:val="Normal"/>
    <w:qFormat/>
    <w:rsid w:val="001438AF"/>
    <w:pPr>
      <w:ind w:left="720"/>
      <w:contextualSpacing/>
    </w:pPr>
  </w:style>
  <w:style w:type="paragraph" w:styleId="BodyText2">
    <w:name w:val="Body Text 2"/>
    <w:basedOn w:val="Normal"/>
    <w:link w:val="BodyText2Char"/>
    <w:rsid w:val="000E0C3B"/>
    <w:pPr>
      <w:spacing w:after="120" w:line="480" w:lineRule="auto"/>
    </w:pPr>
  </w:style>
  <w:style w:type="character" w:customStyle="1" w:styleId="BodyText2Char">
    <w:name w:val="Body Text 2 Char"/>
    <w:basedOn w:val="DefaultParagraphFont"/>
    <w:link w:val="BodyText2"/>
    <w:rsid w:val="000E0C3B"/>
    <w:rPr>
      <w:lang w:eastAsia="ar-SA"/>
    </w:rPr>
  </w:style>
  <w:style w:type="paragraph" w:styleId="HTMLPreformatted">
    <w:name w:val="HTML Preformatted"/>
    <w:basedOn w:val="Normal"/>
    <w:link w:val="HTMLPreformattedChar"/>
    <w:rsid w:val="00A338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rPr>
  </w:style>
  <w:style w:type="character" w:customStyle="1" w:styleId="HTMLPreformattedChar">
    <w:name w:val="HTML Preformatted Char"/>
    <w:basedOn w:val="DefaultParagraphFont"/>
    <w:link w:val="HTMLPreformatted"/>
    <w:rsid w:val="00A33874"/>
    <w:rPr>
      <w:rFonts w:ascii="Courier New" w:eastAsia="SimSun" w:hAnsi="Courier New" w:cs="Courier New"/>
      <w:lang w:eastAsia="ar-SA"/>
    </w:rPr>
  </w:style>
  <w:style w:type="paragraph" w:styleId="NoSpacing">
    <w:name w:val="No Spacing"/>
    <w:qFormat/>
    <w:rsid w:val="00DC7B12"/>
    <w:rPr>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800</Words>
  <Characters>4563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Supporting Statement For Form HA-539, Notice Regarding Substitution of Party Upon Death of Claimant</vt:lpstr>
    </vt:vector>
  </TitlesOfParts>
  <Company>Social Security Administration</Company>
  <LinksUpToDate>false</LinksUpToDate>
  <CharactersWithSpaces>5353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HA-539, Notice Regarding Substitution of Party Upon Death of Claimant</dc:title>
  <dc:creator>689830</dc:creator>
  <cp:lastModifiedBy>889123</cp:lastModifiedBy>
  <cp:revision>4</cp:revision>
  <cp:lastPrinted>2012-09-17T13:42:00Z</cp:lastPrinted>
  <dcterms:created xsi:type="dcterms:W3CDTF">2015-07-08T17:11:00Z</dcterms:created>
  <dcterms:modified xsi:type="dcterms:W3CDTF">2015-09-04T18:15:00Z</dcterms:modified>
</cp:coreProperties>
</file>