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E6A88" w14:textId="77777777" w:rsidR="00FC633E" w:rsidRPr="001072BA" w:rsidRDefault="00FC633E" w:rsidP="005453AD">
      <w:pPr>
        <w:jc w:val="center"/>
        <w:rPr>
          <w:rFonts w:ascii="Calibri" w:hAnsi="Calibri"/>
          <w:sz w:val="28"/>
          <w:szCs w:val="28"/>
        </w:rPr>
      </w:pPr>
    </w:p>
    <w:p w14:paraId="7519E09C" w14:textId="77777777" w:rsidR="00FC633E" w:rsidRPr="001072BA" w:rsidRDefault="00FC633E" w:rsidP="005453AD">
      <w:pPr>
        <w:jc w:val="center"/>
        <w:rPr>
          <w:rFonts w:ascii="Calibri" w:hAnsi="Calibri"/>
          <w:b/>
          <w:sz w:val="28"/>
          <w:szCs w:val="28"/>
        </w:rPr>
      </w:pPr>
    </w:p>
    <w:p w14:paraId="7CCAAE83" w14:textId="77777777" w:rsidR="005453AD" w:rsidRPr="001072BA" w:rsidRDefault="005453AD" w:rsidP="005453AD">
      <w:pPr>
        <w:jc w:val="center"/>
        <w:rPr>
          <w:rFonts w:ascii="Calibri" w:hAnsi="Calibri"/>
          <w:b/>
          <w:sz w:val="22"/>
          <w:szCs w:val="22"/>
        </w:rPr>
      </w:pPr>
      <w:r w:rsidRPr="001072BA">
        <w:rPr>
          <w:rFonts w:ascii="Calibri" w:hAnsi="Calibri"/>
          <w:b/>
          <w:sz w:val="22"/>
          <w:szCs w:val="22"/>
        </w:rPr>
        <w:t>SUPPORTING STATEMENT</w:t>
      </w:r>
    </w:p>
    <w:p w14:paraId="0695E2BC" w14:textId="77777777" w:rsidR="00FC633E" w:rsidRPr="001072BA" w:rsidRDefault="00FC633E" w:rsidP="005453AD">
      <w:pPr>
        <w:jc w:val="center"/>
        <w:rPr>
          <w:rFonts w:ascii="Calibri" w:hAnsi="Calibri"/>
          <w:b/>
          <w:sz w:val="22"/>
          <w:szCs w:val="22"/>
        </w:rPr>
      </w:pPr>
    </w:p>
    <w:p w14:paraId="3F28059D" w14:textId="77777777" w:rsidR="005453AD" w:rsidRPr="001072BA" w:rsidRDefault="005453AD" w:rsidP="005453AD">
      <w:pPr>
        <w:jc w:val="center"/>
        <w:rPr>
          <w:rFonts w:ascii="Calibri" w:hAnsi="Calibri"/>
          <w:sz w:val="22"/>
          <w:szCs w:val="22"/>
        </w:rPr>
      </w:pPr>
      <w:r w:rsidRPr="001072BA">
        <w:rPr>
          <w:rFonts w:ascii="Calibri" w:hAnsi="Calibri"/>
          <w:b/>
          <w:sz w:val="22"/>
          <w:szCs w:val="22"/>
        </w:rPr>
        <w:t>Part B</w:t>
      </w:r>
    </w:p>
    <w:p w14:paraId="7D6C1E2A" w14:textId="77777777" w:rsidR="005453AD" w:rsidRPr="001072BA" w:rsidRDefault="005453AD" w:rsidP="005453AD">
      <w:pPr>
        <w:jc w:val="center"/>
        <w:rPr>
          <w:rFonts w:ascii="Calibri" w:hAnsi="Calibri"/>
          <w:sz w:val="22"/>
          <w:szCs w:val="22"/>
        </w:rPr>
      </w:pPr>
    </w:p>
    <w:p w14:paraId="37CE320F" w14:textId="77777777" w:rsidR="005453AD" w:rsidRPr="001072BA" w:rsidRDefault="005453AD" w:rsidP="005453AD">
      <w:pPr>
        <w:jc w:val="center"/>
        <w:rPr>
          <w:rFonts w:ascii="Calibri" w:hAnsi="Calibri"/>
          <w:sz w:val="22"/>
          <w:szCs w:val="22"/>
        </w:rPr>
      </w:pPr>
    </w:p>
    <w:p w14:paraId="7C634C93" w14:textId="77777777" w:rsidR="005453AD" w:rsidRPr="001072BA" w:rsidRDefault="005453AD" w:rsidP="005453AD">
      <w:pPr>
        <w:jc w:val="center"/>
        <w:rPr>
          <w:rFonts w:ascii="Calibri" w:hAnsi="Calibri"/>
          <w:sz w:val="22"/>
          <w:szCs w:val="22"/>
        </w:rPr>
      </w:pPr>
    </w:p>
    <w:p w14:paraId="087DAF86" w14:textId="77777777" w:rsidR="005453AD" w:rsidRPr="001072BA" w:rsidRDefault="005453AD" w:rsidP="005453AD">
      <w:pPr>
        <w:jc w:val="center"/>
        <w:rPr>
          <w:rFonts w:ascii="Calibri" w:hAnsi="Calibri"/>
          <w:sz w:val="22"/>
          <w:szCs w:val="22"/>
        </w:rPr>
      </w:pPr>
    </w:p>
    <w:p w14:paraId="58C34E6B" w14:textId="77777777" w:rsidR="005453AD" w:rsidRPr="001072BA" w:rsidRDefault="005453AD" w:rsidP="005453AD">
      <w:pPr>
        <w:jc w:val="center"/>
        <w:rPr>
          <w:rFonts w:ascii="Calibri" w:hAnsi="Calibri"/>
          <w:sz w:val="22"/>
          <w:szCs w:val="22"/>
        </w:rPr>
      </w:pPr>
    </w:p>
    <w:p w14:paraId="57A43530" w14:textId="77777777" w:rsidR="00FD17DB" w:rsidRPr="001C685D" w:rsidRDefault="00FD17DB" w:rsidP="00FD17DB">
      <w:pPr>
        <w:spacing w:after="200" w:line="276" w:lineRule="auto"/>
        <w:rPr>
          <w:rFonts w:ascii="Calibri" w:eastAsia="Calibri" w:hAnsi="Calibri"/>
          <w:b/>
          <w:sz w:val="22"/>
          <w:szCs w:val="22"/>
        </w:rPr>
      </w:pPr>
      <w:r w:rsidRPr="001C685D">
        <w:rPr>
          <w:rFonts w:ascii="Calibri" w:eastAsia="Calibri" w:hAnsi="Calibri"/>
          <w:b/>
          <w:sz w:val="22"/>
          <w:szCs w:val="22"/>
        </w:rPr>
        <w:t>Examining How Local Public Health Departments Can Leverage Age-Friendly Cities Initiatives to Build Resilience in Elderly Populations</w:t>
      </w:r>
    </w:p>
    <w:p w14:paraId="028000EA" w14:textId="3F4D7558" w:rsidR="00FD17DB" w:rsidRPr="001C685D" w:rsidRDefault="001C685D" w:rsidP="00FD17DB">
      <w:pPr>
        <w:spacing w:after="200" w:line="276" w:lineRule="auto"/>
        <w:rPr>
          <w:rFonts w:ascii="Calibri" w:eastAsia="Calibri" w:hAnsi="Calibri"/>
          <w:sz w:val="22"/>
          <w:szCs w:val="22"/>
        </w:rPr>
      </w:pPr>
      <w:r w:rsidRPr="001C685D">
        <w:rPr>
          <w:rFonts w:ascii="Calibri" w:eastAsia="Calibri" w:hAnsi="Calibri"/>
          <w:b/>
          <w:sz w:val="22"/>
          <w:szCs w:val="22"/>
        </w:rPr>
        <w:t>V</w:t>
      </w:r>
      <w:r w:rsidR="00EF008F" w:rsidRPr="001C685D">
        <w:rPr>
          <w:rFonts w:ascii="Calibri" w:eastAsia="Calibri" w:hAnsi="Calibri"/>
          <w:b/>
          <w:sz w:val="22"/>
          <w:szCs w:val="22"/>
        </w:rPr>
        <w:t>ersion</w:t>
      </w:r>
      <w:r w:rsidRPr="001C685D">
        <w:rPr>
          <w:rFonts w:ascii="Calibri" w:eastAsia="Calibri" w:hAnsi="Calibri"/>
          <w:b/>
          <w:sz w:val="22"/>
          <w:szCs w:val="22"/>
        </w:rPr>
        <w:t xml:space="preserve"> </w:t>
      </w:r>
      <w:r w:rsidR="003D32B9">
        <w:rPr>
          <w:rFonts w:ascii="Calibri" w:eastAsia="Calibri" w:hAnsi="Calibri"/>
          <w:b/>
          <w:sz w:val="22"/>
          <w:szCs w:val="22"/>
        </w:rPr>
        <w:t>3</w:t>
      </w:r>
    </w:p>
    <w:p w14:paraId="0A704AF2" w14:textId="6188D6F2" w:rsidR="00FD17DB" w:rsidRPr="001C685D" w:rsidRDefault="00FD17DB" w:rsidP="001072BA">
      <w:pPr>
        <w:spacing w:after="200" w:line="276" w:lineRule="auto"/>
        <w:rPr>
          <w:rFonts w:ascii="Calibri" w:eastAsia="Calibri" w:hAnsi="Calibri"/>
          <w:sz w:val="22"/>
          <w:szCs w:val="22"/>
        </w:rPr>
      </w:pPr>
      <w:r w:rsidRPr="001C685D">
        <w:rPr>
          <w:rFonts w:ascii="Calibri" w:eastAsia="Calibri" w:hAnsi="Calibri"/>
          <w:b/>
          <w:sz w:val="22"/>
          <w:szCs w:val="22"/>
        </w:rPr>
        <w:t>Date:</w:t>
      </w:r>
      <w:r w:rsidRPr="001C685D">
        <w:rPr>
          <w:rFonts w:ascii="Calibri" w:eastAsia="Calibri" w:hAnsi="Calibri"/>
          <w:sz w:val="22"/>
          <w:szCs w:val="22"/>
        </w:rPr>
        <w:t xml:space="preserve"> </w:t>
      </w:r>
      <w:r w:rsidR="003D32B9">
        <w:rPr>
          <w:rFonts w:ascii="Calibri" w:eastAsia="Calibri" w:hAnsi="Calibri"/>
          <w:sz w:val="22"/>
          <w:szCs w:val="22"/>
        </w:rPr>
        <w:t>01/0</w:t>
      </w:r>
      <w:r w:rsidR="00C9230B">
        <w:rPr>
          <w:rFonts w:ascii="Calibri" w:eastAsia="Calibri" w:hAnsi="Calibri"/>
          <w:sz w:val="22"/>
          <w:szCs w:val="22"/>
        </w:rPr>
        <w:t>5</w:t>
      </w:r>
      <w:bookmarkStart w:id="0" w:name="_GoBack"/>
      <w:bookmarkEnd w:id="0"/>
      <w:r w:rsidR="003D32B9">
        <w:rPr>
          <w:rFonts w:ascii="Calibri" w:eastAsia="Calibri" w:hAnsi="Calibri"/>
          <w:sz w:val="22"/>
          <w:szCs w:val="22"/>
        </w:rPr>
        <w:t>/2016</w:t>
      </w:r>
    </w:p>
    <w:p w14:paraId="10F7EBE5" w14:textId="77777777" w:rsidR="005453AD" w:rsidRPr="001072BA" w:rsidRDefault="005453AD" w:rsidP="005453AD">
      <w:pPr>
        <w:jc w:val="center"/>
        <w:rPr>
          <w:rFonts w:ascii="Calibri" w:hAnsi="Calibri"/>
          <w:sz w:val="28"/>
          <w:szCs w:val="28"/>
        </w:rPr>
      </w:pPr>
    </w:p>
    <w:p w14:paraId="12217513" w14:textId="77777777" w:rsidR="005453AD" w:rsidRPr="001072BA" w:rsidRDefault="005453AD" w:rsidP="005453AD">
      <w:pPr>
        <w:jc w:val="center"/>
        <w:rPr>
          <w:rFonts w:ascii="Calibri" w:hAnsi="Calibri"/>
          <w:sz w:val="28"/>
          <w:szCs w:val="28"/>
        </w:rPr>
      </w:pPr>
    </w:p>
    <w:p w14:paraId="289502C2" w14:textId="77777777" w:rsidR="005453AD" w:rsidRPr="001072BA" w:rsidRDefault="005453AD" w:rsidP="005453AD">
      <w:pPr>
        <w:jc w:val="center"/>
        <w:rPr>
          <w:rFonts w:ascii="Calibri" w:hAnsi="Calibri"/>
          <w:sz w:val="28"/>
          <w:szCs w:val="28"/>
        </w:rPr>
      </w:pPr>
    </w:p>
    <w:p w14:paraId="77979E3D" w14:textId="77777777" w:rsidR="005453AD" w:rsidRPr="001072BA" w:rsidRDefault="005453AD" w:rsidP="005453AD">
      <w:pPr>
        <w:jc w:val="center"/>
        <w:rPr>
          <w:rFonts w:ascii="Calibri" w:hAnsi="Calibri"/>
          <w:sz w:val="28"/>
          <w:szCs w:val="28"/>
        </w:rPr>
      </w:pPr>
    </w:p>
    <w:p w14:paraId="0E9E890E" w14:textId="77777777" w:rsidR="005453AD" w:rsidRPr="001072BA" w:rsidRDefault="005453AD" w:rsidP="005453AD">
      <w:pPr>
        <w:jc w:val="center"/>
        <w:rPr>
          <w:rFonts w:ascii="Calibri" w:hAnsi="Calibri"/>
          <w:sz w:val="28"/>
          <w:szCs w:val="28"/>
        </w:rPr>
      </w:pPr>
    </w:p>
    <w:p w14:paraId="72FC95C1" w14:textId="77777777" w:rsidR="005453AD" w:rsidRPr="001072BA" w:rsidRDefault="005453AD" w:rsidP="005453AD">
      <w:pPr>
        <w:jc w:val="center"/>
        <w:rPr>
          <w:rFonts w:ascii="Calibri" w:hAnsi="Calibri"/>
          <w:sz w:val="28"/>
          <w:szCs w:val="28"/>
        </w:rPr>
      </w:pPr>
    </w:p>
    <w:p w14:paraId="5F0A0BBE" w14:textId="77777777" w:rsidR="005453AD" w:rsidRPr="001072BA" w:rsidRDefault="005453AD" w:rsidP="005453AD">
      <w:pPr>
        <w:jc w:val="center"/>
        <w:rPr>
          <w:rFonts w:ascii="Calibri" w:hAnsi="Calibri"/>
          <w:sz w:val="28"/>
          <w:szCs w:val="28"/>
        </w:rPr>
      </w:pPr>
    </w:p>
    <w:p w14:paraId="1F7150D1" w14:textId="77777777" w:rsidR="005453AD" w:rsidRPr="001072BA" w:rsidRDefault="005453AD" w:rsidP="005453AD">
      <w:pPr>
        <w:rPr>
          <w:rFonts w:ascii="Calibri" w:hAnsi="Calibri"/>
          <w:sz w:val="28"/>
          <w:szCs w:val="28"/>
        </w:rPr>
      </w:pPr>
    </w:p>
    <w:p w14:paraId="59361EC4" w14:textId="77777777" w:rsidR="005453AD" w:rsidRPr="001072BA" w:rsidRDefault="005453AD" w:rsidP="005453AD">
      <w:pPr>
        <w:rPr>
          <w:rFonts w:ascii="Calibri" w:hAnsi="Calibri"/>
          <w:sz w:val="28"/>
          <w:szCs w:val="28"/>
        </w:rPr>
      </w:pPr>
    </w:p>
    <w:p w14:paraId="0C4731ED" w14:textId="77777777" w:rsidR="005453AD" w:rsidRPr="001072BA" w:rsidRDefault="005453AD" w:rsidP="005453AD">
      <w:pPr>
        <w:jc w:val="center"/>
        <w:rPr>
          <w:rFonts w:ascii="Calibri" w:hAnsi="Calibri"/>
          <w:b/>
        </w:rPr>
      </w:pPr>
      <w:r w:rsidRPr="001072BA">
        <w:rPr>
          <w:rFonts w:ascii="Calibri" w:hAnsi="Calibri"/>
        </w:rPr>
        <w:br w:type="page"/>
      </w:r>
      <w:r w:rsidRPr="001072BA">
        <w:rPr>
          <w:rFonts w:ascii="Calibri" w:hAnsi="Calibri"/>
          <w:b/>
        </w:rPr>
        <w:lastRenderedPageBreak/>
        <w:t>Table of contents</w:t>
      </w:r>
    </w:p>
    <w:p w14:paraId="22531A14" w14:textId="77777777" w:rsidR="005453AD" w:rsidRPr="001072BA" w:rsidRDefault="005453AD" w:rsidP="00FC633E">
      <w:pPr>
        <w:rPr>
          <w:rFonts w:ascii="Calibri" w:hAnsi="Calibri"/>
        </w:rPr>
      </w:pPr>
    </w:p>
    <w:p w14:paraId="691C47F5" w14:textId="77777777" w:rsidR="00FC633E" w:rsidRPr="001072BA" w:rsidRDefault="00FC633E" w:rsidP="00FC633E">
      <w:pPr>
        <w:tabs>
          <w:tab w:val="left" w:leader="dot" w:pos="8460"/>
        </w:tabs>
        <w:rPr>
          <w:rFonts w:ascii="Calibri" w:hAnsi="Calibri"/>
        </w:rPr>
      </w:pPr>
      <w:r w:rsidRPr="001072BA">
        <w:rPr>
          <w:rFonts w:ascii="Calibri" w:hAnsi="Calibri"/>
        </w:rPr>
        <w:t>B. Collections of Information Employing Statistical Methods</w:t>
      </w:r>
      <w:r w:rsidRPr="001072BA">
        <w:rPr>
          <w:rFonts w:ascii="Calibri" w:hAnsi="Calibri"/>
        </w:rPr>
        <w:tab/>
        <w:t>3</w:t>
      </w:r>
    </w:p>
    <w:p w14:paraId="7D0161E9" w14:textId="77777777" w:rsidR="00494438" w:rsidRPr="001072BA" w:rsidRDefault="00FC633E" w:rsidP="00494438">
      <w:pPr>
        <w:rPr>
          <w:rFonts w:ascii="Calibri" w:eastAsia="Calibri" w:hAnsi="Calibri"/>
          <w:sz w:val="22"/>
          <w:szCs w:val="22"/>
        </w:rPr>
      </w:pPr>
      <w:r w:rsidRPr="001072BA">
        <w:rPr>
          <w:rFonts w:ascii="Calibri" w:hAnsi="Calibri"/>
        </w:rPr>
        <w:tab/>
      </w:r>
    </w:p>
    <w:p w14:paraId="391614AA" w14:textId="77777777" w:rsidR="00494438" w:rsidRPr="001072BA" w:rsidRDefault="00494438" w:rsidP="00494438">
      <w:pPr>
        <w:rPr>
          <w:rFonts w:ascii="Calibri" w:eastAsia="Calibri" w:hAnsi="Calibri"/>
          <w:sz w:val="22"/>
          <w:szCs w:val="22"/>
        </w:rPr>
      </w:pPr>
      <w:r w:rsidRPr="001072BA">
        <w:rPr>
          <w:rFonts w:ascii="Calibri" w:eastAsia="Calibri" w:hAnsi="Calibri"/>
          <w:sz w:val="22"/>
          <w:szCs w:val="22"/>
        </w:rPr>
        <w:t xml:space="preserve">1. Respondent Universe and Sampling Methods </w:t>
      </w:r>
    </w:p>
    <w:p w14:paraId="1F23A2B0" w14:textId="77777777" w:rsidR="00494438" w:rsidRPr="001072BA" w:rsidRDefault="00494438" w:rsidP="00494438">
      <w:pPr>
        <w:rPr>
          <w:rFonts w:ascii="Calibri" w:eastAsia="Calibri" w:hAnsi="Calibri"/>
          <w:sz w:val="22"/>
          <w:szCs w:val="22"/>
        </w:rPr>
      </w:pPr>
    </w:p>
    <w:p w14:paraId="3525071D" w14:textId="77777777" w:rsidR="00494438" w:rsidRPr="001072BA" w:rsidRDefault="00494438" w:rsidP="00494438">
      <w:pPr>
        <w:spacing w:after="200" w:line="276" w:lineRule="auto"/>
        <w:rPr>
          <w:rFonts w:ascii="Calibri" w:eastAsia="Calibri" w:hAnsi="Calibri"/>
          <w:sz w:val="22"/>
          <w:szCs w:val="22"/>
        </w:rPr>
      </w:pPr>
      <w:r w:rsidRPr="001072BA">
        <w:rPr>
          <w:rFonts w:ascii="Calibri" w:eastAsia="Calibri" w:hAnsi="Calibri"/>
          <w:sz w:val="22"/>
          <w:szCs w:val="22"/>
        </w:rPr>
        <w:t xml:space="preserve">2. Procedures for the Collection of Information </w:t>
      </w:r>
    </w:p>
    <w:p w14:paraId="688EC0D2" w14:textId="77777777" w:rsidR="00494438" w:rsidRPr="001072BA" w:rsidRDefault="00494438" w:rsidP="00494438">
      <w:pPr>
        <w:spacing w:after="200" w:line="276" w:lineRule="auto"/>
        <w:rPr>
          <w:rFonts w:ascii="Calibri" w:eastAsia="Calibri" w:hAnsi="Calibri"/>
          <w:sz w:val="22"/>
          <w:szCs w:val="22"/>
        </w:rPr>
      </w:pPr>
      <w:r w:rsidRPr="001072BA">
        <w:rPr>
          <w:rFonts w:ascii="Calibri" w:eastAsia="Calibri" w:hAnsi="Calibri"/>
          <w:sz w:val="22"/>
          <w:szCs w:val="22"/>
        </w:rPr>
        <w:t xml:space="preserve">3. Methods to Maximize Response Rates and Deal with Nonresponse </w:t>
      </w:r>
    </w:p>
    <w:p w14:paraId="47881799" w14:textId="77777777" w:rsidR="00494438" w:rsidRPr="001072BA" w:rsidRDefault="00494438" w:rsidP="00494438">
      <w:pPr>
        <w:spacing w:after="200" w:line="276" w:lineRule="auto"/>
        <w:rPr>
          <w:rFonts w:ascii="Calibri" w:eastAsia="Calibri" w:hAnsi="Calibri"/>
          <w:sz w:val="22"/>
          <w:szCs w:val="22"/>
        </w:rPr>
      </w:pPr>
      <w:r w:rsidRPr="001072BA">
        <w:rPr>
          <w:rFonts w:ascii="Calibri" w:eastAsia="Calibri" w:hAnsi="Calibri"/>
          <w:sz w:val="22"/>
          <w:szCs w:val="22"/>
        </w:rPr>
        <w:t xml:space="preserve">4. Test of Procedures or Methods to be Undertaken </w:t>
      </w:r>
    </w:p>
    <w:p w14:paraId="4AFE2438" w14:textId="77777777" w:rsidR="00494438" w:rsidRPr="001072BA" w:rsidRDefault="00494438" w:rsidP="00494438">
      <w:pPr>
        <w:spacing w:after="200" w:line="276" w:lineRule="auto"/>
        <w:rPr>
          <w:rFonts w:ascii="Calibri" w:eastAsia="Calibri" w:hAnsi="Calibri"/>
          <w:sz w:val="22"/>
          <w:szCs w:val="22"/>
        </w:rPr>
      </w:pPr>
      <w:r w:rsidRPr="001072BA">
        <w:rPr>
          <w:rFonts w:ascii="Calibri" w:eastAsia="Calibri" w:hAnsi="Calibri"/>
          <w:sz w:val="22"/>
          <w:szCs w:val="22"/>
        </w:rPr>
        <w:t>5. Individuals Consulted on Statistical Aspects and Individuals Collecting and/or Analyzing Data</w:t>
      </w:r>
    </w:p>
    <w:p w14:paraId="227ACFDE" w14:textId="77777777" w:rsidR="00874B68" w:rsidRDefault="003C2F3C" w:rsidP="00874B68">
      <w:pPr>
        <w:rPr>
          <w:rFonts w:ascii="Calibri" w:hAnsi="Calibri"/>
          <w:sz w:val="22"/>
          <w:szCs w:val="22"/>
        </w:rPr>
      </w:pPr>
      <w:bookmarkStart w:id="1" w:name="_Toc151782198"/>
      <w:bookmarkStart w:id="2" w:name="_Toc158526234"/>
      <w:r w:rsidRPr="003C2F3C">
        <w:rPr>
          <w:rFonts w:ascii="Calibri" w:hAnsi="Calibri"/>
          <w:sz w:val="22"/>
          <w:szCs w:val="22"/>
        </w:rPr>
        <w:t>List of Atta</w:t>
      </w:r>
      <w:r>
        <w:rPr>
          <w:rFonts w:ascii="Calibri" w:hAnsi="Calibri"/>
          <w:sz w:val="22"/>
          <w:szCs w:val="22"/>
        </w:rPr>
        <w:t>chments</w:t>
      </w:r>
    </w:p>
    <w:p w14:paraId="5C853889" w14:textId="77777777" w:rsidR="00874B68" w:rsidRPr="001072BA" w:rsidRDefault="00874B68" w:rsidP="00874B68">
      <w:pPr>
        <w:rPr>
          <w:rFonts w:ascii="Calibri" w:hAnsi="Calibri"/>
        </w:rPr>
      </w:pPr>
    </w:p>
    <w:p w14:paraId="7DD6C525" w14:textId="77777777" w:rsidR="003C2F3C" w:rsidRPr="003C2F3C" w:rsidRDefault="003C2F3C" w:rsidP="003C2F3C">
      <w:pPr>
        <w:rPr>
          <w:rFonts w:ascii="Calibri" w:hAnsi="Calibri"/>
          <w:sz w:val="22"/>
          <w:szCs w:val="22"/>
        </w:rPr>
      </w:pPr>
      <w:r w:rsidRPr="003C2F3C">
        <w:rPr>
          <w:rFonts w:ascii="Calibri" w:hAnsi="Calibri"/>
          <w:sz w:val="22"/>
          <w:szCs w:val="22"/>
        </w:rPr>
        <w:t>Attachment A - Authorizing Legislation</w:t>
      </w:r>
      <w:r w:rsidRPr="003C2F3C">
        <w:rPr>
          <w:rFonts w:ascii="Calibri" w:hAnsi="Calibri"/>
          <w:sz w:val="22"/>
          <w:szCs w:val="22"/>
        </w:rPr>
        <w:tab/>
        <w:t xml:space="preserve"> </w:t>
      </w:r>
    </w:p>
    <w:p w14:paraId="3356136E" w14:textId="77777777" w:rsidR="003C2F3C" w:rsidRPr="003C2F3C" w:rsidRDefault="003C2F3C" w:rsidP="003C2F3C">
      <w:pPr>
        <w:rPr>
          <w:rFonts w:ascii="Calibri" w:hAnsi="Calibri"/>
          <w:sz w:val="22"/>
          <w:szCs w:val="22"/>
        </w:rPr>
      </w:pPr>
      <w:r w:rsidRPr="003C2F3C">
        <w:rPr>
          <w:rFonts w:ascii="Calibri" w:hAnsi="Calibri"/>
          <w:sz w:val="22"/>
          <w:szCs w:val="22"/>
        </w:rPr>
        <w:t>Attachment B - Published 60-day FRN</w:t>
      </w:r>
      <w:r w:rsidRPr="003C2F3C">
        <w:rPr>
          <w:rFonts w:ascii="Calibri" w:hAnsi="Calibri"/>
          <w:sz w:val="22"/>
          <w:szCs w:val="22"/>
        </w:rPr>
        <w:tab/>
        <w:t xml:space="preserve"> </w:t>
      </w:r>
    </w:p>
    <w:p w14:paraId="08342786" w14:textId="77777777" w:rsidR="003C2F3C" w:rsidRPr="003C2F3C" w:rsidRDefault="003C2F3C" w:rsidP="003C2F3C">
      <w:pPr>
        <w:rPr>
          <w:rFonts w:ascii="Calibri" w:hAnsi="Calibri"/>
          <w:sz w:val="22"/>
          <w:szCs w:val="22"/>
        </w:rPr>
      </w:pPr>
      <w:r w:rsidRPr="003C2F3C">
        <w:rPr>
          <w:rFonts w:ascii="Calibri" w:hAnsi="Calibri"/>
          <w:sz w:val="22"/>
          <w:szCs w:val="22"/>
        </w:rPr>
        <w:t xml:space="preserve">Attachment C - Survey for Older Adults </w:t>
      </w:r>
    </w:p>
    <w:p w14:paraId="53DCFADF" w14:textId="77777777" w:rsidR="00020CDC" w:rsidRDefault="003C2F3C" w:rsidP="003C2F3C">
      <w:pPr>
        <w:rPr>
          <w:rFonts w:ascii="Calibri" w:hAnsi="Calibri"/>
          <w:sz w:val="22"/>
          <w:szCs w:val="22"/>
        </w:rPr>
      </w:pPr>
      <w:r w:rsidRPr="003C2F3C">
        <w:rPr>
          <w:rFonts w:ascii="Calibri" w:hAnsi="Calibri"/>
          <w:sz w:val="22"/>
          <w:szCs w:val="22"/>
        </w:rPr>
        <w:t xml:space="preserve">Attachment D - Interview Guide for Age Friendly Initiative Staff </w:t>
      </w:r>
    </w:p>
    <w:p w14:paraId="5F9129E2" w14:textId="77777777" w:rsidR="003C2F3C" w:rsidRPr="003C2F3C" w:rsidRDefault="003C2F3C" w:rsidP="003C2F3C">
      <w:pPr>
        <w:rPr>
          <w:rFonts w:ascii="Calibri" w:hAnsi="Calibri"/>
          <w:sz w:val="22"/>
          <w:szCs w:val="22"/>
        </w:rPr>
      </w:pPr>
      <w:r w:rsidRPr="003C2F3C">
        <w:rPr>
          <w:rFonts w:ascii="Calibri" w:hAnsi="Calibri"/>
          <w:sz w:val="22"/>
          <w:szCs w:val="22"/>
        </w:rPr>
        <w:t xml:space="preserve">Attachment E – Interview Guide for Senior Village Directors </w:t>
      </w:r>
    </w:p>
    <w:p w14:paraId="5F009A04" w14:textId="77777777" w:rsidR="003C2F3C" w:rsidRPr="003C2F3C" w:rsidRDefault="003C2F3C" w:rsidP="003C2F3C">
      <w:pPr>
        <w:rPr>
          <w:rFonts w:ascii="Calibri" w:hAnsi="Calibri"/>
          <w:sz w:val="22"/>
          <w:szCs w:val="22"/>
        </w:rPr>
      </w:pPr>
      <w:r w:rsidRPr="003C2F3C">
        <w:rPr>
          <w:rFonts w:ascii="Calibri" w:hAnsi="Calibri"/>
          <w:sz w:val="22"/>
          <w:szCs w:val="22"/>
        </w:rPr>
        <w:t xml:space="preserve">Attachment F – Interview Guide for Local Health Department Representatives </w:t>
      </w:r>
    </w:p>
    <w:p w14:paraId="35218044" w14:textId="77777777" w:rsidR="003C2F3C" w:rsidRPr="003C2F3C" w:rsidRDefault="003C2F3C" w:rsidP="003C2F3C">
      <w:pPr>
        <w:rPr>
          <w:rFonts w:ascii="Calibri" w:hAnsi="Calibri"/>
          <w:sz w:val="22"/>
          <w:szCs w:val="22"/>
        </w:rPr>
      </w:pPr>
      <w:r w:rsidRPr="003C2F3C">
        <w:rPr>
          <w:rFonts w:ascii="Calibri" w:hAnsi="Calibri"/>
          <w:sz w:val="22"/>
          <w:szCs w:val="22"/>
        </w:rPr>
        <w:t>Attachment G – Recruitment Letter for Age Friendly Initiative Staff</w:t>
      </w:r>
    </w:p>
    <w:p w14:paraId="6142915C" w14:textId="77777777" w:rsidR="003C2F3C" w:rsidRPr="003C2F3C" w:rsidRDefault="003C2F3C" w:rsidP="003C2F3C">
      <w:pPr>
        <w:rPr>
          <w:rFonts w:ascii="Calibri" w:hAnsi="Calibri"/>
          <w:sz w:val="22"/>
          <w:szCs w:val="22"/>
        </w:rPr>
      </w:pPr>
      <w:r w:rsidRPr="003C2F3C">
        <w:rPr>
          <w:rFonts w:ascii="Calibri" w:hAnsi="Calibri"/>
          <w:sz w:val="22"/>
          <w:szCs w:val="22"/>
        </w:rPr>
        <w:t>Attachment H – Recruitment Letter for Senior Village Directors</w:t>
      </w:r>
    </w:p>
    <w:p w14:paraId="51CF5C66" w14:textId="77777777" w:rsidR="003C2F3C" w:rsidRPr="003C2F3C" w:rsidRDefault="003C2F3C" w:rsidP="003C2F3C">
      <w:pPr>
        <w:rPr>
          <w:rFonts w:ascii="Calibri" w:hAnsi="Calibri"/>
          <w:sz w:val="22"/>
          <w:szCs w:val="22"/>
        </w:rPr>
      </w:pPr>
      <w:r w:rsidRPr="003C2F3C">
        <w:rPr>
          <w:rFonts w:ascii="Calibri" w:hAnsi="Calibri"/>
          <w:sz w:val="22"/>
          <w:szCs w:val="22"/>
        </w:rPr>
        <w:t>Attachment I – Recruitment Letter for Local Health Department Representatives</w:t>
      </w:r>
    </w:p>
    <w:p w14:paraId="5C3C0DB9" w14:textId="6B3BEF62" w:rsidR="00874B68" w:rsidRPr="005A528D" w:rsidRDefault="003C2F3C" w:rsidP="00874B68">
      <w:pPr>
        <w:rPr>
          <w:rFonts w:ascii="Calibri" w:hAnsi="Calibri"/>
          <w:sz w:val="22"/>
        </w:rPr>
      </w:pPr>
      <w:r w:rsidRPr="003C2F3C">
        <w:rPr>
          <w:rFonts w:ascii="Calibri" w:hAnsi="Calibri"/>
          <w:sz w:val="22"/>
          <w:szCs w:val="22"/>
        </w:rPr>
        <w:t>Attachment J – Institutional Review Board (IRB) Approval Exemption Letter</w:t>
      </w:r>
    </w:p>
    <w:p w14:paraId="06E768BF" w14:textId="77777777" w:rsidR="00874B68" w:rsidRPr="001072BA" w:rsidRDefault="00874B68" w:rsidP="00874B68">
      <w:pPr>
        <w:rPr>
          <w:rFonts w:ascii="Calibri" w:hAnsi="Calibri"/>
        </w:rPr>
      </w:pPr>
    </w:p>
    <w:p w14:paraId="76AA287F" w14:textId="77777777" w:rsidR="00874B68" w:rsidRPr="001072BA" w:rsidRDefault="00874B68" w:rsidP="00874B68">
      <w:pPr>
        <w:rPr>
          <w:rFonts w:ascii="Calibri" w:hAnsi="Calibri"/>
        </w:rPr>
      </w:pPr>
    </w:p>
    <w:p w14:paraId="78E08A6B" w14:textId="1F46EAF6" w:rsidR="00874B68" w:rsidRPr="001072BA" w:rsidRDefault="00874B68" w:rsidP="00874B68">
      <w:pPr>
        <w:rPr>
          <w:rFonts w:ascii="Calibri" w:hAnsi="Calibri"/>
        </w:rPr>
      </w:pPr>
    </w:p>
    <w:p w14:paraId="592B157E" w14:textId="77777777" w:rsidR="00874B68" w:rsidRPr="001072BA" w:rsidRDefault="00874B68" w:rsidP="00874B68">
      <w:pPr>
        <w:rPr>
          <w:rFonts w:ascii="Calibri" w:hAnsi="Calibri"/>
        </w:rPr>
      </w:pPr>
    </w:p>
    <w:p w14:paraId="64E46EE5" w14:textId="77777777" w:rsidR="00874B68" w:rsidRPr="001072BA" w:rsidRDefault="00874B68" w:rsidP="00874B68">
      <w:pPr>
        <w:rPr>
          <w:rFonts w:ascii="Calibri" w:hAnsi="Calibri"/>
        </w:rPr>
      </w:pPr>
    </w:p>
    <w:p w14:paraId="2A7F2527" w14:textId="77777777" w:rsidR="00874B68" w:rsidRPr="001072BA" w:rsidRDefault="00874B68" w:rsidP="00874B68">
      <w:pPr>
        <w:rPr>
          <w:rFonts w:ascii="Calibri" w:hAnsi="Calibri"/>
        </w:rPr>
      </w:pPr>
    </w:p>
    <w:p w14:paraId="6AC11A76" w14:textId="77777777" w:rsidR="00874B68" w:rsidRPr="001072BA" w:rsidRDefault="00874B68" w:rsidP="00874B68">
      <w:pPr>
        <w:rPr>
          <w:rFonts w:ascii="Calibri" w:hAnsi="Calibri"/>
        </w:rPr>
      </w:pPr>
    </w:p>
    <w:p w14:paraId="0D212425" w14:textId="77777777" w:rsidR="00874B68" w:rsidRPr="001072BA" w:rsidRDefault="00874B68" w:rsidP="00874B68">
      <w:pPr>
        <w:rPr>
          <w:rFonts w:ascii="Calibri" w:hAnsi="Calibri"/>
        </w:rPr>
      </w:pPr>
    </w:p>
    <w:p w14:paraId="4B745BE8" w14:textId="77777777" w:rsidR="00874B68" w:rsidRPr="001072BA" w:rsidRDefault="00874B68" w:rsidP="00874B68">
      <w:pPr>
        <w:rPr>
          <w:rFonts w:ascii="Calibri" w:hAnsi="Calibri"/>
        </w:rPr>
      </w:pPr>
    </w:p>
    <w:p w14:paraId="49F6C386" w14:textId="77777777" w:rsidR="00874B68" w:rsidRPr="001072BA" w:rsidRDefault="00874B68" w:rsidP="00874B68">
      <w:pPr>
        <w:rPr>
          <w:rFonts w:ascii="Calibri" w:hAnsi="Calibri"/>
        </w:rPr>
      </w:pPr>
    </w:p>
    <w:p w14:paraId="1AB7C945" w14:textId="77777777" w:rsidR="00874B68" w:rsidRPr="001072BA" w:rsidRDefault="00874B68" w:rsidP="00874B68">
      <w:pPr>
        <w:rPr>
          <w:rFonts w:ascii="Calibri" w:hAnsi="Calibri"/>
        </w:rPr>
      </w:pPr>
    </w:p>
    <w:p w14:paraId="17B10A86" w14:textId="77777777" w:rsidR="00874B68" w:rsidRPr="001072BA" w:rsidRDefault="00874B68" w:rsidP="00874B68">
      <w:pPr>
        <w:rPr>
          <w:rFonts w:ascii="Calibri" w:hAnsi="Calibri"/>
        </w:rPr>
      </w:pPr>
    </w:p>
    <w:p w14:paraId="7DED81D4" w14:textId="77777777" w:rsidR="00874B68" w:rsidRPr="001072BA" w:rsidRDefault="00874B68" w:rsidP="00874B68">
      <w:pPr>
        <w:rPr>
          <w:rFonts w:ascii="Calibri" w:hAnsi="Calibri"/>
        </w:rPr>
      </w:pPr>
    </w:p>
    <w:p w14:paraId="1B9AA957" w14:textId="77777777" w:rsidR="00874B68" w:rsidRPr="001072BA" w:rsidRDefault="00874B68" w:rsidP="00874B68">
      <w:pPr>
        <w:rPr>
          <w:rFonts w:ascii="Calibri" w:hAnsi="Calibri"/>
        </w:rPr>
      </w:pPr>
    </w:p>
    <w:p w14:paraId="175F23BC" w14:textId="77777777" w:rsidR="00874B68" w:rsidRPr="001072BA" w:rsidRDefault="00874B68" w:rsidP="00874B68">
      <w:pPr>
        <w:rPr>
          <w:rFonts w:ascii="Calibri" w:hAnsi="Calibri"/>
        </w:rPr>
      </w:pPr>
    </w:p>
    <w:p w14:paraId="37EA8E75" w14:textId="77777777" w:rsidR="00874B68" w:rsidRPr="001072BA" w:rsidRDefault="00874B68" w:rsidP="00874B68">
      <w:pPr>
        <w:rPr>
          <w:rFonts w:ascii="Calibri" w:hAnsi="Calibri"/>
        </w:rPr>
      </w:pPr>
    </w:p>
    <w:p w14:paraId="3C67E9F5" w14:textId="77777777" w:rsidR="00874B68" w:rsidRPr="001072BA" w:rsidRDefault="00874B68" w:rsidP="00874B68">
      <w:pPr>
        <w:rPr>
          <w:rFonts w:ascii="Calibri" w:hAnsi="Calibri"/>
        </w:rPr>
      </w:pPr>
    </w:p>
    <w:p w14:paraId="79873278" w14:textId="77777777" w:rsidR="00874B68" w:rsidRPr="001072BA" w:rsidRDefault="00874B68" w:rsidP="00874B68">
      <w:pPr>
        <w:rPr>
          <w:rFonts w:ascii="Calibri" w:hAnsi="Calibri"/>
        </w:rPr>
      </w:pPr>
    </w:p>
    <w:p w14:paraId="52A816F6" w14:textId="77777777" w:rsidR="00874B68" w:rsidRPr="001072BA" w:rsidRDefault="00874B68" w:rsidP="00874B68">
      <w:pPr>
        <w:rPr>
          <w:rFonts w:ascii="Calibri" w:hAnsi="Calibri"/>
        </w:rPr>
      </w:pPr>
    </w:p>
    <w:p w14:paraId="1585AE77" w14:textId="77777777" w:rsidR="00874B68" w:rsidRPr="001072BA" w:rsidRDefault="00874B68" w:rsidP="00874B68">
      <w:pPr>
        <w:rPr>
          <w:rFonts w:ascii="Calibri" w:hAnsi="Calibri"/>
        </w:rPr>
      </w:pPr>
    </w:p>
    <w:p w14:paraId="4482CF91" w14:textId="77777777" w:rsidR="00874B68" w:rsidRPr="001072BA" w:rsidRDefault="00874B68" w:rsidP="00874B68">
      <w:pPr>
        <w:rPr>
          <w:rFonts w:ascii="Calibri" w:hAnsi="Calibri"/>
        </w:rPr>
      </w:pPr>
    </w:p>
    <w:p w14:paraId="6961BA53" w14:textId="77777777" w:rsidR="00874B68" w:rsidRPr="001072BA" w:rsidRDefault="00874B68" w:rsidP="00874B68">
      <w:pPr>
        <w:rPr>
          <w:rFonts w:ascii="Calibri" w:hAnsi="Calibri"/>
        </w:rPr>
      </w:pPr>
    </w:p>
    <w:p w14:paraId="6535FB62" w14:textId="77777777" w:rsidR="00874B68" w:rsidRPr="001072BA" w:rsidRDefault="00874B68" w:rsidP="00874B68">
      <w:pPr>
        <w:rPr>
          <w:rFonts w:ascii="Calibri" w:hAnsi="Calibri"/>
        </w:rPr>
      </w:pPr>
    </w:p>
    <w:p w14:paraId="62F9DAC2" w14:textId="77777777" w:rsidR="00874B68" w:rsidRPr="001072BA" w:rsidRDefault="00874B68" w:rsidP="00874B68">
      <w:pPr>
        <w:rPr>
          <w:rFonts w:ascii="Calibri" w:hAnsi="Calibri"/>
        </w:rPr>
      </w:pPr>
    </w:p>
    <w:p w14:paraId="264A1D7E" w14:textId="77777777" w:rsidR="00874B68" w:rsidRPr="001072BA" w:rsidRDefault="00874B68" w:rsidP="00874B68">
      <w:pPr>
        <w:rPr>
          <w:rFonts w:ascii="Calibri" w:hAnsi="Calibri"/>
        </w:rPr>
      </w:pPr>
    </w:p>
    <w:p w14:paraId="045A3C86" w14:textId="77777777" w:rsidR="00874B68" w:rsidRPr="001072BA" w:rsidRDefault="00874B68" w:rsidP="00874B68">
      <w:pPr>
        <w:rPr>
          <w:rFonts w:ascii="Calibri" w:hAnsi="Calibri"/>
        </w:rPr>
      </w:pPr>
    </w:p>
    <w:p w14:paraId="14D09AAD" w14:textId="77777777" w:rsidR="00874B68" w:rsidRPr="001072BA" w:rsidRDefault="00874B68" w:rsidP="00874B68">
      <w:pPr>
        <w:rPr>
          <w:rFonts w:ascii="Calibri" w:hAnsi="Calibri"/>
        </w:rPr>
      </w:pPr>
    </w:p>
    <w:p w14:paraId="21CAA8F4" w14:textId="77777777" w:rsidR="00874B68" w:rsidRPr="001072BA" w:rsidRDefault="00874B68" w:rsidP="00874B68">
      <w:pPr>
        <w:rPr>
          <w:rFonts w:ascii="Calibri" w:hAnsi="Calibri"/>
        </w:rPr>
      </w:pPr>
    </w:p>
    <w:p w14:paraId="76C064C4" w14:textId="77777777" w:rsidR="00874B68" w:rsidRPr="001072BA" w:rsidRDefault="00874B68" w:rsidP="00874B68">
      <w:pPr>
        <w:rPr>
          <w:rFonts w:ascii="Calibri" w:hAnsi="Calibri"/>
        </w:rPr>
      </w:pPr>
    </w:p>
    <w:p w14:paraId="4DE6A206" w14:textId="77777777" w:rsidR="00874B68" w:rsidRPr="001072BA" w:rsidRDefault="00874B68" w:rsidP="00874B68">
      <w:pPr>
        <w:rPr>
          <w:rFonts w:ascii="Calibri" w:hAnsi="Calibri"/>
        </w:rPr>
      </w:pPr>
    </w:p>
    <w:p w14:paraId="23E28C89" w14:textId="77777777" w:rsidR="002837E3" w:rsidRPr="001072BA" w:rsidRDefault="002837E3" w:rsidP="005453AD">
      <w:pPr>
        <w:pStyle w:val="Heading1"/>
        <w:rPr>
          <w:rFonts w:ascii="Calibri" w:hAnsi="Calibri"/>
          <w:sz w:val="24"/>
          <w:szCs w:val="24"/>
        </w:rPr>
      </w:pPr>
    </w:p>
    <w:p w14:paraId="45361AC4" w14:textId="77777777" w:rsidR="00874B68" w:rsidRPr="00DC6FA8" w:rsidRDefault="005453AD" w:rsidP="00DC6FA8">
      <w:pPr>
        <w:pStyle w:val="Heading1"/>
        <w:rPr>
          <w:rFonts w:ascii="Calibri" w:hAnsi="Calibri"/>
          <w:sz w:val="24"/>
          <w:szCs w:val="24"/>
        </w:rPr>
      </w:pPr>
      <w:r w:rsidRPr="001072BA">
        <w:rPr>
          <w:rFonts w:ascii="Calibri" w:hAnsi="Calibri"/>
          <w:sz w:val="24"/>
          <w:szCs w:val="24"/>
        </w:rPr>
        <w:t>B. Collections of Information Employing Statistical Methods</w:t>
      </w:r>
      <w:bookmarkEnd w:id="1"/>
      <w:bookmarkEnd w:id="2"/>
    </w:p>
    <w:p w14:paraId="47ADB77B" w14:textId="77777777" w:rsidR="006A09B7" w:rsidRPr="001072BA" w:rsidRDefault="006A09B7" w:rsidP="00874B68">
      <w:pPr>
        <w:rPr>
          <w:rFonts w:ascii="Calibri" w:hAnsi="Calibri"/>
        </w:rPr>
      </w:pPr>
    </w:p>
    <w:p w14:paraId="6E64C133" w14:textId="77777777" w:rsidR="005453AD" w:rsidRDefault="005453AD" w:rsidP="005453AD">
      <w:pPr>
        <w:pStyle w:val="Heading2"/>
        <w:spacing w:before="0" w:after="0"/>
        <w:rPr>
          <w:rFonts w:ascii="Calibri" w:hAnsi="Calibri"/>
          <w:sz w:val="24"/>
        </w:rPr>
      </w:pPr>
      <w:bookmarkStart w:id="3" w:name="_Toc151782199"/>
      <w:bookmarkStart w:id="4" w:name="_Toc158526235"/>
      <w:r w:rsidRPr="001072BA">
        <w:rPr>
          <w:rFonts w:ascii="Calibri" w:hAnsi="Calibri"/>
          <w:sz w:val="24"/>
        </w:rPr>
        <w:t>1. Respondent universe and sampling methods</w:t>
      </w:r>
      <w:bookmarkEnd w:id="3"/>
      <w:bookmarkEnd w:id="4"/>
    </w:p>
    <w:p w14:paraId="2A54A15D" w14:textId="77777777" w:rsidR="00DC6FA8" w:rsidRPr="00DC6FA8" w:rsidRDefault="00DC6FA8" w:rsidP="00DC6FA8"/>
    <w:p w14:paraId="0BBF2C8D" w14:textId="77777777" w:rsidR="00927F0A" w:rsidRPr="001072BA" w:rsidRDefault="00EA33D7" w:rsidP="002837E3">
      <w:pPr>
        <w:spacing w:after="240"/>
        <w:rPr>
          <w:rFonts w:ascii="Calibri" w:hAnsi="Calibri"/>
          <w:b/>
          <w:i/>
          <w:u w:val="single"/>
        </w:rPr>
      </w:pPr>
      <w:r w:rsidRPr="001072BA">
        <w:rPr>
          <w:rFonts w:ascii="Calibri" w:hAnsi="Calibri"/>
          <w:b/>
          <w:i/>
          <w:u w:val="single"/>
        </w:rPr>
        <w:t xml:space="preserve">1.A. </w:t>
      </w:r>
      <w:r w:rsidR="00927F0A" w:rsidRPr="001072BA">
        <w:rPr>
          <w:rFonts w:ascii="Calibri" w:hAnsi="Calibri"/>
          <w:b/>
          <w:i/>
          <w:u w:val="single"/>
        </w:rPr>
        <w:t>Interviews with Key Informants</w:t>
      </w:r>
    </w:p>
    <w:p w14:paraId="401CE6CD" w14:textId="7F493DAA" w:rsidR="00927F0A" w:rsidRPr="001072BA" w:rsidRDefault="00FC711D" w:rsidP="002837E3">
      <w:pPr>
        <w:spacing w:after="240"/>
        <w:rPr>
          <w:rFonts w:ascii="Calibri" w:hAnsi="Calibri"/>
        </w:rPr>
      </w:pPr>
      <w:r w:rsidRPr="001072BA">
        <w:rPr>
          <w:rFonts w:ascii="Calibri" w:hAnsi="Calibri"/>
          <w:b/>
        </w:rPr>
        <w:t xml:space="preserve">Potential respondent universe. </w:t>
      </w:r>
      <w:r w:rsidR="00927F0A" w:rsidRPr="001072BA">
        <w:rPr>
          <w:rFonts w:ascii="Calibri" w:hAnsi="Calibri"/>
        </w:rPr>
        <w:t xml:space="preserve">The </w:t>
      </w:r>
      <w:r w:rsidR="00EA33D7" w:rsidRPr="001072BA">
        <w:rPr>
          <w:rFonts w:ascii="Calibri" w:hAnsi="Calibri"/>
        </w:rPr>
        <w:t>target</w:t>
      </w:r>
      <w:r w:rsidR="00927F0A" w:rsidRPr="001072BA">
        <w:rPr>
          <w:rFonts w:ascii="Calibri" w:hAnsi="Calibri"/>
        </w:rPr>
        <w:t xml:space="preserve"> universe for the interviews </w:t>
      </w:r>
      <w:r w:rsidR="00EA33D7" w:rsidRPr="001072BA">
        <w:rPr>
          <w:rFonts w:ascii="Calibri" w:hAnsi="Calibri"/>
        </w:rPr>
        <w:t xml:space="preserve">with key informants </w:t>
      </w:r>
      <w:r w:rsidR="00927F0A" w:rsidRPr="001072BA">
        <w:rPr>
          <w:rFonts w:ascii="Calibri" w:hAnsi="Calibri"/>
        </w:rPr>
        <w:t xml:space="preserve">comprises </w:t>
      </w:r>
      <w:r w:rsidR="00EA33D7" w:rsidRPr="001072BA">
        <w:rPr>
          <w:rFonts w:ascii="Calibri" w:hAnsi="Calibri"/>
        </w:rPr>
        <w:t xml:space="preserve">three types of respondents </w:t>
      </w:r>
      <w:r w:rsidR="00927F0A" w:rsidRPr="001072BA">
        <w:rPr>
          <w:rFonts w:ascii="Calibri" w:hAnsi="Calibri"/>
        </w:rPr>
        <w:t xml:space="preserve">(a) </w:t>
      </w:r>
      <w:r w:rsidR="00C524D8">
        <w:rPr>
          <w:rFonts w:ascii="Calibri" w:hAnsi="Calibri"/>
        </w:rPr>
        <w:t>Senior V</w:t>
      </w:r>
      <w:r w:rsidR="00927F0A" w:rsidRPr="001072BA">
        <w:rPr>
          <w:rFonts w:ascii="Calibri" w:hAnsi="Calibri"/>
        </w:rPr>
        <w:t xml:space="preserve">illage </w:t>
      </w:r>
      <w:r w:rsidR="00C524D8">
        <w:rPr>
          <w:rFonts w:ascii="Calibri" w:hAnsi="Calibri"/>
        </w:rPr>
        <w:t>(SV)</w:t>
      </w:r>
      <w:r w:rsidR="00927F0A" w:rsidRPr="001072BA">
        <w:rPr>
          <w:rFonts w:ascii="Calibri" w:hAnsi="Calibri"/>
        </w:rPr>
        <w:t xml:space="preserve"> executive directors; (b) Age Friendly </w:t>
      </w:r>
      <w:r w:rsidR="00EA33D7" w:rsidRPr="001072BA">
        <w:rPr>
          <w:rFonts w:ascii="Calibri" w:hAnsi="Calibri"/>
        </w:rPr>
        <w:t>Initiative</w:t>
      </w:r>
      <w:r w:rsidR="00927F0A" w:rsidRPr="001072BA">
        <w:rPr>
          <w:rFonts w:ascii="Calibri" w:hAnsi="Calibri"/>
        </w:rPr>
        <w:t xml:space="preserve"> </w:t>
      </w:r>
      <w:r w:rsidR="00C524D8">
        <w:rPr>
          <w:rFonts w:ascii="Calibri" w:hAnsi="Calibri"/>
        </w:rPr>
        <w:t xml:space="preserve">(AFI) </w:t>
      </w:r>
      <w:r w:rsidR="00927F0A" w:rsidRPr="001072BA">
        <w:rPr>
          <w:rFonts w:ascii="Calibri" w:hAnsi="Calibri"/>
        </w:rPr>
        <w:t xml:space="preserve">staff; and (c) </w:t>
      </w:r>
      <w:r w:rsidR="00C524D8">
        <w:rPr>
          <w:rFonts w:ascii="Calibri" w:hAnsi="Calibri"/>
        </w:rPr>
        <w:t>L</w:t>
      </w:r>
      <w:r w:rsidR="00927F0A" w:rsidRPr="001072BA">
        <w:rPr>
          <w:rFonts w:ascii="Calibri" w:hAnsi="Calibri"/>
        </w:rPr>
        <w:t xml:space="preserve">ocal </w:t>
      </w:r>
      <w:r w:rsidR="00C524D8">
        <w:rPr>
          <w:rFonts w:ascii="Calibri" w:hAnsi="Calibri"/>
        </w:rPr>
        <w:t>P</w:t>
      </w:r>
      <w:r w:rsidR="00EA33D7" w:rsidRPr="001072BA">
        <w:rPr>
          <w:rFonts w:ascii="Calibri" w:hAnsi="Calibri"/>
        </w:rPr>
        <w:t xml:space="preserve">ublic </w:t>
      </w:r>
      <w:r w:rsidR="00C524D8">
        <w:rPr>
          <w:rFonts w:ascii="Calibri" w:hAnsi="Calibri"/>
        </w:rPr>
        <w:t>Health D</w:t>
      </w:r>
      <w:r w:rsidR="00927F0A" w:rsidRPr="001072BA">
        <w:rPr>
          <w:rFonts w:ascii="Calibri" w:hAnsi="Calibri"/>
        </w:rPr>
        <w:t xml:space="preserve">epartment </w:t>
      </w:r>
      <w:r w:rsidR="00C524D8">
        <w:rPr>
          <w:rFonts w:ascii="Calibri" w:hAnsi="Calibri"/>
        </w:rPr>
        <w:t>(LHD)</w:t>
      </w:r>
      <w:r w:rsidR="00927F0A" w:rsidRPr="001072BA">
        <w:rPr>
          <w:rFonts w:ascii="Calibri" w:hAnsi="Calibri"/>
        </w:rPr>
        <w:t xml:space="preserve"> officials. </w:t>
      </w:r>
      <w:r w:rsidR="00EA33D7" w:rsidRPr="001072BA">
        <w:rPr>
          <w:rFonts w:ascii="Calibri" w:hAnsi="Calibri"/>
        </w:rPr>
        <w:t xml:space="preserve"> </w:t>
      </w:r>
      <w:r w:rsidR="00C524D8">
        <w:rPr>
          <w:rFonts w:ascii="Calibri" w:hAnsi="Calibri"/>
        </w:rPr>
        <w:t>AFIs</w:t>
      </w:r>
      <w:r w:rsidR="00927F0A" w:rsidRPr="001072BA">
        <w:rPr>
          <w:rFonts w:ascii="Calibri" w:hAnsi="Calibri"/>
        </w:rPr>
        <w:t xml:space="preserve"> in the U.S. can be either city-based or county-based</w:t>
      </w:r>
      <w:r w:rsidR="00EA33D7" w:rsidRPr="001072BA">
        <w:rPr>
          <w:rFonts w:ascii="Calibri" w:hAnsi="Calibri"/>
        </w:rPr>
        <w:t xml:space="preserve"> and are led by city/county-level administration, health departments, academic centers, and/or volunteer organizations</w:t>
      </w:r>
      <w:r w:rsidR="00927F0A" w:rsidRPr="001072BA">
        <w:rPr>
          <w:rFonts w:ascii="Calibri" w:hAnsi="Calibri"/>
        </w:rPr>
        <w:t xml:space="preserve">.  </w:t>
      </w:r>
      <w:r w:rsidR="00C524D8">
        <w:rPr>
          <w:rFonts w:ascii="Calibri" w:hAnsi="Calibri"/>
        </w:rPr>
        <w:t>SVs</w:t>
      </w:r>
      <w:r w:rsidRPr="001072BA">
        <w:rPr>
          <w:rFonts w:ascii="Calibri" w:hAnsi="Calibri"/>
        </w:rPr>
        <w:t xml:space="preserve"> are neighborhood-</w:t>
      </w:r>
      <w:r w:rsidR="00EA33D7" w:rsidRPr="001072BA">
        <w:rPr>
          <w:rFonts w:ascii="Calibri" w:hAnsi="Calibri"/>
        </w:rPr>
        <w:t>based and are grassroots organizations usually led by older adult residents.</w:t>
      </w:r>
      <w:r w:rsidR="00C524D8">
        <w:rPr>
          <w:rFonts w:ascii="Calibri" w:hAnsi="Calibri"/>
        </w:rPr>
        <w:t xml:space="preserve"> </w:t>
      </w:r>
    </w:p>
    <w:p w14:paraId="2FCF2E8D" w14:textId="31B094E5" w:rsidR="00AA39D7" w:rsidRPr="001072BA" w:rsidRDefault="00864861" w:rsidP="002837E3">
      <w:pPr>
        <w:spacing w:after="240"/>
        <w:rPr>
          <w:rFonts w:ascii="Calibri" w:hAnsi="Calibri"/>
        </w:rPr>
      </w:pPr>
      <w:r w:rsidRPr="001072BA">
        <w:rPr>
          <w:rFonts w:ascii="Calibri" w:hAnsi="Calibri"/>
          <w:b/>
        </w:rPr>
        <w:t xml:space="preserve">Sample </w:t>
      </w:r>
      <w:r w:rsidR="00FC711D" w:rsidRPr="001072BA">
        <w:rPr>
          <w:rFonts w:ascii="Calibri" w:hAnsi="Calibri"/>
          <w:b/>
        </w:rPr>
        <w:t xml:space="preserve">size. </w:t>
      </w:r>
      <w:r w:rsidR="005F785E" w:rsidRPr="001072BA">
        <w:rPr>
          <w:rFonts w:ascii="Calibri" w:hAnsi="Calibri"/>
        </w:rPr>
        <w:t xml:space="preserve">We will recruit </w:t>
      </w:r>
      <w:r w:rsidR="00FC711D" w:rsidRPr="001072BA">
        <w:rPr>
          <w:rFonts w:ascii="Calibri" w:hAnsi="Calibri"/>
        </w:rPr>
        <w:t xml:space="preserve">no more than </w:t>
      </w:r>
      <w:r w:rsidR="00927F0A" w:rsidRPr="001072BA">
        <w:rPr>
          <w:rFonts w:ascii="Calibri" w:hAnsi="Calibri"/>
        </w:rPr>
        <w:t xml:space="preserve">30 </w:t>
      </w:r>
      <w:r w:rsidR="00C524D8">
        <w:rPr>
          <w:rFonts w:ascii="Calibri" w:hAnsi="Calibri"/>
        </w:rPr>
        <w:t>SV</w:t>
      </w:r>
      <w:r w:rsidR="00AA39D7" w:rsidRPr="001072BA">
        <w:rPr>
          <w:rFonts w:ascii="Calibri" w:hAnsi="Calibri"/>
        </w:rPr>
        <w:t xml:space="preserve"> executive directors, </w:t>
      </w:r>
      <w:r w:rsidR="00927F0A" w:rsidRPr="001072BA">
        <w:rPr>
          <w:rFonts w:ascii="Calibri" w:hAnsi="Calibri"/>
        </w:rPr>
        <w:t xml:space="preserve">31 staff from </w:t>
      </w:r>
      <w:r w:rsidR="00EA33D7" w:rsidRPr="001072BA">
        <w:rPr>
          <w:rFonts w:ascii="Calibri" w:hAnsi="Calibri"/>
        </w:rPr>
        <w:t>AFIs</w:t>
      </w:r>
      <w:r w:rsidR="00AA39D7" w:rsidRPr="001072BA">
        <w:rPr>
          <w:rFonts w:ascii="Calibri" w:hAnsi="Calibri"/>
        </w:rPr>
        <w:t>, and 15</w:t>
      </w:r>
      <w:r w:rsidR="00FC711D" w:rsidRPr="001072BA">
        <w:rPr>
          <w:rFonts w:ascii="Calibri" w:hAnsi="Calibri"/>
        </w:rPr>
        <w:t xml:space="preserve"> </w:t>
      </w:r>
      <w:r w:rsidR="00C524D8">
        <w:rPr>
          <w:rFonts w:ascii="Calibri" w:hAnsi="Calibri"/>
        </w:rPr>
        <w:t>LHD</w:t>
      </w:r>
      <w:r w:rsidR="00AA39D7" w:rsidRPr="001072BA">
        <w:rPr>
          <w:rFonts w:ascii="Calibri" w:hAnsi="Calibri"/>
        </w:rPr>
        <w:t xml:space="preserve"> officials.</w:t>
      </w:r>
    </w:p>
    <w:p w14:paraId="49567F54" w14:textId="77777777" w:rsidR="00E346A8" w:rsidRPr="00E346A8" w:rsidRDefault="00FC711D" w:rsidP="00E346A8">
      <w:pPr>
        <w:spacing w:after="240"/>
        <w:rPr>
          <w:rFonts w:ascii="Calibri" w:hAnsi="Calibri"/>
          <w:b/>
          <w:i/>
        </w:rPr>
      </w:pPr>
      <w:r w:rsidRPr="001072BA">
        <w:rPr>
          <w:rFonts w:ascii="Calibri" w:hAnsi="Calibri"/>
          <w:b/>
        </w:rPr>
        <w:t>Sampling and Selection.</w:t>
      </w:r>
      <w:r w:rsidRPr="001072BA">
        <w:rPr>
          <w:rFonts w:ascii="Calibri" w:hAnsi="Calibri"/>
        </w:rPr>
        <w:t xml:space="preserve"> </w:t>
      </w:r>
      <w:r w:rsidR="00E346A8" w:rsidRPr="00E346A8">
        <w:rPr>
          <w:rFonts w:ascii="Calibri" w:hAnsi="Calibri"/>
        </w:rPr>
        <w:t>Recruitment of the convenience sample involves stratification only for the SVs.  We expect to ask a screening question (during recruitment stage) to identify whether EP activities have or will be administered.  We will aim for the 30 SV executive director interviewees to be split in half: 15 executive directors of SVs that do provide some type of EP activity and 15 executive directors of SVs that do not provide some type of EP activity.</w:t>
      </w:r>
    </w:p>
    <w:p w14:paraId="3A39962A" w14:textId="5F2364A9" w:rsidR="00927F0A" w:rsidRPr="001072BA" w:rsidRDefault="00EA33D7" w:rsidP="002837E3">
      <w:pPr>
        <w:spacing w:after="240"/>
        <w:rPr>
          <w:rFonts w:ascii="Calibri" w:hAnsi="Calibri"/>
        </w:rPr>
      </w:pPr>
      <w:r w:rsidRPr="001072BA">
        <w:rPr>
          <w:rFonts w:ascii="Calibri" w:hAnsi="Calibri"/>
        </w:rPr>
        <w:t>We will work with the Village-to-</w:t>
      </w:r>
      <w:r w:rsidR="00927F0A" w:rsidRPr="001072BA">
        <w:rPr>
          <w:rFonts w:ascii="Calibri" w:hAnsi="Calibri"/>
        </w:rPr>
        <w:t>Village Netw</w:t>
      </w:r>
      <w:r w:rsidR="001072BA">
        <w:rPr>
          <w:rFonts w:ascii="Calibri" w:hAnsi="Calibri"/>
        </w:rPr>
        <w:t xml:space="preserve">ork to identify and recruit the </w:t>
      </w:r>
      <w:r w:rsidR="00C524D8">
        <w:rPr>
          <w:rFonts w:ascii="Calibri" w:hAnsi="Calibri"/>
        </w:rPr>
        <w:t>SV</w:t>
      </w:r>
      <w:r w:rsidR="001072BA">
        <w:rPr>
          <w:rFonts w:ascii="Calibri" w:hAnsi="Calibri"/>
        </w:rPr>
        <w:t xml:space="preserve"> </w:t>
      </w:r>
      <w:r w:rsidR="00927F0A" w:rsidRPr="001072BA">
        <w:rPr>
          <w:rFonts w:ascii="Calibri" w:hAnsi="Calibri"/>
        </w:rPr>
        <w:t xml:space="preserve">executive directors to participate in the interviews.  </w:t>
      </w:r>
      <w:r w:rsidR="00D002C5" w:rsidRPr="00D002C5">
        <w:rPr>
          <w:rFonts w:ascii="Calibri" w:hAnsi="Calibri"/>
        </w:rPr>
        <w:t>Each respondent type will be sent a letter of recruitment (Attachment G – Recruitment Letter for Age Friendly Initiative Staff, Attachment H – Recruitment Letter for Senior Village Director &amp; Attachment I – Recruitment Letter for Local Health Department Representatives).</w:t>
      </w:r>
      <w:r w:rsidR="00D002C5">
        <w:rPr>
          <w:rFonts w:ascii="Calibri" w:hAnsi="Calibri"/>
        </w:rPr>
        <w:t xml:space="preserve"> </w:t>
      </w:r>
      <w:r w:rsidR="00927F0A" w:rsidRPr="001072BA">
        <w:rPr>
          <w:rFonts w:ascii="Calibri" w:hAnsi="Calibri"/>
        </w:rPr>
        <w:t xml:space="preserve">With regard to Age Friendly staff, the administration of </w:t>
      </w:r>
      <w:r w:rsidR="00E3112F">
        <w:rPr>
          <w:rFonts w:ascii="Calibri" w:hAnsi="Calibri"/>
        </w:rPr>
        <w:t>AFIs</w:t>
      </w:r>
      <w:r w:rsidR="00927F0A" w:rsidRPr="001072BA">
        <w:rPr>
          <w:rFonts w:ascii="Calibri" w:hAnsi="Calibri"/>
        </w:rPr>
        <w:t xml:space="preserve"> differ</w:t>
      </w:r>
      <w:r w:rsidR="007458ED" w:rsidRPr="001072BA">
        <w:rPr>
          <w:rFonts w:ascii="Calibri" w:hAnsi="Calibri"/>
        </w:rPr>
        <w:t>s</w:t>
      </w:r>
      <w:r w:rsidR="00927F0A" w:rsidRPr="001072BA">
        <w:rPr>
          <w:rFonts w:ascii="Calibri" w:hAnsi="Calibri"/>
        </w:rPr>
        <w:t xml:space="preserve"> widely across sites.  We will work with </w:t>
      </w:r>
      <w:r w:rsidR="00E3112F">
        <w:rPr>
          <w:rFonts w:ascii="Calibri" w:hAnsi="Calibri"/>
        </w:rPr>
        <w:t xml:space="preserve">the </w:t>
      </w:r>
      <w:r w:rsidR="00E3112F" w:rsidRPr="00E3112F">
        <w:rPr>
          <w:rFonts w:ascii="Calibri" w:hAnsi="Calibri"/>
        </w:rPr>
        <w:t xml:space="preserve">American Association of Retired Persons </w:t>
      </w:r>
      <w:r w:rsidR="00E3112F">
        <w:rPr>
          <w:rFonts w:ascii="Calibri" w:hAnsi="Calibri"/>
        </w:rPr>
        <w:t>(</w:t>
      </w:r>
      <w:r w:rsidR="00927F0A" w:rsidRPr="001072BA">
        <w:rPr>
          <w:rFonts w:ascii="Calibri" w:hAnsi="Calibri"/>
        </w:rPr>
        <w:t>AARP</w:t>
      </w:r>
      <w:r w:rsidR="00E3112F">
        <w:rPr>
          <w:rFonts w:ascii="Calibri" w:hAnsi="Calibri"/>
        </w:rPr>
        <w:t>)</w:t>
      </w:r>
      <w:r w:rsidR="00927F0A" w:rsidRPr="001072BA">
        <w:rPr>
          <w:rFonts w:ascii="Calibri" w:hAnsi="Calibri"/>
        </w:rPr>
        <w:t xml:space="preserve"> Public Policy Institute to identify lead staff for </w:t>
      </w:r>
      <w:r w:rsidR="00C524D8">
        <w:rPr>
          <w:rFonts w:ascii="Calibri" w:hAnsi="Calibri"/>
        </w:rPr>
        <w:t>AFI</w:t>
      </w:r>
      <w:r w:rsidR="001072BA">
        <w:rPr>
          <w:rFonts w:ascii="Calibri" w:hAnsi="Calibri"/>
        </w:rPr>
        <w:t>s</w:t>
      </w:r>
      <w:r w:rsidR="00FC711D" w:rsidRPr="001072BA">
        <w:rPr>
          <w:rFonts w:ascii="Calibri" w:hAnsi="Calibri"/>
        </w:rPr>
        <w:t xml:space="preserve"> that are</w:t>
      </w:r>
      <w:r w:rsidR="00927F0A" w:rsidRPr="001072BA">
        <w:rPr>
          <w:rFonts w:ascii="Calibri" w:hAnsi="Calibri"/>
        </w:rPr>
        <w:t xml:space="preserve"> registered with the AARP </w:t>
      </w:r>
      <w:r w:rsidR="001072BA">
        <w:rPr>
          <w:rFonts w:ascii="Calibri" w:hAnsi="Calibri"/>
        </w:rPr>
        <w:t>as</w:t>
      </w:r>
      <w:r w:rsidR="00FC711D" w:rsidRPr="001072BA">
        <w:rPr>
          <w:rFonts w:ascii="Calibri" w:hAnsi="Calibri"/>
        </w:rPr>
        <w:t xml:space="preserve"> </w:t>
      </w:r>
      <w:r w:rsidR="00927F0A" w:rsidRPr="001072BA">
        <w:rPr>
          <w:rFonts w:ascii="Calibri" w:hAnsi="Calibri"/>
        </w:rPr>
        <w:t xml:space="preserve">part of the </w:t>
      </w:r>
      <w:r w:rsidR="00E3112F">
        <w:rPr>
          <w:rFonts w:ascii="Calibri" w:hAnsi="Calibri"/>
        </w:rPr>
        <w:t xml:space="preserve">World Health </w:t>
      </w:r>
      <w:r w:rsidR="00E3112F">
        <w:rPr>
          <w:rFonts w:ascii="Calibri" w:hAnsi="Calibri"/>
        </w:rPr>
        <w:lastRenderedPageBreak/>
        <w:t>Organization (</w:t>
      </w:r>
      <w:r w:rsidR="00927F0A" w:rsidRPr="001072BA">
        <w:rPr>
          <w:rFonts w:ascii="Calibri" w:hAnsi="Calibri"/>
        </w:rPr>
        <w:t>WHO</w:t>
      </w:r>
      <w:r w:rsidR="00E3112F">
        <w:rPr>
          <w:rFonts w:ascii="Calibri" w:hAnsi="Calibri"/>
        </w:rPr>
        <w:t>)</w:t>
      </w:r>
      <w:r w:rsidR="00927F0A" w:rsidRPr="001072BA">
        <w:rPr>
          <w:rFonts w:ascii="Calibri" w:hAnsi="Calibri"/>
        </w:rPr>
        <w:t xml:space="preserve"> Global Network of Age Friendly Cities and Communities. </w:t>
      </w:r>
      <w:r w:rsidR="00FC711D" w:rsidRPr="001072BA">
        <w:rPr>
          <w:rFonts w:ascii="Calibri" w:hAnsi="Calibri"/>
        </w:rPr>
        <w:t xml:space="preserve"> Local health department officials will be identified through the interviews with </w:t>
      </w:r>
      <w:r w:rsidR="00C524D8">
        <w:rPr>
          <w:rFonts w:ascii="Calibri" w:hAnsi="Calibri"/>
        </w:rPr>
        <w:t>AFI</w:t>
      </w:r>
      <w:r w:rsidR="00FC711D" w:rsidRPr="001072BA">
        <w:rPr>
          <w:rFonts w:ascii="Calibri" w:hAnsi="Calibri"/>
        </w:rPr>
        <w:t xml:space="preserve"> staff and </w:t>
      </w:r>
      <w:r w:rsidR="00C524D8">
        <w:rPr>
          <w:rFonts w:ascii="Calibri" w:hAnsi="Calibri"/>
        </w:rPr>
        <w:t>SV</w:t>
      </w:r>
      <w:r w:rsidR="00FC711D" w:rsidRPr="001072BA">
        <w:rPr>
          <w:rFonts w:ascii="Calibri" w:hAnsi="Calibri"/>
        </w:rPr>
        <w:t xml:space="preserve"> executive directors who are willing to share their contacts at their local health department.  F</w:t>
      </w:r>
      <w:r w:rsidR="00927F0A" w:rsidRPr="001072BA">
        <w:rPr>
          <w:rFonts w:ascii="Calibri" w:hAnsi="Calibri"/>
        </w:rPr>
        <w:t xml:space="preserve">or </w:t>
      </w:r>
      <w:r w:rsidR="00FC711D" w:rsidRPr="001072BA">
        <w:rPr>
          <w:rFonts w:ascii="Calibri" w:hAnsi="Calibri"/>
        </w:rPr>
        <w:t xml:space="preserve">informants that </w:t>
      </w:r>
      <w:r w:rsidR="00927F0A" w:rsidRPr="001072BA">
        <w:rPr>
          <w:rFonts w:ascii="Calibri" w:hAnsi="Calibri"/>
        </w:rPr>
        <w:t xml:space="preserve">do not have a </w:t>
      </w:r>
      <w:r w:rsidR="00C524D8">
        <w:rPr>
          <w:rFonts w:ascii="Calibri" w:hAnsi="Calibri"/>
        </w:rPr>
        <w:t>LHD</w:t>
      </w:r>
      <w:r w:rsidR="00927F0A" w:rsidRPr="001072BA">
        <w:rPr>
          <w:rFonts w:ascii="Calibri" w:hAnsi="Calibri"/>
        </w:rPr>
        <w:t xml:space="preserve"> contact, RAND will identify the local city/county health department official responsible for developing and implementing health and emergency preparedness services for older adults.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tblGrid>
      <w:tr w:rsidR="00AA39D7" w:rsidRPr="001072BA" w14:paraId="3E1D475E" w14:textId="77777777" w:rsidTr="00152FCC">
        <w:tc>
          <w:tcPr>
            <w:tcW w:w="2214" w:type="dxa"/>
            <w:shd w:val="clear" w:color="auto" w:fill="auto"/>
          </w:tcPr>
          <w:p w14:paraId="4E4292E9" w14:textId="77777777" w:rsidR="00AA39D7" w:rsidRPr="001072BA" w:rsidRDefault="00AA39D7" w:rsidP="009B35BB">
            <w:pPr>
              <w:spacing w:after="240"/>
              <w:rPr>
                <w:rFonts w:ascii="Calibri" w:hAnsi="Calibri"/>
                <w:iCs/>
              </w:rPr>
            </w:pPr>
            <w:r w:rsidRPr="001072BA">
              <w:rPr>
                <w:rFonts w:ascii="Calibri" w:hAnsi="Calibri"/>
                <w:iCs/>
              </w:rPr>
              <w:t xml:space="preserve">Type of </w:t>
            </w:r>
            <w:r w:rsidR="009B35BB" w:rsidRPr="001072BA">
              <w:rPr>
                <w:rFonts w:ascii="Calibri" w:hAnsi="Calibri"/>
                <w:iCs/>
              </w:rPr>
              <w:t>Key Informant</w:t>
            </w:r>
          </w:p>
        </w:tc>
        <w:tc>
          <w:tcPr>
            <w:tcW w:w="2214" w:type="dxa"/>
            <w:shd w:val="clear" w:color="auto" w:fill="auto"/>
          </w:tcPr>
          <w:p w14:paraId="6B0AE3B0" w14:textId="77777777" w:rsidR="00AA39D7" w:rsidRPr="001072BA" w:rsidRDefault="00AA39D7" w:rsidP="00152FCC">
            <w:pPr>
              <w:spacing w:after="240"/>
              <w:rPr>
                <w:rFonts w:ascii="Calibri" w:hAnsi="Calibri"/>
                <w:iCs/>
              </w:rPr>
            </w:pPr>
            <w:r w:rsidRPr="001072BA">
              <w:rPr>
                <w:rFonts w:ascii="Calibri" w:hAnsi="Calibri"/>
                <w:iCs/>
              </w:rPr>
              <w:t>Community</w:t>
            </w:r>
          </w:p>
        </w:tc>
        <w:tc>
          <w:tcPr>
            <w:tcW w:w="2214" w:type="dxa"/>
            <w:shd w:val="clear" w:color="auto" w:fill="auto"/>
          </w:tcPr>
          <w:p w14:paraId="1BCDB81F" w14:textId="77777777" w:rsidR="00AA39D7" w:rsidRPr="001072BA" w:rsidRDefault="00AA39D7" w:rsidP="00152FCC">
            <w:pPr>
              <w:spacing w:after="240"/>
              <w:rPr>
                <w:rFonts w:ascii="Calibri" w:hAnsi="Calibri"/>
                <w:iCs/>
              </w:rPr>
            </w:pPr>
            <w:r w:rsidRPr="001072BA">
              <w:rPr>
                <w:rFonts w:ascii="Calibri" w:hAnsi="Calibri"/>
                <w:iCs/>
              </w:rPr>
              <w:t>Maximum Number of Respondents</w:t>
            </w:r>
          </w:p>
        </w:tc>
      </w:tr>
      <w:tr w:rsidR="00AA39D7" w:rsidRPr="001072BA" w14:paraId="14A33570" w14:textId="77777777" w:rsidTr="00152FCC">
        <w:tc>
          <w:tcPr>
            <w:tcW w:w="2214" w:type="dxa"/>
            <w:shd w:val="clear" w:color="auto" w:fill="auto"/>
          </w:tcPr>
          <w:p w14:paraId="0447AD48" w14:textId="77777777" w:rsidR="00AA39D7" w:rsidRPr="001072BA" w:rsidRDefault="00AA39D7" w:rsidP="00152FCC">
            <w:pPr>
              <w:spacing w:after="240"/>
              <w:rPr>
                <w:rFonts w:ascii="Calibri" w:hAnsi="Calibri"/>
                <w:iCs/>
              </w:rPr>
            </w:pPr>
            <w:r w:rsidRPr="001072BA">
              <w:rPr>
                <w:rFonts w:ascii="Calibri" w:hAnsi="Calibri"/>
                <w:iCs/>
              </w:rPr>
              <w:t>Senior Village Executive Directors</w:t>
            </w:r>
          </w:p>
        </w:tc>
        <w:tc>
          <w:tcPr>
            <w:tcW w:w="2214" w:type="dxa"/>
            <w:shd w:val="clear" w:color="auto" w:fill="auto"/>
          </w:tcPr>
          <w:p w14:paraId="4CCF4540" w14:textId="77777777" w:rsidR="00AA39D7" w:rsidRPr="001072BA" w:rsidRDefault="00AA39D7" w:rsidP="00152FCC">
            <w:pPr>
              <w:spacing w:after="240"/>
              <w:rPr>
                <w:rFonts w:ascii="Calibri" w:hAnsi="Calibri"/>
                <w:iCs/>
              </w:rPr>
            </w:pPr>
            <w:r w:rsidRPr="001072BA">
              <w:rPr>
                <w:rFonts w:ascii="Calibri" w:hAnsi="Calibri"/>
                <w:iCs/>
              </w:rPr>
              <w:t>Senior Villages (i.e., neighborhoods part of the Village-to-Village Network)</w:t>
            </w:r>
          </w:p>
        </w:tc>
        <w:tc>
          <w:tcPr>
            <w:tcW w:w="2214" w:type="dxa"/>
            <w:shd w:val="clear" w:color="auto" w:fill="auto"/>
          </w:tcPr>
          <w:p w14:paraId="46A07487" w14:textId="77777777" w:rsidR="00AA39D7" w:rsidRPr="001072BA" w:rsidRDefault="00AA39D7" w:rsidP="00152FCC">
            <w:pPr>
              <w:spacing w:after="240"/>
              <w:rPr>
                <w:rFonts w:ascii="Calibri" w:hAnsi="Calibri"/>
                <w:iCs/>
              </w:rPr>
            </w:pPr>
            <w:r w:rsidRPr="001072BA">
              <w:rPr>
                <w:rFonts w:ascii="Calibri" w:hAnsi="Calibri"/>
                <w:iCs/>
              </w:rPr>
              <w:t>30</w:t>
            </w:r>
          </w:p>
        </w:tc>
      </w:tr>
      <w:tr w:rsidR="00AA39D7" w:rsidRPr="001072BA" w14:paraId="31D1FA3C" w14:textId="77777777" w:rsidTr="00152FCC">
        <w:tc>
          <w:tcPr>
            <w:tcW w:w="2214" w:type="dxa"/>
            <w:shd w:val="clear" w:color="auto" w:fill="auto"/>
          </w:tcPr>
          <w:p w14:paraId="5445CDB9" w14:textId="3607BAE5" w:rsidR="00AA39D7" w:rsidRPr="001072BA" w:rsidRDefault="00AA39D7" w:rsidP="00152FCC">
            <w:pPr>
              <w:spacing w:after="240"/>
              <w:rPr>
                <w:rFonts w:ascii="Calibri" w:hAnsi="Calibri"/>
                <w:iCs/>
              </w:rPr>
            </w:pPr>
            <w:r w:rsidRPr="001072BA">
              <w:rPr>
                <w:rFonts w:ascii="Calibri" w:hAnsi="Calibri"/>
                <w:iCs/>
              </w:rPr>
              <w:t xml:space="preserve">Age Friendly </w:t>
            </w:r>
            <w:r w:rsidR="00C524D8">
              <w:rPr>
                <w:rFonts w:ascii="Calibri" w:hAnsi="Calibri"/>
                <w:iCs/>
              </w:rPr>
              <w:t xml:space="preserve">Initiative </w:t>
            </w:r>
            <w:r w:rsidRPr="001072BA">
              <w:rPr>
                <w:rFonts w:ascii="Calibri" w:hAnsi="Calibri"/>
                <w:iCs/>
              </w:rPr>
              <w:t>Staff</w:t>
            </w:r>
          </w:p>
        </w:tc>
        <w:tc>
          <w:tcPr>
            <w:tcW w:w="2214" w:type="dxa"/>
            <w:shd w:val="clear" w:color="auto" w:fill="auto"/>
          </w:tcPr>
          <w:p w14:paraId="14F2095A" w14:textId="77777777" w:rsidR="00AA39D7" w:rsidRPr="001072BA" w:rsidRDefault="00AA39D7" w:rsidP="00152FCC">
            <w:pPr>
              <w:spacing w:after="240"/>
              <w:rPr>
                <w:rFonts w:ascii="Calibri" w:hAnsi="Calibri"/>
                <w:iCs/>
              </w:rPr>
            </w:pPr>
            <w:r w:rsidRPr="001072BA">
              <w:rPr>
                <w:rFonts w:ascii="Calibri" w:hAnsi="Calibri"/>
                <w:iCs/>
              </w:rPr>
              <w:t>Cities or Counties registered as an AARP/WHO Age Friendly Community</w:t>
            </w:r>
          </w:p>
        </w:tc>
        <w:tc>
          <w:tcPr>
            <w:tcW w:w="2214" w:type="dxa"/>
            <w:shd w:val="clear" w:color="auto" w:fill="auto"/>
          </w:tcPr>
          <w:p w14:paraId="245D7EB0" w14:textId="77777777" w:rsidR="00AA39D7" w:rsidRPr="001072BA" w:rsidRDefault="00AA39D7" w:rsidP="00152FCC">
            <w:pPr>
              <w:spacing w:after="240"/>
              <w:rPr>
                <w:rFonts w:ascii="Calibri" w:hAnsi="Calibri"/>
                <w:iCs/>
              </w:rPr>
            </w:pPr>
            <w:r w:rsidRPr="001072BA">
              <w:rPr>
                <w:rFonts w:ascii="Calibri" w:hAnsi="Calibri"/>
                <w:iCs/>
              </w:rPr>
              <w:t>31</w:t>
            </w:r>
          </w:p>
        </w:tc>
      </w:tr>
      <w:tr w:rsidR="00AA39D7" w:rsidRPr="001072BA" w14:paraId="6490EFDB" w14:textId="77777777" w:rsidTr="00152FCC">
        <w:tc>
          <w:tcPr>
            <w:tcW w:w="2214" w:type="dxa"/>
            <w:shd w:val="clear" w:color="auto" w:fill="auto"/>
          </w:tcPr>
          <w:p w14:paraId="5F799089" w14:textId="77777777" w:rsidR="00AA39D7" w:rsidRPr="001072BA" w:rsidRDefault="00AA39D7" w:rsidP="00152FCC">
            <w:pPr>
              <w:spacing w:after="240"/>
              <w:rPr>
                <w:rFonts w:ascii="Calibri" w:hAnsi="Calibri"/>
                <w:iCs/>
              </w:rPr>
            </w:pPr>
            <w:r w:rsidRPr="001072BA">
              <w:rPr>
                <w:rFonts w:ascii="Calibri" w:hAnsi="Calibri"/>
                <w:iCs/>
              </w:rPr>
              <w:t>Local Health Department Officials</w:t>
            </w:r>
          </w:p>
        </w:tc>
        <w:tc>
          <w:tcPr>
            <w:tcW w:w="2214" w:type="dxa"/>
            <w:shd w:val="clear" w:color="auto" w:fill="auto"/>
          </w:tcPr>
          <w:p w14:paraId="55AAAF36" w14:textId="77777777" w:rsidR="00AA39D7" w:rsidRPr="001072BA" w:rsidRDefault="00AA39D7" w:rsidP="00AA39D7">
            <w:pPr>
              <w:spacing w:after="240"/>
              <w:rPr>
                <w:rFonts w:ascii="Calibri" w:hAnsi="Calibri"/>
                <w:iCs/>
              </w:rPr>
            </w:pPr>
            <w:r w:rsidRPr="001072BA">
              <w:rPr>
                <w:rFonts w:ascii="Calibri" w:hAnsi="Calibri"/>
                <w:iCs/>
              </w:rPr>
              <w:t xml:space="preserve">City, County, or State </w:t>
            </w:r>
          </w:p>
        </w:tc>
        <w:tc>
          <w:tcPr>
            <w:tcW w:w="2214" w:type="dxa"/>
            <w:shd w:val="clear" w:color="auto" w:fill="auto"/>
          </w:tcPr>
          <w:p w14:paraId="1010837C" w14:textId="77777777" w:rsidR="00AA39D7" w:rsidRPr="001072BA" w:rsidRDefault="00AA39D7" w:rsidP="00152FCC">
            <w:pPr>
              <w:spacing w:after="240"/>
              <w:rPr>
                <w:rFonts w:ascii="Calibri" w:hAnsi="Calibri"/>
                <w:iCs/>
              </w:rPr>
            </w:pPr>
            <w:r w:rsidRPr="001072BA">
              <w:rPr>
                <w:rFonts w:ascii="Calibri" w:hAnsi="Calibri"/>
                <w:iCs/>
              </w:rPr>
              <w:t>15</w:t>
            </w:r>
          </w:p>
        </w:tc>
      </w:tr>
      <w:tr w:rsidR="00AA39D7" w:rsidRPr="001072BA" w14:paraId="6D411B89" w14:textId="77777777" w:rsidTr="00152FCC">
        <w:tc>
          <w:tcPr>
            <w:tcW w:w="2214" w:type="dxa"/>
            <w:shd w:val="clear" w:color="auto" w:fill="auto"/>
          </w:tcPr>
          <w:p w14:paraId="274E8D29" w14:textId="77777777" w:rsidR="00AA39D7" w:rsidRPr="001072BA" w:rsidRDefault="00AA39D7" w:rsidP="00152FCC">
            <w:pPr>
              <w:spacing w:after="240"/>
              <w:rPr>
                <w:rFonts w:ascii="Calibri" w:hAnsi="Calibri"/>
                <w:iCs/>
              </w:rPr>
            </w:pPr>
            <w:r w:rsidRPr="001072BA">
              <w:rPr>
                <w:rFonts w:ascii="Calibri" w:hAnsi="Calibri"/>
                <w:iCs/>
              </w:rPr>
              <w:t>Total</w:t>
            </w:r>
          </w:p>
        </w:tc>
        <w:tc>
          <w:tcPr>
            <w:tcW w:w="2214" w:type="dxa"/>
            <w:shd w:val="clear" w:color="auto" w:fill="auto"/>
          </w:tcPr>
          <w:p w14:paraId="0B8A2741" w14:textId="77777777" w:rsidR="00AA39D7" w:rsidRPr="001072BA" w:rsidRDefault="00AA39D7" w:rsidP="00152FCC">
            <w:pPr>
              <w:spacing w:after="240"/>
              <w:rPr>
                <w:rFonts w:ascii="Calibri" w:hAnsi="Calibri"/>
                <w:iCs/>
              </w:rPr>
            </w:pPr>
          </w:p>
        </w:tc>
        <w:tc>
          <w:tcPr>
            <w:tcW w:w="2214" w:type="dxa"/>
            <w:shd w:val="clear" w:color="auto" w:fill="auto"/>
          </w:tcPr>
          <w:p w14:paraId="4E10956B" w14:textId="77777777" w:rsidR="00AA39D7" w:rsidRPr="001072BA" w:rsidRDefault="00AA39D7" w:rsidP="00152FCC">
            <w:pPr>
              <w:spacing w:after="240"/>
              <w:rPr>
                <w:rFonts w:ascii="Calibri" w:hAnsi="Calibri"/>
                <w:iCs/>
              </w:rPr>
            </w:pPr>
            <w:r w:rsidRPr="001072BA">
              <w:rPr>
                <w:rFonts w:ascii="Calibri" w:hAnsi="Calibri"/>
                <w:iCs/>
              </w:rPr>
              <w:t>76</w:t>
            </w:r>
          </w:p>
        </w:tc>
      </w:tr>
    </w:tbl>
    <w:p w14:paraId="75CA45A9" w14:textId="77777777" w:rsidR="00AA39D7" w:rsidRPr="001072BA" w:rsidRDefault="00AA39D7" w:rsidP="002837E3">
      <w:pPr>
        <w:spacing w:after="240"/>
        <w:rPr>
          <w:rFonts w:ascii="Calibri" w:hAnsi="Calibri"/>
        </w:rPr>
      </w:pPr>
    </w:p>
    <w:p w14:paraId="6BDF5E00" w14:textId="77777777" w:rsidR="00927F0A" w:rsidRPr="001072BA" w:rsidRDefault="00FC711D" w:rsidP="00FC711D">
      <w:pPr>
        <w:spacing w:after="240"/>
        <w:rPr>
          <w:rFonts w:ascii="Calibri" w:hAnsi="Calibri"/>
          <w:b/>
          <w:i/>
          <w:u w:val="single"/>
        </w:rPr>
      </w:pPr>
      <w:r w:rsidRPr="001072BA">
        <w:rPr>
          <w:rFonts w:ascii="Calibri" w:hAnsi="Calibri"/>
          <w:b/>
          <w:i/>
          <w:u w:val="single"/>
        </w:rPr>
        <w:t xml:space="preserve">1.B. </w:t>
      </w:r>
      <w:r w:rsidR="00927F0A" w:rsidRPr="001072BA">
        <w:rPr>
          <w:rFonts w:ascii="Calibri" w:hAnsi="Calibri"/>
          <w:b/>
          <w:i/>
          <w:u w:val="single"/>
        </w:rPr>
        <w:t>Surveys of Older Adults</w:t>
      </w:r>
    </w:p>
    <w:p w14:paraId="3D0231EF" w14:textId="321AC554" w:rsidR="00B3567E" w:rsidRPr="006238E0" w:rsidRDefault="00B3567E" w:rsidP="00674DB4">
      <w:pPr>
        <w:spacing w:after="240"/>
        <w:rPr>
          <w:rFonts w:ascii="Calibri" w:hAnsi="Calibri"/>
        </w:rPr>
      </w:pPr>
      <w:r w:rsidRPr="006238E0">
        <w:rPr>
          <w:rFonts w:ascii="Calibri" w:hAnsi="Calibri"/>
          <w:b/>
        </w:rPr>
        <w:t xml:space="preserve">Design. </w:t>
      </w:r>
      <w:r w:rsidRPr="006238E0">
        <w:rPr>
          <w:rFonts w:ascii="Calibri" w:hAnsi="Calibri"/>
        </w:rPr>
        <w:t xml:space="preserve">This study is designed </w:t>
      </w:r>
      <w:r w:rsidR="007C661C" w:rsidRPr="006238E0">
        <w:rPr>
          <w:rFonts w:ascii="Calibri" w:hAnsi="Calibri"/>
        </w:rPr>
        <w:t xml:space="preserve">to compare </w:t>
      </w:r>
      <w:r w:rsidR="007C661C" w:rsidRPr="006238E0">
        <w:rPr>
          <w:rFonts w:ascii="Calibri" w:hAnsi="Calibri"/>
          <w:iCs/>
        </w:rPr>
        <w:t>adults age 65+ living in 8 communities with senior villages (SV) that engage in emergency preparedness (EP) activities</w:t>
      </w:r>
      <w:r w:rsidR="00E808E4" w:rsidRPr="006238E0">
        <w:rPr>
          <w:rFonts w:ascii="Calibri" w:hAnsi="Calibri"/>
          <w:iCs/>
        </w:rPr>
        <w:t xml:space="preserve"> (condition 1)</w:t>
      </w:r>
      <w:r w:rsidR="007C661C" w:rsidRPr="006238E0">
        <w:rPr>
          <w:rFonts w:ascii="Calibri" w:hAnsi="Calibri"/>
          <w:iCs/>
        </w:rPr>
        <w:t>, with older adults living in 8 communities with SVs that do not engage in EP activities</w:t>
      </w:r>
      <w:r w:rsidR="00E808E4" w:rsidRPr="006238E0">
        <w:rPr>
          <w:rFonts w:ascii="Calibri" w:hAnsi="Calibri"/>
          <w:iCs/>
        </w:rPr>
        <w:t xml:space="preserve"> (condition 2)</w:t>
      </w:r>
      <w:r w:rsidR="007C661C" w:rsidRPr="006238E0">
        <w:rPr>
          <w:rFonts w:ascii="Calibri" w:hAnsi="Calibri"/>
          <w:iCs/>
        </w:rPr>
        <w:t>, and with 15 control communities without SVs or other age AFIs</w:t>
      </w:r>
      <w:r w:rsidR="00E808E4" w:rsidRPr="006238E0">
        <w:rPr>
          <w:rFonts w:ascii="Calibri" w:hAnsi="Calibri"/>
          <w:iCs/>
        </w:rPr>
        <w:t xml:space="preserve"> (control condition 3)</w:t>
      </w:r>
      <w:r w:rsidR="007C661C" w:rsidRPr="006238E0">
        <w:rPr>
          <w:rFonts w:ascii="Calibri" w:hAnsi="Calibri"/>
          <w:iCs/>
        </w:rPr>
        <w:t xml:space="preserve">. The 16 communities with SVs (with and without EP activities) will first be selected, and then we will sample from within the population of adults 65+ living in these communities. We will then match this sample to our sample of adults 65+ in 15 control communities, based on both individual and community characteristics (more detail below). We will be comparing the following resilience-related outcomes between older adults in these three conditions (i.e., living in a community with a SV and EP activities, living in a community with a SV but no EP activities, living in a control community with no SV or AFIs): </w:t>
      </w:r>
      <w:r w:rsidR="007C661C" w:rsidRPr="006238E0">
        <w:rPr>
          <w:rFonts w:ascii="Calibri" w:hAnsi="Calibri"/>
        </w:rPr>
        <w:t>disaster resilience, social connectedness, self-sufficiency, emotional resilience, and attention to health needs. We are looking to determine whether adults 65+ have better resilience related outcomes in communities with SVs</w:t>
      </w:r>
      <w:r w:rsidR="00E808E4" w:rsidRPr="006238E0">
        <w:rPr>
          <w:rFonts w:ascii="Calibri" w:hAnsi="Calibri"/>
        </w:rPr>
        <w:t xml:space="preserve">, and whether these outcomes are even further improved if adults 65+ are living </w:t>
      </w:r>
      <w:r w:rsidR="00E808E4" w:rsidRPr="006238E0">
        <w:rPr>
          <w:rFonts w:ascii="Calibri" w:hAnsi="Calibri"/>
        </w:rPr>
        <w:lastRenderedPageBreak/>
        <w:t xml:space="preserve">in a community with both a SV that engages in EP activities. Our sample size reflects the minimum sample size needed to compare adults 65+ on these key resilience-related outcomes, accounting for clustering at the community level and taking into account our use of propensity weighting.  </w:t>
      </w:r>
      <w:r w:rsidR="009607FE" w:rsidRPr="006238E0">
        <w:rPr>
          <w:rFonts w:ascii="Calibri" w:hAnsi="Calibri"/>
        </w:rPr>
        <w:t>To maximize our power we will be pooling our samples of adults 65+ living in the 16 communities with SVs (condition 1 and condition 2) to compare resilience-related outcomes to adults 65+ in our 15 control communities. We have also designed the study to have enough power to detect differences between resilience-related outcomes of adults 65+ in our two SV conditions (condition 1- communities with SV and EP activities vs. condition 2 – communities with SVs but no EP activities).</w:t>
      </w:r>
    </w:p>
    <w:p w14:paraId="1874F793" w14:textId="3B80CC92" w:rsidR="00FC711D" w:rsidRPr="006238E0" w:rsidRDefault="00FC711D" w:rsidP="00977915">
      <w:pPr>
        <w:spacing w:after="240"/>
        <w:rPr>
          <w:rFonts w:ascii="Calibri" w:hAnsi="Calibri"/>
          <w:iCs/>
        </w:rPr>
      </w:pPr>
      <w:r w:rsidRPr="006238E0">
        <w:rPr>
          <w:rFonts w:ascii="Calibri" w:hAnsi="Calibri"/>
          <w:b/>
        </w:rPr>
        <w:t xml:space="preserve">Sample size. </w:t>
      </w:r>
      <w:r w:rsidR="001072BA" w:rsidRPr="006238E0">
        <w:rPr>
          <w:rFonts w:ascii="Calibri" w:hAnsi="Calibri"/>
          <w:iCs/>
        </w:rPr>
        <w:t xml:space="preserve">The sample will comprise of </w:t>
      </w:r>
      <w:r w:rsidR="00E808E4" w:rsidRPr="006238E0">
        <w:rPr>
          <w:rFonts w:ascii="Calibri" w:hAnsi="Calibri"/>
          <w:iCs/>
        </w:rPr>
        <w:t xml:space="preserve">400 adults 65+ from 8 communities with senior villages (SV) that engage in emergency preparedness (EP) activities (condition 1), 400 adults 65+ living in 8 communities with SVs that do not engage in EP activities (condition 2), and 750 adults 65+ living in 15 control communities without SVs or other age AFIs (control condition 3). </w:t>
      </w:r>
      <w:r w:rsidR="00107069" w:rsidRPr="006238E0">
        <w:rPr>
          <w:rFonts w:ascii="Calibri" w:hAnsi="Calibri"/>
          <w:iCs/>
        </w:rPr>
        <w:t xml:space="preserve">Sample sizes in each of these conditions have been selected in order to make comparisons with minimum detectable differences with </w:t>
      </w:r>
      <w:r w:rsidR="00107069" w:rsidRPr="006238E0">
        <w:rPr>
          <w:rStyle w:val="Strong"/>
          <w:rFonts w:ascii="Calibri" w:hAnsi="Calibri"/>
          <w:b w:val="0"/>
          <w:iCs/>
        </w:rPr>
        <w:t>80% power (see power calculations in subsequent Sampling Plan section).</w:t>
      </w:r>
    </w:p>
    <w:p w14:paraId="5A4A7294" w14:textId="3190833C" w:rsidR="00977915" w:rsidRPr="006238E0" w:rsidRDefault="00FC711D" w:rsidP="00977915">
      <w:pPr>
        <w:spacing w:after="240"/>
        <w:rPr>
          <w:rFonts w:ascii="Calibri" w:hAnsi="Calibri"/>
          <w:iCs/>
        </w:rPr>
      </w:pPr>
      <w:r w:rsidRPr="006238E0">
        <w:rPr>
          <w:rFonts w:ascii="Calibri" w:hAnsi="Calibri"/>
          <w:b/>
        </w:rPr>
        <w:t xml:space="preserve">Sampling </w:t>
      </w:r>
      <w:r w:rsidR="009607FE" w:rsidRPr="006238E0">
        <w:rPr>
          <w:rFonts w:ascii="Calibri" w:hAnsi="Calibri"/>
          <w:b/>
        </w:rPr>
        <w:t>Plan</w:t>
      </w:r>
      <w:r w:rsidRPr="006238E0">
        <w:rPr>
          <w:rFonts w:ascii="Calibri" w:hAnsi="Calibri"/>
          <w:b/>
        </w:rPr>
        <w:t>.</w:t>
      </w:r>
      <w:r w:rsidRPr="006238E0">
        <w:rPr>
          <w:rFonts w:ascii="Calibri" w:hAnsi="Calibri"/>
        </w:rPr>
        <w:t xml:space="preserve"> </w:t>
      </w:r>
      <w:r w:rsidR="00C569F2" w:rsidRPr="006238E0">
        <w:rPr>
          <w:rFonts w:ascii="Calibri" w:hAnsi="Calibri"/>
          <w:iCs/>
        </w:rPr>
        <w:t xml:space="preserve">A two stage sampling plan will be employed. In the first stage we will select </w:t>
      </w:r>
      <w:r w:rsidRPr="006238E0">
        <w:rPr>
          <w:rFonts w:ascii="Calibri" w:hAnsi="Calibri"/>
          <w:iCs/>
        </w:rPr>
        <w:t xml:space="preserve">communities </w:t>
      </w:r>
      <w:r w:rsidR="00E808E4" w:rsidRPr="006238E0">
        <w:rPr>
          <w:rFonts w:ascii="Calibri" w:hAnsi="Calibri"/>
          <w:iCs/>
        </w:rPr>
        <w:t>in each of three conditions</w:t>
      </w:r>
      <w:r w:rsidRPr="006238E0">
        <w:rPr>
          <w:rFonts w:ascii="Calibri" w:hAnsi="Calibri"/>
          <w:iCs/>
        </w:rPr>
        <w:t xml:space="preserve">: (a) </w:t>
      </w:r>
      <w:r w:rsidR="00C524D8" w:rsidRPr="006238E0">
        <w:rPr>
          <w:rFonts w:ascii="Calibri" w:hAnsi="Calibri"/>
          <w:iCs/>
        </w:rPr>
        <w:t>SVs</w:t>
      </w:r>
      <w:r w:rsidR="00C569F2" w:rsidRPr="006238E0">
        <w:rPr>
          <w:rFonts w:ascii="Calibri" w:hAnsi="Calibri"/>
          <w:iCs/>
        </w:rPr>
        <w:t xml:space="preserve"> with </w:t>
      </w:r>
      <w:r w:rsidR="007458ED" w:rsidRPr="006238E0">
        <w:rPr>
          <w:rFonts w:ascii="Calibri" w:hAnsi="Calibri"/>
          <w:iCs/>
        </w:rPr>
        <w:t>EP</w:t>
      </w:r>
      <w:r w:rsidR="00C569F2" w:rsidRPr="006238E0">
        <w:rPr>
          <w:rFonts w:ascii="Calibri" w:hAnsi="Calibri"/>
          <w:iCs/>
        </w:rPr>
        <w:t xml:space="preserve"> </w:t>
      </w:r>
      <w:r w:rsidRPr="006238E0">
        <w:rPr>
          <w:rFonts w:ascii="Calibri" w:hAnsi="Calibri"/>
          <w:iCs/>
        </w:rPr>
        <w:t xml:space="preserve">activities </w:t>
      </w:r>
      <w:r w:rsidR="00C569F2" w:rsidRPr="006238E0">
        <w:rPr>
          <w:rFonts w:ascii="Calibri" w:hAnsi="Calibri"/>
          <w:iCs/>
        </w:rPr>
        <w:t xml:space="preserve">in place, (b) </w:t>
      </w:r>
      <w:r w:rsidR="00C524D8" w:rsidRPr="006238E0">
        <w:rPr>
          <w:rFonts w:ascii="Calibri" w:hAnsi="Calibri"/>
          <w:iCs/>
        </w:rPr>
        <w:t>SV</w:t>
      </w:r>
      <w:r w:rsidR="00C569F2" w:rsidRPr="006238E0">
        <w:rPr>
          <w:rFonts w:ascii="Calibri" w:hAnsi="Calibri"/>
          <w:iCs/>
        </w:rPr>
        <w:t xml:space="preserve">s without </w:t>
      </w:r>
      <w:r w:rsidRPr="006238E0">
        <w:rPr>
          <w:rFonts w:ascii="Calibri" w:hAnsi="Calibri"/>
          <w:iCs/>
        </w:rPr>
        <w:t xml:space="preserve">EP activities </w:t>
      </w:r>
      <w:r w:rsidR="00C569F2" w:rsidRPr="006238E0">
        <w:rPr>
          <w:rFonts w:ascii="Calibri" w:hAnsi="Calibri"/>
          <w:iCs/>
        </w:rPr>
        <w:t xml:space="preserve">in place, and (c) control communities.  </w:t>
      </w:r>
      <w:r w:rsidR="00E808E4" w:rsidRPr="006238E0">
        <w:rPr>
          <w:rFonts w:ascii="Calibri" w:hAnsi="Calibri"/>
          <w:iCs/>
        </w:rPr>
        <w:t>Then we will select adults 65+ years from each of those conditions.</w:t>
      </w:r>
    </w:p>
    <w:p w14:paraId="3837CE2D" w14:textId="77777777" w:rsidR="003B46B4" w:rsidRPr="006238E0" w:rsidRDefault="00977915" w:rsidP="00FC711D">
      <w:pPr>
        <w:spacing w:after="240"/>
        <w:rPr>
          <w:rFonts w:ascii="Calibri" w:hAnsi="Calibri"/>
          <w:iCs/>
        </w:rPr>
      </w:pPr>
      <w:r w:rsidRPr="006238E0">
        <w:rPr>
          <w:rFonts w:ascii="Calibri" w:hAnsi="Calibri"/>
          <w:iCs/>
        </w:rPr>
        <w:t xml:space="preserve">We will select </w:t>
      </w:r>
      <w:r w:rsidR="00E808E4" w:rsidRPr="006238E0">
        <w:rPr>
          <w:rFonts w:ascii="Calibri" w:hAnsi="Calibri"/>
          <w:iCs/>
        </w:rPr>
        <w:t xml:space="preserve">communities from </w:t>
      </w:r>
      <w:r w:rsidRPr="006238E0">
        <w:rPr>
          <w:rFonts w:ascii="Calibri" w:hAnsi="Calibri"/>
          <w:iCs/>
        </w:rPr>
        <w:t>(a</w:t>
      </w:r>
      <w:r w:rsidR="00E808E4" w:rsidRPr="006238E0">
        <w:rPr>
          <w:rFonts w:ascii="Calibri" w:hAnsi="Calibri"/>
          <w:iCs/>
        </w:rPr>
        <w:t xml:space="preserve"> – condition 1</w:t>
      </w:r>
      <w:r w:rsidRPr="006238E0">
        <w:rPr>
          <w:rFonts w:ascii="Calibri" w:hAnsi="Calibri"/>
          <w:iCs/>
        </w:rPr>
        <w:t>) and (b</w:t>
      </w:r>
      <w:r w:rsidR="00E808E4" w:rsidRPr="006238E0">
        <w:rPr>
          <w:rFonts w:ascii="Calibri" w:hAnsi="Calibri"/>
          <w:iCs/>
        </w:rPr>
        <w:t xml:space="preserve"> – condition 2</w:t>
      </w:r>
      <w:r w:rsidRPr="006238E0">
        <w:rPr>
          <w:rFonts w:ascii="Calibri" w:hAnsi="Calibri"/>
          <w:iCs/>
        </w:rPr>
        <w:t xml:space="preserve">) </w:t>
      </w:r>
      <w:r w:rsidR="00927F0A" w:rsidRPr="006238E0">
        <w:rPr>
          <w:rFonts w:ascii="Calibri" w:hAnsi="Calibri"/>
          <w:iCs/>
        </w:rPr>
        <w:t xml:space="preserve">based on the knowledge gained in the key informant interviews which will ask about any emergency preparedness activities taking place in the same location as the </w:t>
      </w:r>
      <w:r w:rsidR="00020CDC" w:rsidRPr="006238E0">
        <w:rPr>
          <w:rFonts w:ascii="Calibri" w:hAnsi="Calibri"/>
          <w:iCs/>
        </w:rPr>
        <w:t>SVs</w:t>
      </w:r>
      <w:r w:rsidR="00927F0A" w:rsidRPr="006238E0">
        <w:rPr>
          <w:rFonts w:ascii="Calibri" w:hAnsi="Calibri"/>
          <w:iCs/>
        </w:rPr>
        <w:t xml:space="preserve"> location</w:t>
      </w:r>
      <w:r w:rsidRPr="006238E0">
        <w:rPr>
          <w:rFonts w:ascii="Calibri" w:hAnsi="Calibri"/>
          <w:iCs/>
        </w:rPr>
        <w:t xml:space="preserve">. </w:t>
      </w:r>
    </w:p>
    <w:p w14:paraId="3B044827" w14:textId="1DE6AC3A" w:rsidR="003B46B4" w:rsidRPr="006238E0" w:rsidRDefault="003B46B4" w:rsidP="003B46B4">
      <w:pPr>
        <w:numPr>
          <w:ilvl w:val="0"/>
          <w:numId w:val="10"/>
        </w:numPr>
        <w:spacing w:after="240"/>
        <w:rPr>
          <w:rFonts w:ascii="Calibri" w:hAnsi="Calibri"/>
          <w:bCs/>
        </w:rPr>
      </w:pPr>
      <w:r w:rsidRPr="006238E0">
        <w:rPr>
          <w:rFonts w:ascii="Calibri" w:hAnsi="Calibri"/>
          <w:iCs/>
        </w:rPr>
        <w:t xml:space="preserve">Condition 1: To maximize our ability to find differences between adults 65+ in the three conditions, we will select the 8 communities with SVs that are doing the most comprehensive set of EP activities (condition 1). We will identify these EP activities through our interviews with SV directors during which we ask them to describe the scope of their EP activities. </w:t>
      </w:r>
    </w:p>
    <w:p w14:paraId="6F7D6840" w14:textId="71239008" w:rsidR="003B46B4" w:rsidRPr="006238E0" w:rsidRDefault="003B46B4" w:rsidP="003B46B4">
      <w:pPr>
        <w:numPr>
          <w:ilvl w:val="0"/>
          <w:numId w:val="10"/>
        </w:numPr>
        <w:spacing w:after="240"/>
        <w:rPr>
          <w:rFonts w:ascii="Calibri" w:hAnsi="Calibri"/>
          <w:bCs/>
        </w:rPr>
      </w:pPr>
      <w:r w:rsidRPr="006238E0">
        <w:rPr>
          <w:rFonts w:ascii="Calibri" w:hAnsi="Calibri"/>
          <w:bCs/>
        </w:rPr>
        <w:t xml:space="preserve">Condition 2: We will select the 8 communities with SVs that are not doing any EP activities and have not done any planning of EP activities. Similar to condition 1, we will identify these communities through our interviews with SV directors during which we ask them about the scope of their EP activities and whether they have started planning for any EP activities. </w:t>
      </w:r>
    </w:p>
    <w:p w14:paraId="69242FBE" w14:textId="62BBA058" w:rsidR="00E808E4" w:rsidRPr="006238E0" w:rsidRDefault="003B46B4" w:rsidP="003B46B4">
      <w:pPr>
        <w:spacing w:after="240"/>
        <w:rPr>
          <w:rFonts w:ascii="Calibri" w:hAnsi="Calibri"/>
          <w:bCs/>
        </w:rPr>
      </w:pPr>
      <w:r w:rsidRPr="006238E0">
        <w:rPr>
          <w:rStyle w:val="Strong"/>
          <w:rFonts w:ascii="Calibri" w:hAnsi="Calibri"/>
          <w:b w:val="0"/>
        </w:rPr>
        <w:t>In the event that there are more than 8 communities identified for each condition, w</w:t>
      </w:r>
      <w:r w:rsidR="00E808E4" w:rsidRPr="006238E0">
        <w:rPr>
          <w:rStyle w:val="Strong"/>
          <w:rFonts w:ascii="Calibri" w:hAnsi="Calibri"/>
          <w:b w:val="0"/>
        </w:rPr>
        <w:t>e will purposefully select villages that cover geographically the regions of the US</w:t>
      </w:r>
      <w:r w:rsidR="00BC7661" w:rsidRPr="006238E0">
        <w:rPr>
          <w:rStyle w:val="Strong"/>
          <w:rFonts w:ascii="Calibri" w:hAnsi="Calibri"/>
          <w:b w:val="0"/>
        </w:rPr>
        <w:t xml:space="preserve"> (2 from Northeast, 2 from West, 2 from South, 2 from Midwest)</w:t>
      </w:r>
      <w:r w:rsidR="00E808E4" w:rsidRPr="006238E0">
        <w:rPr>
          <w:rStyle w:val="Strong"/>
          <w:rFonts w:ascii="Calibri" w:hAnsi="Calibri"/>
          <w:b w:val="0"/>
        </w:rPr>
        <w:t>, are both urban and rural</w:t>
      </w:r>
      <w:r w:rsidR="00BC7661" w:rsidRPr="006238E0">
        <w:rPr>
          <w:rStyle w:val="Strong"/>
          <w:rFonts w:ascii="Calibri" w:hAnsi="Calibri"/>
          <w:b w:val="0"/>
        </w:rPr>
        <w:t xml:space="preserve"> (at least 3-4 urban, 3-4 rural, and 3-4 suburban)</w:t>
      </w:r>
      <w:r w:rsidR="00E808E4" w:rsidRPr="006238E0">
        <w:rPr>
          <w:rStyle w:val="Strong"/>
          <w:rFonts w:ascii="Calibri" w:hAnsi="Calibri"/>
          <w:b w:val="0"/>
        </w:rPr>
        <w:t xml:space="preserve">, and that vary in their disaster risks (e.g., </w:t>
      </w:r>
      <w:r w:rsidR="00BC7661" w:rsidRPr="006238E0">
        <w:rPr>
          <w:rStyle w:val="Strong"/>
          <w:rFonts w:ascii="Calibri" w:hAnsi="Calibri"/>
          <w:b w:val="0"/>
        </w:rPr>
        <w:t xml:space="preserve">2 with major risks of </w:t>
      </w:r>
      <w:r w:rsidR="00E808E4" w:rsidRPr="006238E0">
        <w:rPr>
          <w:rStyle w:val="Strong"/>
          <w:rFonts w:ascii="Calibri" w:hAnsi="Calibri"/>
          <w:b w:val="0"/>
        </w:rPr>
        <w:t xml:space="preserve">flooding, </w:t>
      </w:r>
      <w:r w:rsidR="00BC7661" w:rsidRPr="006238E0">
        <w:rPr>
          <w:rStyle w:val="Strong"/>
          <w:rFonts w:ascii="Calibri" w:hAnsi="Calibri"/>
          <w:b w:val="0"/>
        </w:rPr>
        <w:t xml:space="preserve">2 with major risks of </w:t>
      </w:r>
      <w:r w:rsidR="00E808E4" w:rsidRPr="006238E0">
        <w:rPr>
          <w:rStyle w:val="Strong"/>
          <w:rFonts w:ascii="Calibri" w:hAnsi="Calibri"/>
          <w:b w:val="0"/>
        </w:rPr>
        <w:t xml:space="preserve">earthquakes, etc). </w:t>
      </w:r>
    </w:p>
    <w:p w14:paraId="0EA9D374" w14:textId="553F9E3D" w:rsidR="00E808E4" w:rsidRPr="006238E0" w:rsidRDefault="00977915" w:rsidP="00FC711D">
      <w:pPr>
        <w:spacing w:after="240"/>
        <w:rPr>
          <w:rFonts w:ascii="Calibri" w:hAnsi="Calibri"/>
          <w:iCs/>
        </w:rPr>
      </w:pPr>
      <w:r w:rsidRPr="006238E0">
        <w:rPr>
          <w:rFonts w:ascii="Calibri" w:hAnsi="Calibri"/>
          <w:iCs/>
        </w:rPr>
        <w:lastRenderedPageBreak/>
        <w:t>We will then select control communities</w:t>
      </w:r>
      <w:r w:rsidR="00E808E4" w:rsidRPr="006238E0">
        <w:rPr>
          <w:rFonts w:ascii="Calibri" w:hAnsi="Calibri"/>
          <w:iCs/>
        </w:rPr>
        <w:t xml:space="preserve"> (condition 3)</w:t>
      </w:r>
      <w:r w:rsidRPr="006238E0">
        <w:rPr>
          <w:rFonts w:ascii="Calibri" w:hAnsi="Calibri"/>
          <w:iCs/>
        </w:rPr>
        <w:t xml:space="preserve">, by matching each </w:t>
      </w:r>
      <w:r w:rsidR="00020CDC" w:rsidRPr="006238E0">
        <w:rPr>
          <w:rFonts w:ascii="Calibri" w:hAnsi="Calibri"/>
          <w:iCs/>
        </w:rPr>
        <w:t>SV</w:t>
      </w:r>
      <w:r w:rsidRPr="006238E0">
        <w:rPr>
          <w:rFonts w:ascii="Calibri" w:hAnsi="Calibri"/>
          <w:iCs/>
        </w:rPr>
        <w:t xml:space="preserve"> community to a control community. Control communities will be selected using a nearest neighbor algorithm to choose comparison communities which are close matches </w:t>
      </w:r>
      <w:r w:rsidR="001045E9" w:rsidRPr="006238E0">
        <w:rPr>
          <w:rFonts w:ascii="Calibri" w:hAnsi="Calibri"/>
          <w:iCs/>
        </w:rPr>
        <w:t xml:space="preserve">to the condition 1 and 2 communities </w:t>
      </w:r>
      <w:r w:rsidRPr="006238E0">
        <w:rPr>
          <w:rFonts w:ascii="Calibri" w:hAnsi="Calibri"/>
          <w:iCs/>
        </w:rPr>
        <w:t xml:space="preserve">based on </w:t>
      </w:r>
      <w:r w:rsidR="001045E9" w:rsidRPr="006238E0">
        <w:rPr>
          <w:rFonts w:ascii="Calibri" w:hAnsi="Calibri"/>
          <w:iCs/>
        </w:rPr>
        <w:t xml:space="preserve">several </w:t>
      </w:r>
      <w:r w:rsidR="003B46B4" w:rsidRPr="006238E0">
        <w:rPr>
          <w:rFonts w:ascii="Calibri" w:hAnsi="Calibri"/>
          <w:iCs/>
        </w:rPr>
        <w:t>characteristics</w:t>
      </w:r>
      <w:r w:rsidR="001045E9" w:rsidRPr="006238E0">
        <w:rPr>
          <w:rFonts w:ascii="Calibri" w:hAnsi="Calibri"/>
          <w:iCs/>
        </w:rPr>
        <w:t xml:space="preserve"> below.  We will use census tract-level Census/American Communities Survey (ACS)</w:t>
      </w:r>
      <w:r w:rsidR="00B256C1" w:rsidRPr="006238E0">
        <w:rPr>
          <w:rFonts w:ascii="Calibri" w:hAnsi="Calibri"/>
          <w:iCs/>
        </w:rPr>
        <w:t xml:space="preserve"> </w:t>
      </w:r>
      <w:r w:rsidR="001045E9" w:rsidRPr="006238E0">
        <w:rPr>
          <w:rFonts w:ascii="Calibri" w:hAnsi="Calibri"/>
          <w:iCs/>
        </w:rPr>
        <w:t>and National Disaster Housing Risk data to determine control and condition 1 and 2 community characteristics.</w:t>
      </w:r>
    </w:p>
    <w:p w14:paraId="62D74F5C" w14:textId="5D704550" w:rsidR="00E808E4" w:rsidRPr="006238E0" w:rsidRDefault="00927F0A" w:rsidP="00E808E4">
      <w:pPr>
        <w:numPr>
          <w:ilvl w:val="0"/>
          <w:numId w:val="9"/>
        </w:numPr>
        <w:spacing w:after="240"/>
        <w:rPr>
          <w:rFonts w:ascii="Calibri" w:hAnsi="Calibri"/>
          <w:iCs/>
        </w:rPr>
      </w:pPr>
      <w:r w:rsidRPr="006238E0">
        <w:rPr>
          <w:rFonts w:ascii="Calibri" w:hAnsi="Calibri"/>
          <w:iCs/>
        </w:rPr>
        <w:t>socioeconomic status</w:t>
      </w:r>
      <w:r w:rsidR="00E808E4" w:rsidRPr="006238E0">
        <w:rPr>
          <w:rFonts w:ascii="Calibri" w:hAnsi="Calibri"/>
          <w:iCs/>
        </w:rPr>
        <w:t xml:space="preserve"> </w:t>
      </w:r>
      <w:r w:rsidR="001045E9" w:rsidRPr="006238E0">
        <w:rPr>
          <w:rFonts w:ascii="Calibri" w:hAnsi="Calibri"/>
          <w:iCs/>
        </w:rPr>
        <w:t xml:space="preserve">such as median household income or % living below the federal poverty level </w:t>
      </w:r>
      <w:r w:rsidR="00E808E4" w:rsidRPr="006238E0">
        <w:rPr>
          <w:rFonts w:ascii="Calibri" w:hAnsi="Calibri"/>
          <w:iCs/>
        </w:rPr>
        <w:t>(Census</w:t>
      </w:r>
      <w:r w:rsidR="001045E9" w:rsidRPr="006238E0">
        <w:rPr>
          <w:rFonts w:ascii="Calibri" w:hAnsi="Calibri"/>
          <w:iCs/>
        </w:rPr>
        <w:t>/ACS</w:t>
      </w:r>
      <w:r w:rsidR="00E808E4" w:rsidRPr="006238E0">
        <w:rPr>
          <w:rFonts w:ascii="Calibri" w:hAnsi="Calibri"/>
          <w:iCs/>
        </w:rPr>
        <w:t xml:space="preserve"> data)</w:t>
      </w:r>
      <w:r w:rsidRPr="006238E0">
        <w:rPr>
          <w:rFonts w:ascii="Calibri" w:hAnsi="Calibri"/>
          <w:iCs/>
        </w:rPr>
        <w:t xml:space="preserve">, </w:t>
      </w:r>
    </w:p>
    <w:p w14:paraId="6B670237" w14:textId="4F06BC6E" w:rsidR="00E808E4" w:rsidRPr="006238E0" w:rsidRDefault="00927F0A" w:rsidP="00E808E4">
      <w:pPr>
        <w:numPr>
          <w:ilvl w:val="0"/>
          <w:numId w:val="9"/>
        </w:numPr>
        <w:spacing w:after="240"/>
        <w:rPr>
          <w:rFonts w:ascii="Calibri" w:hAnsi="Calibri"/>
          <w:iCs/>
        </w:rPr>
      </w:pPr>
      <w:r w:rsidRPr="006238E0">
        <w:rPr>
          <w:rFonts w:ascii="Calibri" w:hAnsi="Calibri"/>
          <w:iCs/>
        </w:rPr>
        <w:t>% of older adults 65 and older</w:t>
      </w:r>
      <w:r w:rsidR="00E808E4" w:rsidRPr="006238E0">
        <w:rPr>
          <w:rFonts w:ascii="Calibri" w:hAnsi="Calibri"/>
          <w:iCs/>
        </w:rPr>
        <w:t xml:space="preserve"> (Census</w:t>
      </w:r>
      <w:r w:rsidR="001045E9" w:rsidRPr="006238E0">
        <w:rPr>
          <w:rFonts w:ascii="Calibri" w:hAnsi="Calibri"/>
          <w:iCs/>
        </w:rPr>
        <w:t>/ACS</w:t>
      </w:r>
      <w:r w:rsidR="00E808E4" w:rsidRPr="006238E0">
        <w:rPr>
          <w:rFonts w:ascii="Calibri" w:hAnsi="Calibri"/>
          <w:iCs/>
        </w:rPr>
        <w:t xml:space="preserve"> data),</w:t>
      </w:r>
    </w:p>
    <w:p w14:paraId="72E7A808" w14:textId="5077A073" w:rsidR="00E808E4" w:rsidRPr="006238E0" w:rsidRDefault="00927F0A" w:rsidP="00E808E4">
      <w:pPr>
        <w:numPr>
          <w:ilvl w:val="0"/>
          <w:numId w:val="9"/>
        </w:numPr>
        <w:spacing w:after="240"/>
        <w:rPr>
          <w:rFonts w:ascii="Calibri" w:hAnsi="Calibri"/>
          <w:iCs/>
        </w:rPr>
      </w:pPr>
      <w:r w:rsidRPr="006238E0">
        <w:rPr>
          <w:rFonts w:ascii="Calibri" w:hAnsi="Calibri"/>
          <w:iCs/>
        </w:rPr>
        <w:t xml:space="preserve">% of </w:t>
      </w:r>
      <w:r w:rsidR="00977915" w:rsidRPr="006238E0">
        <w:rPr>
          <w:rFonts w:ascii="Calibri" w:hAnsi="Calibri"/>
          <w:iCs/>
        </w:rPr>
        <w:t>minority</w:t>
      </w:r>
      <w:r w:rsidRPr="006238E0">
        <w:rPr>
          <w:rFonts w:ascii="Calibri" w:hAnsi="Calibri"/>
          <w:iCs/>
        </w:rPr>
        <w:t xml:space="preserve"> residents</w:t>
      </w:r>
      <w:r w:rsidR="00E808E4" w:rsidRPr="006238E0">
        <w:rPr>
          <w:rFonts w:ascii="Calibri" w:hAnsi="Calibri"/>
          <w:iCs/>
        </w:rPr>
        <w:t xml:space="preserve"> (Census</w:t>
      </w:r>
      <w:r w:rsidR="001045E9" w:rsidRPr="006238E0">
        <w:rPr>
          <w:rFonts w:ascii="Calibri" w:hAnsi="Calibri"/>
          <w:iCs/>
        </w:rPr>
        <w:t>/ACS</w:t>
      </w:r>
      <w:r w:rsidR="00E808E4" w:rsidRPr="006238E0">
        <w:rPr>
          <w:rFonts w:ascii="Calibri" w:hAnsi="Calibri"/>
          <w:iCs/>
        </w:rPr>
        <w:t xml:space="preserve"> data),</w:t>
      </w:r>
    </w:p>
    <w:p w14:paraId="200A2644" w14:textId="1853497A" w:rsidR="00E808E4" w:rsidRPr="006238E0" w:rsidRDefault="00E808E4" w:rsidP="00E808E4">
      <w:pPr>
        <w:numPr>
          <w:ilvl w:val="0"/>
          <w:numId w:val="9"/>
        </w:numPr>
        <w:spacing w:after="240"/>
        <w:rPr>
          <w:rFonts w:ascii="Calibri" w:hAnsi="Calibri"/>
          <w:iCs/>
        </w:rPr>
      </w:pPr>
      <w:r w:rsidRPr="006238E0">
        <w:rPr>
          <w:rFonts w:ascii="Calibri" w:hAnsi="Calibri"/>
          <w:iCs/>
        </w:rPr>
        <w:t>% urban population (Census</w:t>
      </w:r>
      <w:r w:rsidR="001045E9" w:rsidRPr="006238E0">
        <w:rPr>
          <w:rFonts w:ascii="Calibri" w:hAnsi="Calibri"/>
          <w:iCs/>
        </w:rPr>
        <w:t>/ACS</w:t>
      </w:r>
      <w:r w:rsidRPr="006238E0">
        <w:rPr>
          <w:rFonts w:ascii="Calibri" w:hAnsi="Calibri"/>
          <w:iCs/>
        </w:rPr>
        <w:t xml:space="preserve"> data), </w:t>
      </w:r>
      <w:r w:rsidR="00927F0A" w:rsidRPr="006238E0">
        <w:rPr>
          <w:rFonts w:ascii="Calibri" w:hAnsi="Calibri"/>
          <w:iCs/>
        </w:rPr>
        <w:t xml:space="preserve"> and </w:t>
      </w:r>
    </w:p>
    <w:p w14:paraId="751A9019" w14:textId="5D0C202F" w:rsidR="00977915" w:rsidRPr="006238E0" w:rsidRDefault="00927F0A" w:rsidP="00E808E4">
      <w:pPr>
        <w:numPr>
          <w:ilvl w:val="0"/>
          <w:numId w:val="9"/>
        </w:numPr>
        <w:spacing w:after="240"/>
        <w:rPr>
          <w:rFonts w:ascii="Calibri" w:hAnsi="Calibri"/>
          <w:iCs/>
        </w:rPr>
      </w:pPr>
      <w:r w:rsidRPr="006238E0">
        <w:rPr>
          <w:rFonts w:ascii="Calibri" w:hAnsi="Calibri"/>
          <w:iCs/>
        </w:rPr>
        <w:t>likelihood of experiencing a disaster</w:t>
      </w:r>
      <w:r w:rsidR="00E808E4" w:rsidRPr="006238E0">
        <w:rPr>
          <w:rFonts w:ascii="Calibri" w:hAnsi="Calibri"/>
          <w:iCs/>
        </w:rPr>
        <w:t xml:space="preserve"> (National Disaster Housing Risk data)</w:t>
      </w:r>
      <w:r w:rsidRPr="006238E0">
        <w:rPr>
          <w:rFonts w:ascii="Calibri" w:hAnsi="Calibri"/>
          <w:iCs/>
        </w:rPr>
        <w:t xml:space="preserve">. </w:t>
      </w:r>
    </w:p>
    <w:p w14:paraId="1A390562" w14:textId="1D8F50AB" w:rsidR="003B46B4" w:rsidRPr="006238E0" w:rsidRDefault="003B46B4" w:rsidP="003B46B4">
      <w:pPr>
        <w:spacing w:after="240"/>
        <w:rPr>
          <w:rFonts w:ascii="Calibri" w:hAnsi="Calibri"/>
          <w:iCs/>
        </w:rPr>
      </w:pPr>
      <w:r w:rsidRPr="006238E0">
        <w:rPr>
          <w:rFonts w:ascii="Calibri" w:hAnsi="Calibri"/>
          <w:iCs/>
        </w:rPr>
        <w:t xml:space="preserve">The nearest neighbor algorithm finds the closest community that mostly closely matches </w:t>
      </w:r>
      <w:r w:rsidR="001045E9" w:rsidRPr="006238E0">
        <w:rPr>
          <w:rFonts w:ascii="Calibri" w:hAnsi="Calibri"/>
          <w:iCs/>
        </w:rPr>
        <w:t xml:space="preserve">the condition 1 and 2 communities on </w:t>
      </w:r>
      <w:r w:rsidRPr="006238E0">
        <w:rPr>
          <w:rFonts w:ascii="Calibri" w:hAnsi="Calibri"/>
          <w:iCs/>
        </w:rPr>
        <w:t>the selected characteristics</w:t>
      </w:r>
      <w:r w:rsidR="001045E9" w:rsidRPr="006238E0">
        <w:rPr>
          <w:rFonts w:ascii="Calibri" w:hAnsi="Calibri"/>
          <w:iCs/>
        </w:rPr>
        <w:t xml:space="preserve"> above</w:t>
      </w:r>
      <w:r w:rsidRPr="006238E0">
        <w:rPr>
          <w:rFonts w:ascii="Calibri" w:hAnsi="Calibri"/>
          <w:iCs/>
        </w:rPr>
        <w:t xml:space="preserve">. This helps to address potential differences due to geographic variation (e.g., having two matched communities in different states with different policy contexts). </w:t>
      </w:r>
      <w:r w:rsidR="00B00008" w:rsidRPr="006238E0">
        <w:rPr>
          <w:rFonts w:ascii="Calibri" w:hAnsi="Calibri"/>
          <w:iCs/>
        </w:rPr>
        <w:t>Whereas SVs most often exist a</w:t>
      </w:r>
      <w:r w:rsidR="00B256C1" w:rsidRPr="006238E0">
        <w:rPr>
          <w:rFonts w:ascii="Calibri" w:hAnsi="Calibri"/>
          <w:iCs/>
        </w:rPr>
        <w:t>t</w:t>
      </w:r>
      <w:r w:rsidR="00B00008" w:rsidRPr="006238E0">
        <w:rPr>
          <w:rFonts w:ascii="Calibri" w:hAnsi="Calibri"/>
          <w:iCs/>
        </w:rPr>
        <w:t xml:space="preserve"> the neighborhood level (census tract), </w:t>
      </w:r>
      <w:r w:rsidR="000D44AD" w:rsidRPr="006238E0">
        <w:rPr>
          <w:rFonts w:ascii="Calibri" w:hAnsi="Calibri"/>
          <w:iCs/>
        </w:rPr>
        <w:t>AFIs</w:t>
      </w:r>
      <w:r w:rsidR="00B00008" w:rsidRPr="006238E0">
        <w:rPr>
          <w:rFonts w:ascii="Calibri" w:hAnsi="Calibri"/>
          <w:iCs/>
        </w:rPr>
        <w:t xml:space="preserve"> most often exists at the city or county level. The presence of an AFI may influence residents</w:t>
      </w:r>
      <w:r w:rsidR="000D44AD" w:rsidRPr="006238E0">
        <w:rPr>
          <w:rFonts w:ascii="Calibri" w:hAnsi="Calibri"/>
          <w:iCs/>
        </w:rPr>
        <w:t>’ resilience.  As such, we will ensure that the selection control communities do not include communities within an AFI by checking the community against AARP’s list of currently active AFIs.</w:t>
      </w:r>
    </w:p>
    <w:p w14:paraId="5B44BCF7" w14:textId="04A67E61" w:rsidR="009607FE" w:rsidRPr="006238E0" w:rsidRDefault="00977915" w:rsidP="00BC7661">
      <w:pPr>
        <w:spacing w:after="240"/>
        <w:rPr>
          <w:rFonts w:ascii="Calibri" w:hAnsi="Calibri"/>
          <w:iCs/>
        </w:rPr>
      </w:pPr>
      <w:r w:rsidRPr="006238E0">
        <w:rPr>
          <w:rFonts w:ascii="Calibri" w:hAnsi="Calibri"/>
          <w:iCs/>
        </w:rPr>
        <w:t xml:space="preserve">At the second stage of sampling, we will sample individual seniors from within these communities.  </w:t>
      </w:r>
      <w:r w:rsidR="00B00008" w:rsidRPr="006238E0">
        <w:rPr>
          <w:rFonts w:ascii="Calibri" w:hAnsi="Calibri"/>
        </w:rPr>
        <w:t>SV</w:t>
      </w:r>
      <w:r w:rsidR="00B00008" w:rsidRPr="006238E0">
        <w:rPr>
          <w:rFonts w:ascii="Calibri" w:hAnsi="Calibri"/>
          <w:iCs/>
        </w:rPr>
        <w:t xml:space="preserve"> members (i.e., residents living in SVs) will be identified and recruited in two ways: member lists with contact information will be submitted to the research team by SV executive directors or SV executive directors will send a recruitment letter on our behalf.  </w:t>
      </w:r>
      <w:r w:rsidR="00BC7661" w:rsidRPr="006238E0">
        <w:rPr>
          <w:rFonts w:ascii="Calibri" w:hAnsi="Calibri"/>
          <w:iCs/>
        </w:rPr>
        <w:t xml:space="preserve">We will sample </w:t>
      </w:r>
      <w:r w:rsidR="00B00008" w:rsidRPr="006238E0">
        <w:rPr>
          <w:rFonts w:ascii="Calibri" w:hAnsi="Calibri"/>
          <w:iCs/>
        </w:rPr>
        <w:t xml:space="preserve">to target a sample of </w:t>
      </w:r>
      <w:r w:rsidR="00BC7661" w:rsidRPr="006238E0">
        <w:rPr>
          <w:rFonts w:ascii="Calibri" w:hAnsi="Calibri"/>
          <w:iCs/>
        </w:rPr>
        <w:t xml:space="preserve">50 adults 65+ from each of the 8 communities with SVs with EP activities </w:t>
      </w:r>
      <w:r w:rsidR="00B00008" w:rsidRPr="006238E0">
        <w:rPr>
          <w:rFonts w:ascii="Calibri" w:hAnsi="Calibri"/>
          <w:iCs/>
        </w:rPr>
        <w:t xml:space="preserve">for a total of </w:t>
      </w:r>
      <w:r w:rsidR="00BC7661" w:rsidRPr="006238E0">
        <w:rPr>
          <w:rFonts w:ascii="Calibri" w:hAnsi="Calibri"/>
          <w:iCs/>
        </w:rPr>
        <w:t xml:space="preserve">400 older adults </w:t>
      </w:r>
      <w:r w:rsidR="00B00008" w:rsidRPr="006238E0">
        <w:rPr>
          <w:rFonts w:ascii="Calibri" w:hAnsi="Calibri"/>
          <w:iCs/>
        </w:rPr>
        <w:t xml:space="preserve">in </w:t>
      </w:r>
      <w:r w:rsidR="00BC7661" w:rsidRPr="006238E0">
        <w:rPr>
          <w:rFonts w:ascii="Calibri" w:hAnsi="Calibri"/>
          <w:iCs/>
        </w:rPr>
        <w:t xml:space="preserve">condition 1, 50 older adults from each of the 8 communities with SVs but without EP activities </w:t>
      </w:r>
      <w:r w:rsidR="00B00008" w:rsidRPr="006238E0">
        <w:rPr>
          <w:rFonts w:ascii="Calibri" w:hAnsi="Calibri"/>
          <w:iCs/>
        </w:rPr>
        <w:t xml:space="preserve">for a total of </w:t>
      </w:r>
      <w:r w:rsidR="00BC7661" w:rsidRPr="006238E0">
        <w:rPr>
          <w:rFonts w:ascii="Calibri" w:hAnsi="Calibri"/>
          <w:iCs/>
        </w:rPr>
        <w:t xml:space="preserve">400 older adults </w:t>
      </w:r>
      <w:r w:rsidR="00B00008" w:rsidRPr="006238E0">
        <w:rPr>
          <w:rFonts w:ascii="Calibri" w:hAnsi="Calibri"/>
          <w:iCs/>
        </w:rPr>
        <w:t xml:space="preserve">in </w:t>
      </w:r>
      <w:r w:rsidR="00BC7661" w:rsidRPr="006238E0">
        <w:rPr>
          <w:rFonts w:ascii="Calibri" w:hAnsi="Calibri"/>
          <w:iCs/>
        </w:rPr>
        <w:t>condition 2, and 50 adults 65+ from each of the 1</w:t>
      </w:r>
      <w:r w:rsidR="001045E9" w:rsidRPr="006238E0">
        <w:rPr>
          <w:rFonts w:ascii="Calibri" w:hAnsi="Calibri"/>
          <w:iCs/>
        </w:rPr>
        <w:t>5</w:t>
      </w:r>
      <w:r w:rsidR="00BC7661" w:rsidRPr="006238E0">
        <w:rPr>
          <w:rFonts w:ascii="Calibri" w:hAnsi="Calibri"/>
          <w:iCs/>
        </w:rPr>
        <w:t xml:space="preserve"> control communities for </w:t>
      </w:r>
      <w:r w:rsidR="00B00008" w:rsidRPr="006238E0">
        <w:rPr>
          <w:rFonts w:ascii="Calibri" w:hAnsi="Calibri"/>
          <w:iCs/>
        </w:rPr>
        <w:t xml:space="preserve">a total of </w:t>
      </w:r>
      <w:r w:rsidR="00BC7661" w:rsidRPr="006238E0">
        <w:rPr>
          <w:rFonts w:ascii="Calibri" w:hAnsi="Calibri"/>
          <w:iCs/>
        </w:rPr>
        <w:t xml:space="preserve">750 older adults </w:t>
      </w:r>
      <w:r w:rsidR="00B00008" w:rsidRPr="006238E0">
        <w:rPr>
          <w:rFonts w:ascii="Calibri" w:hAnsi="Calibri"/>
          <w:iCs/>
        </w:rPr>
        <w:t>in</w:t>
      </w:r>
      <w:r w:rsidR="001737DC" w:rsidRPr="006238E0">
        <w:rPr>
          <w:rFonts w:ascii="Calibri" w:hAnsi="Calibri"/>
          <w:iCs/>
        </w:rPr>
        <w:t xml:space="preserve"> </w:t>
      </w:r>
      <w:r w:rsidR="00BC7661" w:rsidRPr="006238E0">
        <w:rPr>
          <w:rFonts w:ascii="Calibri" w:hAnsi="Calibri"/>
          <w:iCs/>
        </w:rPr>
        <w:t xml:space="preserve">condition 3. </w:t>
      </w:r>
    </w:p>
    <w:p w14:paraId="076AD1BD" w14:textId="5B055DAC" w:rsidR="002D75B5" w:rsidRPr="006238E0" w:rsidRDefault="002D75B5" w:rsidP="002D75B5">
      <w:pPr>
        <w:spacing w:after="240"/>
        <w:rPr>
          <w:rFonts w:ascii="Calibri" w:hAnsi="Calibri"/>
          <w:iCs/>
        </w:rPr>
      </w:pPr>
      <w:r w:rsidRPr="006238E0">
        <w:rPr>
          <w:rFonts w:ascii="Calibri" w:hAnsi="Calibri"/>
          <w:b/>
          <w:iCs/>
        </w:rPr>
        <w:t>Anticipated response rates</w:t>
      </w:r>
      <w:r w:rsidRPr="006238E0">
        <w:rPr>
          <w:rFonts w:ascii="Calibri" w:hAnsi="Calibri"/>
          <w:iCs/>
        </w:rPr>
        <w:t xml:space="preserve">. For the 16 communities with SVs (condition 1 and 2), we will select members who are nominated </w:t>
      </w:r>
      <w:r w:rsidR="001737DC" w:rsidRPr="006238E0">
        <w:rPr>
          <w:rFonts w:ascii="Calibri" w:hAnsi="Calibri"/>
          <w:iCs/>
        </w:rPr>
        <w:t xml:space="preserve">or recruited </w:t>
      </w:r>
      <w:r w:rsidRPr="006238E0">
        <w:rPr>
          <w:rFonts w:ascii="Calibri" w:hAnsi="Calibri"/>
          <w:iCs/>
        </w:rPr>
        <w:t xml:space="preserve">by SV executive directors, and we anticipate a 75% response rate. </w:t>
      </w:r>
    </w:p>
    <w:p w14:paraId="27FCFDB4" w14:textId="77777777" w:rsidR="002D75B5" w:rsidRPr="006238E0" w:rsidRDefault="002D75B5" w:rsidP="002D75B5">
      <w:pPr>
        <w:spacing w:after="240"/>
        <w:rPr>
          <w:rFonts w:ascii="Calibri" w:hAnsi="Calibri"/>
          <w:iCs/>
        </w:rPr>
      </w:pPr>
      <w:r w:rsidRPr="006238E0">
        <w:rPr>
          <w:rFonts w:ascii="Calibri" w:hAnsi="Calibri"/>
          <w:iCs/>
        </w:rPr>
        <w:t xml:space="preserve">For control communities, we will use random digit dialing, and anticipate a 40% response rate based on prior experience surveying by random digit dialing.  </w:t>
      </w:r>
    </w:p>
    <w:p w14:paraId="2F9DA527" w14:textId="3E873475" w:rsidR="002D75B5" w:rsidRPr="006238E0" w:rsidRDefault="002D75B5" w:rsidP="002D75B5">
      <w:pPr>
        <w:spacing w:after="240"/>
        <w:rPr>
          <w:rFonts w:ascii="Calibri" w:hAnsi="Calibri"/>
          <w:iCs/>
        </w:rPr>
      </w:pPr>
      <w:r w:rsidRPr="006238E0">
        <w:rPr>
          <w:rFonts w:ascii="Calibri" w:hAnsi="Calibri"/>
          <w:iCs/>
        </w:rPr>
        <w:lastRenderedPageBreak/>
        <w:t>Our nonresponse pool (n=1431) is derived based on the estimated survey response rates for the communities with SVs (with and without EP) and the matched control communities.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tblGrid>
      <w:tr w:rsidR="002D75B5" w:rsidRPr="006238E0" w14:paraId="2A339A37" w14:textId="77777777" w:rsidTr="00CF6F0F">
        <w:tc>
          <w:tcPr>
            <w:tcW w:w="2214" w:type="dxa"/>
            <w:shd w:val="clear" w:color="auto" w:fill="auto"/>
          </w:tcPr>
          <w:p w14:paraId="4DD59CF0" w14:textId="77777777" w:rsidR="002D75B5" w:rsidRPr="006238E0" w:rsidRDefault="002D75B5" w:rsidP="00CF6F0F">
            <w:pPr>
              <w:spacing w:after="240"/>
              <w:rPr>
                <w:rFonts w:ascii="Calibri" w:hAnsi="Calibri"/>
                <w:iCs/>
              </w:rPr>
            </w:pPr>
            <w:r w:rsidRPr="006238E0">
              <w:rPr>
                <w:rFonts w:ascii="Calibri" w:hAnsi="Calibri"/>
                <w:iCs/>
              </w:rPr>
              <w:t>Type of Community</w:t>
            </w:r>
          </w:p>
        </w:tc>
        <w:tc>
          <w:tcPr>
            <w:tcW w:w="2214" w:type="dxa"/>
            <w:shd w:val="clear" w:color="auto" w:fill="auto"/>
          </w:tcPr>
          <w:p w14:paraId="16F27FE0" w14:textId="77777777" w:rsidR="002D75B5" w:rsidRPr="006238E0" w:rsidRDefault="002D75B5" w:rsidP="00CF6F0F">
            <w:pPr>
              <w:spacing w:after="240"/>
              <w:rPr>
                <w:rFonts w:ascii="Calibri" w:hAnsi="Calibri"/>
                <w:iCs/>
              </w:rPr>
            </w:pPr>
            <w:r w:rsidRPr="006238E0">
              <w:rPr>
                <w:rFonts w:ascii="Calibri" w:hAnsi="Calibri"/>
                <w:iCs/>
              </w:rPr>
              <w:t>Number of Communities</w:t>
            </w:r>
          </w:p>
        </w:tc>
        <w:tc>
          <w:tcPr>
            <w:tcW w:w="2214" w:type="dxa"/>
            <w:shd w:val="clear" w:color="auto" w:fill="auto"/>
          </w:tcPr>
          <w:p w14:paraId="7020824C" w14:textId="77777777" w:rsidR="002D75B5" w:rsidRPr="006238E0" w:rsidRDefault="002D75B5" w:rsidP="00CF6F0F">
            <w:pPr>
              <w:spacing w:after="240"/>
              <w:rPr>
                <w:rFonts w:ascii="Calibri" w:hAnsi="Calibri"/>
                <w:iCs/>
              </w:rPr>
            </w:pPr>
            <w:r w:rsidRPr="006238E0">
              <w:rPr>
                <w:rFonts w:ascii="Calibri" w:hAnsi="Calibri"/>
                <w:iCs/>
              </w:rPr>
              <w:t>Maximum Number of Survey Respondents</w:t>
            </w:r>
          </w:p>
        </w:tc>
      </w:tr>
      <w:tr w:rsidR="002D75B5" w:rsidRPr="006238E0" w14:paraId="401AC400" w14:textId="77777777" w:rsidTr="00CF6F0F">
        <w:tc>
          <w:tcPr>
            <w:tcW w:w="2214" w:type="dxa"/>
            <w:shd w:val="clear" w:color="auto" w:fill="auto"/>
          </w:tcPr>
          <w:p w14:paraId="18B00C85" w14:textId="77777777" w:rsidR="002D75B5" w:rsidRPr="006238E0" w:rsidRDefault="002D75B5" w:rsidP="00CF6F0F">
            <w:pPr>
              <w:spacing w:after="240"/>
              <w:rPr>
                <w:rFonts w:ascii="Calibri" w:hAnsi="Calibri"/>
                <w:iCs/>
              </w:rPr>
            </w:pPr>
            <w:r w:rsidRPr="006238E0">
              <w:rPr>
                <w:rFonts w:ascii="Calibri" w:hAnsi="Calibri"/>
                <w:iCs/>
              </w:rPr>
              <w:t>Senior Village with EP</w:t>
            </w:r>
          </w:p>
        </w:tc>
        <w:tc>
          <w:tcPr>
            <w:tcW w:w="2214" w:type="dxa"/>
            <w:shd w:val="clear" w:color="auto" w:fill="auto"/>
          </w:tcPr>
          <w:p w14:paraId="34DD0A4E" w14:textId="77777777" w:rsidR="002D75B5" w:rsidRPr="006238E0" w:rsidRDefault="002D75B5" w:rsidP="00CF6F0F">
            <w:pPr>
              <w:spacing w:after="240"/>
              <w:rPr>
                <w:rFonts w:ascii="Calibri" w:hAnsi="Calibri"/>
                <w:iCs/>
              </w:rPr>
            </w:pPr>
            <w:r w:rsidRPr="006238E0">
              <w:rPr>
                <w:rFonts w:ascii="Calibri" w:hAnsi="Calibri"/>
                <w:iCs/>
              </w:rPr>
              <w:t>8</w:t>
            </w:r>
          </w:p>
        </w:tc>
        <w:tc>
          <w:tcPr>
            <w:tcW w:w="2214" w:type="dxa"/>
            <w:shd w:val="clear" w:color="auto" w:fill="auto"/>
          </w:tcPr>
          <w:p w14:paraId="1EE130D3" w14:textId="77777777" w:rsidR="002D75B5" w:rsidRPr="006238E0" w:rsidRDefault="002D75B5" w:rsidP="00CF6F0F">
            <w:pPr>
              <w:spacing w:after="240"/>
              <w:rPr>
                <w:rFonts w:ascii="Calibri" w:hAnsi="Calibri"/>
                <w:iCs/>
              </w:rPr>
            </w:pPr>
            <w:r w:rsidRPr="006238E0">
              <w:rPr>
                <w:rFonts w:ascii="Calibri" w:hAnsi="Calibri"/>
                <w:iCs/>
              </w:rPr>
              <w:t>400</w:t>
            </w:r>
          </w:p>
        </w:tc>
      </w:tr>
      <w:tr w:rsidR="002D75B5" w:rsidRPr="006238E0" w14:paraId="4C9D1ADD" w14:textId="77777777" w:rsidTr="00CF6F0F">
        <w:tc>
          <w:tcPr>
            <w:tcW w:w="2214" w:type="dxa"/>
            <w:shd w:val="clear" w:color="auto" w:fill="auto"/>
          </w:tcPr>
          <w:p w14:paraId="5DDE1A6D" w14:textId="77777777" w:rsidR="002D75B5" w:rsidRPr="006238E0" w:rsidRDefault="002D75B5" w:rsidP="00CF6F0F">
            <w:pPr>
              <w:spacing w:after="240"/>
              <w:rPr>
                <w:rFonts w:ascii="Calibri" w:hAnsi="Calibri"/>
                <w:iCs/>
              </w:rPr>
            </w:pPr>
            <w:r w:rsidRPr="006238E0">
              <w:rPr>
                <w:rFonts w:ascii="Calibri" w:hAnsi="Calibri"/>
                <w:iCs/>
              </w:rPr>
              <w:t>Senior Village without EP</w:t>
            </w:r>
          </w:p>
        </w:tc>
        <w:tc>
          <w:tcPr>
            <w:tcW w:w="2214" w:type="dxa"/>
            <w:shd w:val="clear" w:color="auto" w:fill="auto"/>
          </w:tcPr>
          <w:p w14:paraId="2CA8AD0D" w14:textId="77777777" w:rsidR="002D75B5" w:rsidRPr="006238E0" w:rsidRDefault="002D75B5" w:rsidP="00CF6F0F">
            <w:pPr>
              <w:spacing w:after="240"/>
              <w:rPr>
                <w:rFonts w:ascii="Calibri" w:hAnsi="Calibri"/>
                <w:iCs/>
              </w:rPr>
            </w:pPr>
            <w:r w:rsidRPr="006238E0">
              <w:rPr>
                <w:rFonts w:ascii="Calibri" w:hAnsi="Calibri"/>
                <w:iCs/>
              </w:rPr>
              <w:t>8</w:t>
            </w:r>
          </w:p>
        </w:tc>
        <w:tc>
          <w:tcPr>
            <w:tcW w:w="2214" w:type="dxa"/>
            <w:shd w:val="clear" w:color="auto" w:fill="auto"/>
          </w:tcPr>
          <w:p w14:paraId="5E03A350" w14:textId="77777777" w:rsidR="002D75B5" w:rsidRPr="006238E0" w:rsidRDefault="002D75B5" w:rsidP="00CF6F0F">
            <w:pPr>
              <w:spacing w:after="240"/>
              <w:rPr>
                <w:rFonts w:ascii="Calibri" w:hAnsi="Calibri"/>
                <w:iCs/>
              </w:rPr>
            </w:pPr>
            <w:r w:rsidRPr="006238E0">
              <w:rPr>
                <w:rFonts w:ascii="Calibri" w:hAnsi="Calibri"/>
                <w:iCs/>
              </w:rPr>
              <w:t>400</w:t>
            </w:r>
          </w:p>
        </w:tc>
      </w:tr>
      <w:tr w:rsidR="002D75B5" w:rsidRPr="006238E0" w14:paraId="30362420" w14:textId="77777777" w:rsidTr="00CF6F0F">
        <w:tc>
          <w:tcPr>
            <w:tcW w:w="2214" w:type="dxa"/>
            <w:shd w:val="clear" w:color="auto" w:fill="auto"/>
          </w:tcPr>
          <w:p w14:paraId="421C7237" w14:textId="77777777" w:rsidR="002D75B5" w:rsidRPr="006238E0" w:rsidRDefault="002D75B5" w:rsidP="00CF6F0F">
            <w:pPr>
              <w:spacing w:after="240"/>
              <w:rPr>
                <w:rFonts w:ascii="Calibri" w:hAnsi="Calibri"/>
                <w:iCs/>
              </w:rPr>
            </w:pPr>
            <w:r w:rsidRPr="006238E0">
              <w:rPr>
                <w:rFonts w:ascii="Calibri" w:hAnsi="Calibri"/>
                <w:iCs/>
              </w:rPr>
              <w:t>Matched Control Community</w:t>
            </w:r>
          </w:p>
        </w:tc>
        <w:tc>
          <w:tcPr>
            <w:tcW w:w="2214" w:type="dxa"/>
            <w:shd w:val="clear" w:color="auto" w:fill="auto"/>
          </w:tcPr>
          <w:p w14:paraId="58569154" w14:textId="77777777" w:rsidR="002D75B5" w:rsidRPr="006238E0" w:rsidRDefault="002D75B5" w:rsidP="00CF6F0F">
            <w:pPr>
              <w:spacing w:after="240"/>
              <w:rPr>
                <w:rFonts w:ascii="Calibri" w:hAnsi="Calibri"/>
                <w:iCs/>
              </w:rPr>
            </w:pPr>
            <w:r w:rsidRPr="006238E0">
              <w:rPr>
                <w:rFonts w:ascii="Calibri" w:hAnsi="Calibri"/>
                <w:iCs/>
              </w:rPr>
              <w:t>15</w:t>
            </w:r>
          </w:p>
        </w:tc>
        <w:tc>
          <w:tcPr>
            <w:tcW w:w="2214" w:type="dxa"/>
            <w:shd w:val="clear" w:color="auto" w:fill="auto"/>
          </w:tcPr>
          <w:p w14:paraId="0C122C32" w14:textId="77777777" w:rsidR="002D75B5" w:rsidRPr="006238E0" w:rsidRDefault="002D75B5" w:rsidP="00CF6F0F">
            <w:pPr>
              <w:spacing w:after="240"/>
              <w:rPr>
                <w:rFonts w:ascii="Calibri" w:hAnsi="Calibri"/>
                <w:iCs/>
              </w:rPr>
            </w:pPr>
            <w:r w:rsidRPr="006238E0">
              <w:rPr>
                <w:rFonts w:ascii="Calibri" w:hAnsi="Calibri"/>
                <w:iCs/>
              </w:rPr>
              <w:t>750</w:t>
            </w:r>
          </w:p>
        </w:tc>
      </w:tr>
      <w:tr w:rsidR="002D75B5" w:rsidRPr="006238E0" w14:paraId="65A1B5B9" w14:textId="77777777" w:rsidTr="00CF6F0F">
        <w:tc>
          <w:tcPr>
            <w:tcW w:w="2214" w:type="dxa"/>
            <w:shd w:val="clear" w:color="auto" w:fill="auto"/>
          </w:tcPr>
          <w:p w14:paraId="2814AEAD" w14:textId="77777777" w:rsidR="002D75B5" w:rsidRPr="006238E0" w:rsidRDefault="002D75B5" w:rsidP="00CF6F0F">
            <w:pPr>
              <w:spacing w:after="240"/>
              <w:rPr>
                <w:rFonts w:ascii="Calibri" w:hAnsi="Calibri"/>
                <w:iCs/>
              </w:rPr>
            </w:pPr>
            <w:r w:rsidRPr="006238E0">
              <w:rPr>
                <w:rFonts w:ascii="Calibri" w:hAnsi="Calibri"/>
                <w:iCs/>
              </w:rPr>
              <w:t>Total</w:t>
            </w:r>
          </w:p>
        </w:tc>
        <w:tc>
          <w:tcPr>
            <w:tcW w:w="2214" w:type="dxa"/>
            <w:shd w:val="clear" w:color="auto" w:fill="auto"/>
          </w:tcPr>
          <w:p w14:paraId="3C7DEE87" w14:textId="77777777" w:rsidR="002D75B5" w:rsidRPr="006238E0" w:rsidRDefault="002D75B5" w:rsidP="00CF6F0F">
            <w:pPr>
              <w:spacing w:after="240"/>
              <w:rPr>
                <w:rFonts w:ascii="Calibri" w:hAnsi="Calibri"/>
                <w:iCs/>
              </w:rPr>
            </w:pPr>
            <w:r w:rsidRPr="006238E0">
              <w:rPr>
                <w:rFonts w:ascii="Calibri" w:hAnsi="Calibri"/>
                <w:iCs/>
              </w:rPr>
              <w:t>31</w:t>
            </w:r>
          </w:p>
        </w:tc>
        <w:tc>
          <w:tcPr>
            <w:tcW w:w="2214" w:type="dxa"/>
            <w:shd w:val="clear" w:color="auto" w:fill="auto"/>
          </w:tcPr>
          <w:p w14:paraId="4634760D" w14:textId="77777777" w:rsidR="002D75B5" w:rsidRPr="006238E0" w:rsidRDefault="002D75B5" w:rsidP="00CF6F0F">
            <w:pPr>
              <w:spacing w:after="240"/>
              <w:rPr>
                <w:rFonts w:ascii="Calibri" w:hAnsi="Calibri"/>
                <w:iCs/>
              </w:rPr>
            </w:pPr>
            <w:r w:rsidRPr="006238E0">
              <w:rPr>
                <w:rFonts w:ascii="Calibri" w:hAnsi="Calibri"/>
                <w:iCs/>
              </w:rPr>
              <w:t>1550</w:t>
            </w:r>
          </w:p>
        </w:tc>
      </w:tr>
    </w:tbl>
    <w:p w14:paraId="07C574B8" w14:textId="77777777" w:rsidR="002D75B5" w:rsidRPr="006238E0" w:rsidRDefault="002D75B5" w:rsidP="00BC7661">
      <w:pPr>
        <w:spacing w:after="240"/>
        <w:rPr>
          <w:rFonts w:ascii="Calibri" w:hAnsi="Calibri"/>
          <w:b/>
          <w:iCs/>
        </w:rPr>
      </w:pPr>
    </w:p>
    <w:p w14:paraId="7453ABB9" w14:textId="54845D22" w:rsidR="00BC7661" w:rsidRPr="006238E0" w:rsidRDefault="009607FE" w:rsidP="00BC7661">
      <w:pPr>
        <w:spacing w:after="240"/>
        <w:rPr>
          <w:rFonts w:ascii="Calibri" w:hAnsi="Calibri"/>
          <w:iCs/>
        </w:rPr>
      </w:pPr>
      <w:r w:rsidRPr="006238E0">
        <w:rPr>
          <w:rFonts w:ascii="Calibri" w:hAnsi="Calibri"/>
          <w:b/>
          <w:iCs/>
        </w:rPr>
        <w:t>Power to detect differences between resilience-related outcomes in the pooled sample of adults 65+ in communities with SVs (condition 1 and condition 2) and adults 65+ in communities without SVs or AFIs (control condition 3)</w:t>
      </w:r>
      <w:r w:rsidRPr="006238E0">
        <w:rPr>
          <w:rFonts w:ascii="Calibri" w:hAnsi="Calibri"/>
          <w:iCs/>
        </w:rPr>
        <w:t xml:space="preserve">. </w:t>
      </w:r>
      <w:r w:rsidR="00BC7661" w:rsidRPr="006238E0">
        <w:rPr>
          <w:rFonts w:ascii="Calibri" w:hAnsi="Calibri"/>
          <w:iCs/>
        </w:rPr>
        <w:t xml:space="preserve">We estimate the power of the analysis to detect differences between the SV members and matched controls, on a continuous outcome scale.  Both the clustering of individuals in communities, and the propensity weights introduce a design effect which reduces the effective sample size (and thereby reduces the precision of the study).  </w:t>
      </w:r>
    </w:p>
    <w:p w14:paraId="42DFC35A" w14:textId="77777777" w:rsidR="009607FE" w:rsidRPr="006238E0" w:rsidRDefault="009607FE" w:rsidP="009607FE">
      <w:pPr>
        <w:spacing w:after="240"/>
        <w:rPr>
          <w:rFonts w:ascii="Calibri" w:hAnsi="Calibri"/>
          <w:iCs/>
        </w:rPr>
      </w:pPr>
      <w:r w:rsidRPr="006238E0">
        <w:rPr>
          <w:rFonts w:ascii="Calibri" w:hAnsi="Calibri"/>
          <w:iCs/>
        </w:rPr>
        <w:t>For the design effect introduced by clustering, it is necessary to estimate the intra-class correlation (ICC), that is the degree of similarity of individuals within the same community, on the outcome variables (when any covariates have been incorporated). Based on our prior experience, we estimate an ICC of 0.05. The design effect due to clustering is given by:</w:t>
      </w:r>
    </w:p>
    <w:p w14:paraId="1D563734" w14:textId="77777777" w:rsidR="009607FE" w:rsidRPr="006238E0" w:rsidRDefault="009607FE" w:rsidP="009607FE">
      <w:pPr>
        <w:spacing w:after="240"/>
        <w:jc w:val="center"/>
        <w:rPr>
          <w:rFonts w:ascii="Calibri" w:hAnsi="Calibri"/>
          <w:iCs/>
        </w:rPr>
      </w:pPr>
      <w:r w:rsidRPr="006238E0">
        <w:rPr>
          <w:rFonts w:ascii="Calibri" w:hAnsi="Calibri"/>
          <w:iCs/>
        </w:rPr>
        <w:t>dEff = 1 + (</w:t>
      </w:r>
      <w:r w:rsidRPr="006238E0">
        <w:rPr>
          <w:rFonts w:ascii="Calibri" w:hAnsi="Calibri"/>
          <w:i/>
        </w:rPr>
        <w:t>m</w:t>
      </w:r>
      <w:r w:rsidRPr="006238E0">
        <w:rPr>
          <w:rFonts w:ascii="Calibri" w:hAnsi="Calibri"/>
          <w:iCs/>
        </w:rPr>
        <w:t xml:space="preserve">  - 1) ICC</w:t>
      </w:r>
    </w:p>
    <w:p w14:paraId="0F9081C3" w14:textId="77777777" w:rsidR="009607FE" w:rsidRPr="006238E0" w:rsidRDefault="009607FE" w:rsidP="009607FE">
      <w:pPr>
        <w:spacing w:after="240"/>
        <w:rPr>
          <w:rFonts w:ascii="Calibri" w:hAnsi="Calibri"/>
          <w:iCs/>
        </w:rPr>
      </w:pPr>
      <w:r w:rsidRPr="006238E0">
        <w:rPr>
          <w:rFonts w:ascii="Calibri" w:hAnsi="Calibri"/>
          <w:iCs/>
        </w:rPr>
        <w:t xml:space="preserve">Where </w:t>
      </w:r>
      <w:r w:rsidRPr="006238E0">
        <w:rPr>
          <w:rFonts w:ascii="Calibri" w:hAnsi="Calibri"/>
          <w:i/>
        </w:rPr>
        <w:t>m</w:t>
      </w:r>
      <w:r w:rsidRPr="006238E0">
        <w:rPr>
          <w:rFonts w:ascii="Calibri" w:hAnsi="Calibri"/>
          <w:iCs/>
        </w:rPr>
        <w:t xml:space="preserve"> is the mean cluster size – that is, the mean number of individuals sampled per community. The sampling plan gives this value as 50, and therefore the design effect due to clustering is equal to 3.45. The design effect due to the survey weights depends on the variance of the weights, which is dependent on the degree of similarity of the samples prior to matching. We anticipate that the samples will be similar and therefore that the design effect due to weights will increase the overall design effect by 20%, giving a final design effect of 4.14.</w:t>
      </w:r>
    </w:p>
    <w:p w14:paraId="35CECE56" w14:textId="77777777" w:rsidR="009607FE" w:rsidRPr="006238E0" w:rsidRDefault="009607FE" w:rsidP="009607FE">
      <w:pPr>
        <w:spacing w:after="240"/>
        <w:rPr>
          <w:rFonts w:ascii="Calibri" w:hAnsi="Calibri"/>
          <w:iCs/>
        </w:rPr>
      </w:pPr>
      <w:r w:rsidRPr="006238E0">
        <w:rPr>
          <w:rFonts w:ascii="Calibri" w:hAnsi="Calibri"/>
          <w:iCs/>
        </w:rPr>
        <w:lastRenderedPageBreak/>
        <w:t xml:space="preserve">The effective sample size is given by N / dEff, where N is the original sample size. The effective sample size is therefore given by 1550 / 4.14 = 374. </w:t>
      </w:r>
    </w:p>
    <w:p w14:paraId="59CE916E" w14:textId="77777777" w:rsidR="009607FE" w:rsidRPr="006238E0" w:rsidRDefault="009607FE" w:rsidP="009607FE">
      <w:pPr>
        <w:spacing w:after="240"/>
        <w:rPr>
          <w:rStyle w:val="Strong"/>
          <w:rFonts w:ascii="Calibri" w:hAnsi="Calibri"/>
          <w:b w:val="0"/>
          <w:iCs/>
        </w:rPr>
      </w:pPr>
      <w:r w:rsidRPr="006238E0">
        <w:rPr>
          <w:rFonts w:ascii="Calibri" w:hAnsi="Calibri"/>
          <w:iCs/>
        </w:rPr>
        <w:t xml:space="preserve">The effective sample size </w:t>
      </w:r>
      <w:r w:rsidRPr="006238E0">
        <w:rPr>
          <w:rStyle w:val="Strong"/>
          <w:rFonts w:ascii="Calibri" w:hAnsi="Calibri"/>
          <w:b w:val="0"/>
          <w:iCs/>
        </w:rPr>
        <w:t>of 374 individuals, divided equally between intervention (being a senior village member) and control, provides greater than 80% power to detect a difference of d=0.29, that is a difference of 0.29 standard deviation units. This is a conservative estimate of power as we have not incorporated the effects of covariates which are likely to increase power.</w:t>
      </w:r>
      <w:hyperlink w:anchor="_ENREF_5" w:tooltip="Taylor, 1993 #1500" w:history="1">
        <w:r w:rsidRPr="006238E0">
          <w:rPr>
            <w:rStyle w:val="Strong"/>
            <w:rFonts w:ascii="Calibri" w:hAnsi="Calibri"/>
            <w:b w:val="0"/>
            <w:iCs/>
          </w:rPr>
          <w:fldChar w:fldCharType="begin"/>
        </w:r>
        <w:r w:rsidRPr="006238E0">
          <w:rPr>
            <w:rStyle w:val="Strong"/>
            <w:rFonts w:ascii="Calibri" w:hAnsi="Calibri"/>
            <w:b w:val="0"/>
            <w:iCs/>
          </w:rPr>
          <w:instrText xml:space="preserve"> ADDIN EN.CITE &lt;EndNote&gt;&lt;Cite&gt;&lt;Author&gt;Taylor&lt;/Author&gt;&lt;Year&gt;1993&lt;/Year&gt;&lt;RecNum&gt;1500&lt;/RecNum&gt;&lt;DisplayText&gt;&lt;style face="superscript"&gt;5&lt;/style&gt;&lt;/DisplayText&gt;&lt;record&gt;&lt;rec-number&gt;1500&lt;/rec-number&gt;&lt;foreign-keys&gt;&lt;key app="EN" db-id="d9aw9r95vtwa29ezp5gvwpf8sfzr9ppdr5e5"&gt;1500&lt;/key&gt;&lt;/foreign-keys&gt;&lt;ref-type name="Journal Article"&gt;17&lt;/ref-type&gt;&lt;contributors&gt;&lt;authors&gt;&lt;author&gt;Taylor, M J&lt;/author&gt;&lt;author&gt;Innocenti, M S&lt;/author&gt;&lt;/authors&gt;&lt;/contributors&gt;&lt;titles&gt;&lt;title&gt;Why covariance:  A rationale for using analysis of covariance procedures in randomised studies&lt;/title&gt;&lt;secondary-title&gt;Journal of Early Intervention&lt;/secondary-title&gt;&lt;/titles&gt;&lt;periodical&gt;&lt;full-title&gt;Journal of Early Intervention&lt;/full-title&gt;&lt;/periodical&gt;&lt;pages&gt;455-467&lt;/pages&gt;&lt;volume&gt;17&lt;/volume&gt;&lt;number&gt;4&lt;/number&gt;&lt;dates&gt;&lt;year&gt;1993&lt;/year&gt;&lt;/dates&gt;&lt;label&gt;t07&lt;/label&gt;&lt;urls&gt;&lt;/urls&gt;&lt;/record&gt;&lt;/Cite&gt;&lt;/EndNote&gt;</w:instrText>
        </w:r>
        <w:r w:rsidRPr="006238E0">
          <w:rPr>
            <w:rStyle w:val="Strong"/>
            <w:rFonts w:ascii="Calibri" w:hAnsi="Calibri"/>
            <w:b w:val="0"/>
            <w:iCs/>
          </w:rPr>
          <w:fldChar w:fldCharType="separate"/>
        </w:r>
        <w:r w:rsidRPr="006238E0">
          <w:rPr>
            <w:rStyle w:val="Strong"/>
            <w:rFonts w:ascii="Calibri" w:hAnsi="Calibri"/>
            <w:b w:val="0"/>
            <w:iCs/>
            <w:noProof/>
            <w:vertAlign w:val="superscript"/>
          </w:rPr>
          <w:t>5</w:t>
        </w:r>
        <w:r w:rsidRPr="006238E0">
          <w:rPr>
            <w:rStyle w:val="Strong"/>
            <w:rFonts w:ascii="Calibri" w:hAnsi="Calibri"/>
            <w:b w:val="0"/>
            <w:iCs/>
          </w:rPr>
          <w:fldChar w:fldCharType="end"/>
        </w:r>
      </w:hyperlink>
    </w:p>
    <w:p w14:paraId="64AE2125" w14:textId="2506D7AE" w:rsidR="009607FE" w:rsidRPr="006238E0" w:rsidRDefault="009607FE" w:rsidP="009607FE">
      <w:pPr>
        <w:spacing w:after="240"/>
        <w:rPr>
          <w:rStyle w:val="Strong"/>
          <w:rFonts w:ascii="Calibri" w:hAnsi="Calibri"/>
          <w:b w:val="0"/>
          <w:bCs w:val="0"/>
          <w:iCs/>
        </w:rPr>
      </w:pPr>
      <w:r w:rsidRPr="006238E0">
        <w:rPr>
          <w:rFonts w:ascii="Calibri" w:hAnsi="Calibri"/>
          <w:b/>
          <w:iCs/>
        </w:rPr>
        <w:t>Power to detect differences between adults 65+ in communities with SVs and EP activities (condition 1) and adults 65+ in communities with SVs but no EPs (condition 2)</w:t>
      </w:r>
      <w:r w:rsidRPr="006238E0">
        <w:rPr>
          <w:rFonts w:ascii="Calibri" w:hAnsi="Calibri"/>
          <w:iCs/>
        </w:rPr>
        <w:t>. For comparison of SVs with and without EP, assuming the same design effect (which is likely to be more conservative as SV residents will be more similar to one another) we estimate that the study will have 80% power to detect a difference of 0.58 standard deviation units.</w:t>
      </w:r>
    </w:p>
    <w:p w14:paraId="2DDE6E25" w14:textId="3D479420" w:rsidR="009607FE" w:rsidRPr="006238E0" w:rsidRDefault="009607FE" w:rsidP="00FC711D">
      <w:pPr>
        <w:spacing w:after="240"/>
        <w:rPr>
          <w:rFonts w:ascii="Calibri" w:hAnsi="Calibri"/>
          <w:bCs/>
          <w:iCs/>
        </w:rPr>
      </w:pPr>
      <w:r w:rsidRPr="006238E0">
        <w:rPr>
          <w:rStyle w:val="Strong"/>
          <w:rFonts w:ascii="Calibri" w:hAnsi="Calibri"/>
          <w:b w:val="0"/>
          <w:iCs/>
        </w:rPr>
        <w:t>We anticipate using the twang</w:t>
      </w:r>
      <w:hyperlink w:anchor="_ENREF_1" w:tooltip="Ridgeway, 2011 #2964" w:history="1">
        <w:r w:rsidRPr="006238E0">
          <w:rPr>
            <w:rStyle w:val="Strong"/>
            <w:rFonts w:ascii="Calibri" w:hAnsi="Calibri"/>
            <w:b w:val="0"/>
            <w:iCs/>
          </w:rPr>
          <w:fldChar w:fldCharType="begin"/>
        </w:r>
        <w:r w:rsidRPr="006238E0">
          <w:rPr>
            <w:rStyle w:val="Strong"/>
            <w:rFonts w:ascii="Calibri" w:hAnsi="Calibri"/>
            <w:b w:val="0"/>
            <w:iCs/>
          </w:rPr>
          <w:instrText xml:space="preserve"> ADDIN EN.CITE &lt;EndNote&gt;&lt;Cite&gt;&lt;Author&gt;Ridgeway&lt;/Author&gt;&lt;Year&gt;2011&lt;/Year&gt;&lt;RecNum&gt;2964&lt;/RecNum&gt;&lt;DisplayText&gt;&lt;style face="superscript"&gt;1&lt;/style&gt;&lt;/DisplayText&gt;&lt;record&gt;&lt;rec-number&gt;2964&lt;/rec-number&gt;&lt;foreign-keys&gt;&lt;key app="EN" db-id="d9aw9r95vtwa29ezp5gvwpf8sfzr9ppdr5e5"&gt;2964&lt;/key&gt;&lt;/foreign-keys&gt;&lt;ref-type name="Computer Program"&gt;9&lt;/ref-type&gt;&lt;contributors&gt;&lt;authors&gt;&lt;author&gt;Ridgeway, G&lt;/author&gt;&lt;author&gt;McCaffrey, D&lt;/author&gt;&lt;author&gt;Morral, A.&lt;/author&gt;&lt;author&gt;Griffin, B A&lt;/author&gt;&lt;author&gt;Burgette, L&lt;/author&gt;&lt;/authors&gt;&lt;/contributors&gt;&lt;titles&gt;&lt;title&gt;twang: Toolkit for Weighting and Analysis of Nonequivalent Groups, 1.2.5&lt;/title&gt;&lt;/titles&gt;&lt;dates&gt;&lt;year&gt;2011&lt;/year&gt;&lt;/dates&gt;&lt;urls&gt;&lt;/urls&gt;&lt;/record&gt;&lt;/Cite&gt;&lt;/EndNote&gt;</w:instrText>
        </w:r>
        <w:r w:rsidRPr="006238E0">
          <w:rPr>
            <w:rStyle w:val="Strong"/>
            <w:rFonts w:ascii="Calibri" w:hAnsi="Calibri"/>
            <w:b w:val="0"/>
            <w:iCs/>
          </w:rPr>
          <w:fldChar w:fldCharType="separate"/>
        </w:r>
        <w:r w:rsidRPr="006238E0">
          <w:rPr>
            <w:rStyle w:val="Strong"/>
            <w:rFonts w:ascii="Calibri" w:hAnsi="Calibri"/>
            <w:b w:val="0"/>
            <w:iCs/>
            <w:noProof/>
            <w:vertAlign w:val="superscript"/>
          </w:rPr>
          <w:t>1</w:t>
        </w:r>
        <w:r w:rsidRPr="006238E0">
          <w:rPr>
            <w:rStyle w:val="Strong"/>
            <w:rFonts w:ascii="Calibri" w:hAnsi="Calibri"/>
            <w:b w:val="0"/>
            <w:iCs/>
          </w:rPr>
          <w:fldChar w:fldCharType="end"/>
        </w:r>
      </w:hyperlink>
      <w:r w:rsidRPr="006238E0">
        <w:rPr>
          <w:rStyle w:val="Strong"/>
          <w:rFonts w:ascii="Calibri" w:hAnsi="Calibri"/>
          <w:b w:val="0"/>
          <w:iCs/>
        </w:rPr>
        <w:t xml:space="preserve"> package within the R</w:t>
      </w:r>
      <w:hyperlink w:anchor="_ENREF_6" w:tooltip="R Development Core Team , 2014&#10; #2797" w:history="1">
        <w:r w:rsidRPr="006238E0">
          <w:rPr>
            <w:rStyle w:val="Strong"/>
            <w:rFonts w:ascii="Calibri" w:hAnsi="Calibri"/>
            <w:b w:val="0"/>
            <w:iCs/>
          </w:rPr>
          <w:fldChar w:fldCharType="begin"/>
        </w:r>
        <w:r w:rsidRPr="006238E0">
          <w:rPr>
            <w:rStyle w:val="Strong"/>
            <w:rFonts w:ascii="Calibri" w:hAnsi="Calibri"/>
            <w:b w:val="0"/>
            <w:iCs/>
          </w:rPr>
          <w:instrText xml:space="preserve"> ADDIN EN.CITE &lt;EndNote&gt;&lt;Cite&gt;&lt;Author&gt;R Development Core Team &lt;/Author&gt;&lt;Year&gt;2014&amp;#xD;&lt;/Year&gt;&lt;RecNum&gt;2797&lt;/RecNum&gt;&lt;DisplayText&gt;&lt;style face="superscript"&gt;6&lt;/style&gt;&lt;/DisplayText&gt;&lt;record&gt;&lt;rec-number&gt;2797&lt;/rec-number&gt;&lt;foreign-keys&gt;&lt;key app="EN" db-id="d9aw9r95vtwa29ezp5gvwpf8sfzr9ppdr5e5"&gt;2797&lt;/key&gt;&lt;/foreign-keys&gt;&lt;ref-type name="Computer Program"&gt;9&lt;/ref-type&gt;&lt;contributors&gt;&lt;authors&gt;&lt;author&gt;R Development Core Team ,&lt;/author&gt;&lt;/authors&gt;&lt;/contributors&gt;&lt;titles&gt;&lt;title&gt;R: A Language and Environment for Statistical Computing&lt;/title&gt;&lt;/titles&gt;&lt;dates&gt;&lt;year&gt;2014&amp;#xD;&lt;/year&gt;&lt;/dates&gt;&lt;pub-location&gt;Vienna, Austria&lt;/pub-location&gt;&lt;publisher&gt;R Foundation for Statistical Computing&lt;/publisher&gt;&lt;urls&gt;&lt;/urls&gt;&lt;/record&gt;&lt;/Cite&gt;&lt;/EndNote&gt;</w:instrText>
        </w:r>
        <w:r w:rsidRPr="006238E0">
          <w:rPr>
            <w:rStyle w:val="Strong"/>
            <w:rFonts w:ascii="Calibri" w:hAnsi="Calibri"/>
            <w:b w:val="0"/>
            <w:iCs/>
          </w:rPr>
          <w:fldChar w:fldCharType="separate"/>
        </w:r>
        <w:r w:rsidRPr="006238E0">
          <w:rPr>
            <w:rStyle w:val="Strong"/>
            <w:rFonts w:ascii="Calibri" w:hAnsi="Calibri"/>
            <w:b w:val="0"/>
            <w:iCs/>
            <w:noProof/>
            <w:vertAlign w:val="superscript"/>
          </w:rPr>
          <w:t>6</w:t>
        </w:r>
        <w:r w:rsidRPr="006238E0">
          <w:rPr>
            <w:rStyle w:val="Strong"/>
            <w:rFonts w:ascii="Calibri" w:hAnsi="Calibri"/>
            <w:b w:val="0"/>
            <w:iCs/>
          </w:rPr>
          <w:fldChar w:fldCharType="end"/>
        </w:r>
      </w:hyperlink>
      <w:r w:rsidRPr="006238E0">
        <w:rPr>
          <w:rStyle w:val="Strong"/>
          <w:rFonts w:ascii="Calibri" w:hAnsi="Calibri"/>
          <w:b w:val="0"/>
          <w:iCs/>
        </w:rPr>
        <w:t xml:space="preserve"> environment to estimate propensity scores. Regression models will be estimated using Stata, version 13 [or the most recent version available at the time of analysis]. Because our survey procedures will screen out non-eligibles, and takes only 20 minutes to administer, we do not anticipate little missing data, however, if missing data appear to be problematic we will use a multiple imputation approach, as implemented using the MI command in Stata version 13 [or most recent version available]. </w:t>
      </w:r>
    </w:p>
    <w:p w14:paraId="4C27443F" w14:textId="77777777" w:rsidR="00DC6FA8" w:rsidRPr="001072BA" w:rsidRDefault="00DC6FA8" w:rsidP="005453AD">
      <w:pPr>
        <w:jc w:val="both"/>
        <w:rPr>
          <w:rFonts w:ascii="Calibri" w:hAnsi="Calibri"/>
          <w:b/>
          <w:bCs/>
          <w:szCs w:val="22"/>
        </w:rPr>
      </w:pPr>
    </w:p>
    <w:p w14:paraId="197213DC" w14:textId="77777777" w:rsidR="005453AD" w:rsidRPr="001072BA" w:rsidRDefault="005453AD" w:rsidP="005453AD">
      <w:pPr>
        <w:pStyle w:val="Heading2"/>
        <w:spacing w:before="0" w:after="0"/>
        <w:rPr>
          <w:rFonts w:ascii="Calibri" w:hAnsi="Calibri"/>
          <w:sz w:val="24"/>
        </w:rPr>
      </w:pPr>
      <w:bookmarkStart w:id="5" w:name="_Toc151782200"/>
      <w:bookmarkStart w:id="6" w:name="_Toc158526236"/>
      <w:r w:rsidRPr="001072BA">
        <w:rPr>
          <w:rFonts w:ascii="Calibri" w:hAnsi="Calibri"/>
          <w:sz w:val="24"/>
        </w:rPr>
        <w:t xml:space="preserve">2. </w:t>
      </w:r>
      <w:bookmarkEnd w:id="5"/>
      <w:bookmarkEnd w:id="6"/>
      <w:r w:rsidR="00494438" w:rsidRPr="001072BA">
        <w:rPr>
          <w:rFonts w:ascii="Calibri" w:hAnsi="Calibri"/>
          <w:sz w:val="24"/>
        </w:rPr>
        <w:t>Procedures for the Collection of Information</w:t>
      </w:r>
    </w:p>
    <w:p w14:paraId="487092C6" w14:textId="77777777" w:rsidR="00927F0A" w:rsidRPr="001072BA" w:rsidRDefault="002837E3" w:rsidP="00927F0A">
      <w:pPr>
        <w:spacing w:after="240"/>
        <w:rPr>
          <w:rFonts w:ascii="Calibri" w:hAnsi="Calibri"/>
          <w:b/>
          <w:i/>
          <w:u w:val="single"/>
        </w:rPr>
      </w:pPr>
      <w:r w:rsidRPr="001072BA">
        <w:rPr>
          <w:rFonts w:ascii="Calibri" w:hAnsi="Calibri"/>
          <w:i/>
        </w:rPr>
        <w:br/>
      </w:r>
      <w:r w:rsidR="00633D67" w:rsidRPr="001072BA">
        <w:rPr>
          <w:rFonts w:ascii="Calibri" w:hAnsi="Calibri"/>
          <w:b/>
          <w:i/>
          <w:u w:val="single"/>
        </w:rPr>
        <w:t xml:space="preserve">2.A. </w:t>
      </w:r>
      <w:r w:rsidR="00927F0A" w:rsidRPr="001072BA">
        <w:rPr>
          <w:rFonts w:ascii="Calibri" w:hAnsi="Calibri"/>
          <w:b/>
          <w:i/>
          <w:u w:val="single"/>
        </w:rPr>
        <w:t>Interviews with Key Informants</w:t>
      </w:r>
    </w:p>
    <w:p w14:paraId="21BB8415" w14:textId="3D71D58E" w:rsidR="006F344D" w:rsidRPr="001072BA" w:rsidRDefault="006F344D" w:rsidP="00927F0A">
      <w:pPr>
        <w:spacing w:after="240"/>
        <w:rPr>
          <w:rFonts w:ascii="Calibri" w:hAnsi="Calibri"/>
          <w:b/>
          <w:i/>
        </w:rPr>
      </w:pPr>
      <w:r w:rsidRPr="001072BA">
        <w:rPr>
          <w:rFonts w:ascii="Calibri" w:hAnsi="Calibri"/>
          <w:b/>
          <w:i/>
        </w:rPr>
        <w:t xml:space="preserve">Procedures for the collection of information.  </w:t>
      </w:r>
      <w:r w:rsidR="00410CD0" w:rsidRPr="001072BA">
        <w:rPr>
          <w:rFonts w:ascii="Calibri" w:hAnsi="Calibri"/>
        </w:rPr>
        <w:t xml:space="preserve">To assess the variability in </w:t>
      </w:r>
      <w:r w:rsidR="00C524D8">
        <w:rPr>
          <w:rFonts w:ascii="Calibri" w:hAnsi="Calibri"/>
        </w:rPr>
        <w:t>AFI</w:t>
      </w:r>
      <w:r w:rsidR="00410CD0" w:rsidRPr="001072BA">
        <w:rPr>
          <w:rFonts w:ascii="Calibri" w:hAnsi="Calibri"/>
        </w:rPr>
        <w:t xml:space="preserve"> and </w:t>
      </w:r>
      <w:r w:rsidR="00C524D8">
        <w:rPr>
          <w:rFonts w:ascii="Calibri" w:hAnsi="Calibri"/>
        </w:rPr>
        <w:t>SV</w:t>
      </w:r>
      <w:r w:rsidR="00410CD0" w:rsidRPr="001072BA">
        <w:rPr>
          <w:rFonts w:ascii="Calibri" w:hAnsi="Calibri"/>
        </w:rPr>
        <w:t xml:space="preserve"> communities and identify opportunities for integrating community resilience goals and activities into their development and ongoing activities</w:t>
      </w:r>
      <w:r w:rsidR="00A15278">
        <w:rPr>
          <w:rFonts w:ascii="Calibri" w:hAnsi="Calibri"/>
        </w:rPr>
        <w:t>,</w:t>
      </w:r>
      <w:r w:rsidR="00410CD0" w:rsidRPr="001072BA">
        <w:rPr>
          <w:rFonts w:ascii="Calibri" w:hAnsi="Calibri"/>
        </w:rPr>
        <w:t xml:space="preserve"> we </w:t>
      </w:r>
      <w:r w:rsidR="00A15278">
        <w:rPr>
          <w:rFonts w:ascii="Calibri" w:hAnsi="Calibri"/>
        </w:rPr>
        <w:t>will</w:t>
      </w:r>
      <w:r w:rsidR="00410CD0" w:rsidRPr="001072BA">
        <w:rPr>
          <w:rFonts w:ascii="Calibri" w:hAnsi="Calibri"/>
        </w:rPr>
        <w:t xml:space="preserve"> conduct qualitative interviews using interview guides</w:t>
      </w:r>
      <w:r w:rsidR="003C2F3C">
        <w:rPr>
          <w:rFonts w:ascii="Calibri" w:hAnsi="Calibri"/>
        </w:rPr>
        <w:t xml:space="preserve"> (</w:t>
      </w:r>
      <w:r w:rsidR="003C2F3C" w:rsidRPr="003C2F3C">
        <w:rPr>
          <w:rFonts w:ascii="Calibri" w:hAnsi="Calibri"/>
        </w:rPr>
        <w:t>Attachment D - Interview Guide</w:t>
      </w:r>
      <w:r w:rsidR="00410CD0" w:rsidRPr="001072BA">
        <w:rPr>
          <w:rFonts w:ascii="Calibri" w:hAnsi="Calibri"/>
        </w:rPr>
        <w:t xml:space="preserve"> for </w:t>
      </w:r>
      <w:r w:rsidR="003C2F3C">
        <w:rPr>
          <w:rFonts w:ascii="Calibri" w:hAnsi="Calibri"/>
        </w:rPr>
        <w:t xml:space="preserve">Age Friendly Initiative Staff &amp; </w:t>
      </w:r>
      <w:r w:rsidR="003C2F3C" w:rsidRPr="003C2F3C">
        <w:rPr>
          <w:rFonts w:ascii="Calibri" w:hAnsi="Calibri"/>
        </w:rPr>
        <w:t>Attachment E – Interview Guide</w:t>
      </w:r>
      <w:r w:rsidR="003C2F3C">
        <w:rPr>
          <w:rFonts w:ascii="Calibri" w:hAnsi="Calibri"/>
        </w:rPr>
        <w:t xml:space="preserve"> for Senior Village Directors).</w:t>
      </w:r>
      <w:r w:rsidR="00410CD0" w:rsidRPr="001072BA">
        <w:rPr>
          <w:rFonts w:ascii="Calibri" w:hAnsi="Calibri"/>
        </w:rPr>
        <w:t xml:space="preserve"> </w:t>
      </w:r>
      <w:r w:rsidR="00172769" w:rsidRPr="001072BA">
        <w:rPr>
          <w:rFonts w:ascii="Calibri" w:hAnsi="Calibri"/>
        </w:rPr>
        <w:t xml:space="preserve">These interview guides ask about the </w:t>
      </w:r>
      <w:r w:rsidR="00C524D8">
        <w:rPr>
          <w:rFonts w:ascii="Calibri" w:hAnsi="Calibri"/>
        </w:rPr>
        <w:t>AFI</w:t>
      </w:r>
      <w:r w:rsidR="00172769" w:rsidRPr="001072BA">
        <w:rPr>
          <w:rFonts w:ascii="Calibri" w:hAnsi="Calibri"/>
        </w:rPr>
        <w:t xml:space="preserve"> or </w:t>
      </w:r>
      <w:r w:rsidR="00C524D8">
        <w:rPr>
          <w:rFonts w:ascii="Calibri" w:hAnsi="Calibri"/>
        </w:rPr>
        <w:t>SVs</w:t>
      </w:r>
      <w:r w:rsidR="00172769" w:rsidRPr="001072BA">
        <w:rPr>
          <w:rFonts w:ascii="Calibri" w:hAnsi="Calibri"/>
        </w:rPr>
        <w:t xml:space="preserve"> structure, stage of implementation, linkage with public health departments, and whether (and what types) of </w:t>
      </w:r>
      <w:r w:rsidR="00020CDC">
        <w:rPr>
          <w:rFonts w:ascii="Calibri" w:hAnsi="Calibri"/>
        </w:rPr>
        <w:t>EP</w:t>
      </w:r>
      <w:r w:rsidR="00172769" w:rsidRPr="001072BA">
        <w:rPr>
          <w:rFonts w:ascii="Calibri" w:hAnsi="Calibri"/>
        </w:rPr>
        <w:t xml:space="preserve"> activities are provided to older adults in their community.</w:t>
      </w:r>
    </w:p>
    <w:p w14:paraId="354F589B" w14:textId="77777777" w:rsidR="006F344D" w:rsidRPr="001072BA" w:rsidRDefault="006F344D" w:rsidP="00927F0A">
      <w:pPr>
        <w:spacing w:after="240"/>
        <w:rPr>
          <w:rFonts w:ascii="Calibri" w:hAnsi="Calibri"/>
          <w:b/>
          <w:i/>
        </w:rPr>
      </w:pPr>
      <w:r w:rsidRPr="001072BA">
        <w:rPr>
          <w:rFonts w:ascii="Calibri" w:hAnsi="Calibri"/>
          <w:b/>
          <w:i/>
        </w:rPr>
        <w:t>Estimation procedure.</w:t>
      </w:r>
      <w:r w:rsidR="0037516E" w:rsidRPr="001072BA">
        <w:rPr>
          <w:rFonts w:ascii="Calibri" w:hAnsi="Calibri"/>
        </w:rPr>
        <w:t xml:space="preserve"> We will review interview notes and transcripts for examples that suggest processes, behaviors, and assumptions</w:t>
      </w:r>
      <w:r w:rsidR="0037516E" w:rsidRPr="001072BA">
        <w:rPr>
          <w:rStyle w:val="FootnoteReference"/>
          <w:rFonts w:ascii="Calibri" w:hAnsi="Calibri"/>
        </w:rPr>
        <w:footnoteReference w:id="2"/>
      </w:r>
      <w:r w:rsidR="0037516E" w:rsidRPr="001072BA">
        <w:rPr>
          <w:rStyle w:val="FootnoteReference"/>
          <w:rFonts w:ascii="Calibri" w:hAnsi="Calibri"/>
        </w:rPr>
        <w:footnoteReference w:id="3"/>
      </w:r>
      <w:r w:rsidR="0037516E" w:rsidRPr="001072BA">
        <w:rPr>
          <w:rFonts w:ascii="Calibri" w:hAnsi="Calibri"/>
          <w:vertAlign w:val="superscript"/>
        </w:rPr>
        <w:t xml:space="preserve"> </w:t>
      </w:r>
      <w:r w:rsidR="0037516E" w:rsidRPr="001072BA">
        <w:rPr>
          <w:rFonts w:ascii="Calibri" w:hAnsi="Calibri"/>
        </w:rPr>
        <w:t xml:space="preserve">and will look for repetition and </w:t>
      </w:r>
      <w:r w:rsidR="0037516E" w:rsidRPr="001072BA">
        <w:rPr>
          <w:rFonts w:ascii="Calibri" w:hAnsi="Calibri"/>
        </w:rPr>
        <w:lastRenderedPageBreak/>
        <w:t>variation across content that may indicate relevant themes.</w:t>
      </w:r>
      <w:r w:rsidR="0037516E" w:rsidRPr="001072BA">
        <w:rPr>
          <w:rFonts w:ascii="Calibri" w:hAnsi="Calibri"/>
          <w:vertAlign w:val="superscript"/>
        </w:rPr>
        <w:t xml:space="preserve"> </w:t>
      </w:r>
      <w:r w:rsidR="0037516E" w:rsidRPr="001072BA">
        <w:rPr>
          <w:rFonts w:ascii="Calibri" w:hAnsi="Calibri"/>
        </w:rPr>
        <w:t>After separately examining portions of the transcripts, two researchers will reach consensus about which themes to examine in detail and will then develop a codebook. To help identify all instances of a theme, 2 raters will read the material and code independently. We will analyze data using qualitative data management software (e.g, Atlas ti). Results generated from these interviews will be summarized into a set of findings and potential recommendations to aid LHDs in integrating CR goals/activities into AF</w:t>
      </w:r>
      <w:r w:rsidR="00A15278">
        <w:rPr>
          <w:rFonts w:ascii="Calibri" w:hAnsi="Calibri"/>
        </w:rPr>
        <w:t>I</w:t>
      </w:r>
      <w:r w:rsidR="0037516E" w:rsidRPr="001072BA">
        <w:rPr>
          <w:rFonts w:ascii="Calibri" w:hAnsi="Calibri"/>
        </w:rPr>
        <w:t xml:space="preserve"> and SV communities.</w:t>
      </w:r>
    </w:p>
    <w:p w14:paraId="400712D1" w14:textId="64FFE886" w:rsidR="006F344D" w:rsidRPr="001072BA" w:rsidRDefault="006F344D" w:rsidP="0063344E">
      <w:pPr>
        <w:spacing w:after="240"/>
        <w:rPr>
          <w:rStyle w:val="Strong"/>
          <w:rFonts w:ascii="Calibri" w:hAnsi="Calibri"/>
          <w:b w:val="0"/>
        </w:rPr>
      </w:pPr>
      <w:r w:rsidRPr="001072BA">
        <w:rPr>
          <w:rStyle w:val="Strong"/>
          <w:rFonts w:ascii="Calibri" w:hAnsi="Calibri"/>
          <w:i/>
        </w:rPr>
        <w:t xml:space="preserve">Degree of accuracy needed for the purpose described in the justification. </w:t>
      </w:r>
      <w:r w:rsidRPr="001072BA">
        <w:rPr>
          <w:rStyle w:val="Strong"/>
          <w:rFonts w:ascii="Calibri" w:hAnsi="Calibri"/>
          <w:b w:val="0"/>
        </w:rPr>
        <w:t xml:space="preserve"> In qualitative research, saturation of information is emphasized over size or representativeness of the sample.  We chose the sample sizes to ensure accuracy of information we will receive within any of the three respondent types. </w:t>
      </w:r>
      <w:r w:rsidR="003779C9" w:rsidRPr="001072BA">
        <w:rPr>
          <w:rStyle w:val="Strong"/>
          <w:rFonts w:ascii="Calibri" w:hAnsi="Calibri"/>
          <w:b w:val="0"/>
        </w:rPr>
        <w:t xml:space="preserve">There are currently 31 Age Friendly Cities/Counties and 180 active </w:t>
      </w:r>
      <w:r w:rsidR="00C524D8">
        <w:rPr>
          <w:rStyle w:val="Strong"/>
          <w:rFonts w:ascii="Calibri" w:hAnsi="Calibri"/>
          <w:b w:val="0"/>
        </w:rPr>
        <w:t>SVs</w:t>
      </w:r>
      <w:r w:rsidR="003779C9" w:rsidRPr="001072BA">
        <w:rPr>
          <w:rStyle w:val="Strong"/>
          <w:rFonts w:ascii="Calibri" w:hAnsi="Calibri"/>
          <w:b w:val="0"/>
        </w:rPr>
        <w:t xml:space="preserve">.  </w:t>
      </w:r>
      <w:r w:rsidR="0063344E">
        <w:rPr>
          <w:rStyle w:val="Strong"/>
          <w:rFonts w:ascii="Calibri" w:hAnsi="Calibri"/>
          <w:b w:val="0"/>
        </w:rPr>
        <w:t xml:space="preserve">We will be talking with all Age Friendly Cities/Counties and 15% of </w:t>
      </w:r>
      <w:r w:rsidR="00020CDC">
        <w:rPr>
          <w:rStyle w:val="Strong"/>
          <w:rFonts w:ascii="Calibri" w:hAnsi="Calibri"/>
          <w:b w:val="0"/>
        </w:rPr>
        <w:t>SVs</w:t>
      </w:r>
      <w:r w:rsidR="0063344E">
        <w:rPr>
          <w:rStyle w:val="Strong"/>
          <w:rFonts w:ascii="Calibri" w:hAnsi="Calibri"/>
          <w:b w:val="0"/>
        </w:rPr>
        <w:t xml:space="preserve">. </w:t>
      </w:r>
      <w:r w:rsidR="003779C9">
        <w:rPr>
          <w:rStyle w:val="Strong"/>
          <w:rFonts w:ascii="Calibri" w:hAnsi="Calibri"/>
          <w:b w:val="0"/>
        </w:rPr>
        <w:t xml:space="preserve"> Based on our prior experience, this should be representative enough to achieve saturation of information. </w:t>
      </w:r>
    </w:p>
    <w:p w14:paraId="7429F4FA" w14:textId="77777777" w:rsidR="00927F0A" w:rsidRPr="001072BA" w:rsidRDefault="00EB1D2D" w:rsidP="00927F0A">
      <w:pPr>
        <w:spacing w:after="240"/>
        <w:rPr>
          <w:rFonts w:ascii="Calibri" w:hAnsi="Calibri"/>
          <w:b/>
          <w:i/>
          <w:u w:val="single"/>
        </w:rPr>
      </w:pPr>
      <w:r w:rsidRPr="001072BA">
        <w:rPr>
          <w:rFonts w:ascii="Calibri" w:hAnsi="Calibri"/>
          <w:i/>
        </w:rPr>
        <w:br/>
      </w:r>
      <w:r w:rsidR="00633D67" w:rsidRPr="001072BA">
        <w:rPr>
          <w:rFonts w:ascii="Calibri" w:hAnsi="Calibri"/>
          <w:b/>
          <w:i/>
          <w:u w:val="single"/>
        </w:rPr>
        <w:t>2.B.</w:t>
      </w:r>
      <w:r w:rsidR="00927F0A" w:rsidRPr="001072BA">
        <w:rPr>
          <w:rFonts w:ascii="Calibri" w:hAnsi="Calibri"/>
          <w:b/>
          <w:i/>
          <w:u w:val="single"/>
        </w:rPr>
        <w:t>Surveys of Older Adults</w:t>
      </w:r>
    </w:p>
    <w:p w14:paraId="08A80A64" w14:textId="1FDE0C4A" w:rsidR="00EB1D2D" w:rsidRPr="001072BA" w:rsidRDefault="00EB1D2D" w:rsidP="006F00D7">
      <w:pPr>
        <w:widowControl w:val="0"/>
        <w:autoSpaceDE w:val="0"/>
        <w:autoSpaceDN w:val="0"/>
        <w:adjustRightInd w:val="0"/>
        <w:rPr>
          <w:rFonts w:ascii="Calibri" w:hAnsi="Calibri"/>
        </w:rPr>
      </w:pPr>
      <w:r w:rsidRPr="001072BA">
        <w:rPr>
          <w:rFonts w:ascii="Calibri" w:hAnsi="Calibri"/>
          <w:b/>
          <w:i/>
        </w:rPr>
        <w:t xml:space="preserve">Procedures for the collection of information.  </w:t>
      </w:r>
      <w:r w:rsidR="0085683E" w:rsidRPr="001072BA">
        <w:rPr>
          <w:rFonts w:ascii="Calibri" w:hAnsi="Calibri"/>
        </w:rPr>
        <w:t>We will conduct a random digit dial (RDD) survey of 1,5</w:t>
      </w:r>
      <w:r w:rsidR="00CA1121" w:rsidRPr="001072BA">
        <w:rPr>
          <w:rFonts w:ascii="Calibri" w:hAnsi="Calibri"/>
        </w:rPr>
        <w:t>5</w:t>
      </w:r>
      <w:r w:rsidR="0085683E" w:rsidRPr="001072BA">
        <w:rPr>
          <w:rFonts w:ascii="Calibri" w:hAnsi="Calibri"/>
        </w:rPr>
        <w:t xml:space="preserve">0 older adults to evaluate the effects of living in a </w:t>
      </w:r>
      <w:r w:rsidR="00020CDC">
        <w:rPr>
          <w:rFonts w:ascii="Calibri" w:hAnsi="Calibri"/>
        </w:rPr>
        <w:t>SV</w:t>
      </w:r>
      <w:r w:rsidR="0085683E" w:rsidRPr="001072BA">
        <w:rPr>
          <w:rFonts w:ascii="Calibri" w:hAnsi="Calibri"/>
        </w:rPr>
        <w:t xml:space="preserve"> (being village member) versus not living in a </w:t>
      </w:r>
      <w:r w:rsidR="00020CDC">
        <w:rPr>
          <w:rFonts w:ascii="Calibri" w:hAnsi="Calibri"/>
        </w:rPr>
        <w:t>SV</w:t>
      </w:r>
      <w:r w:rsidR="0085683E" w:rsidRPr="001072BA">
        <w:rPr>
          <w:rFonts w:ascii="Calibri" w:hAnsi="Calibri"/>
        </w:rPr>
        <w:t xml:space="preserve">, and the effects of living in a </w:t>
      </w:r>
      <w:r w:rsidR="00020CDC">
        <w:rPr>
          <w:rFonts w:ascii="Calibri" w:hAnsi="Calibri"/>
        </w:rPr>
        <w:t>SV</w:t>
      </w:r>
      <w:r w:rsidR="0085683E" w:rsidRPr="001072BA">
        <w:rPr>
          <w:rFonts w:ascii="Calibri" w:hAnsi="Calibri"/>
        </w:rPr>
        <w:t xml:space="preserve"> with </w:t>
      </w:r>
      <w:r w:rsidR="00020CDC">
        <w:rPr>
          <w:rFonts w:ascii="Calibri" w:hAnsi="Calibri"/>
        </w:rPr>
        <w:t>EP</w:t>
      </w:r>
      <w:r w:rsidR="0085683E" w:rsidRPr="001072BA">
        <w:rPr>
          <w:rFonts w:ascii="Calibri" w:hAnsi="Calibri"/>
        </w:rPr>
        <w:t xml:space="preserve"> activities versus living in a </w:t>
      </w:r>
      <w:r w:rsidR="00C524D8">
        <w:rPr>
          <w:rFonts w:ascii="Calibri" w:hAnsi="Calibri"/>
        </w:rPr>
        <w:t>SV</w:t>
      </w:r>
      <w:r w:rsidR="0085683E" w:rsidRPr="001072BA">
        <w:rPr>
          <w:rFonts w:ascii="Calibri" w:hAnsi="Calibri"/>
        </w:rPr>
        <w:t xml:space="preserve"> without </w:t>
      </w:r>
      <w:r w:rsidR="00C524D8">
        <w:rPr>
          <w:rFonts w:ascii="Calibri" w:hAnsi="Calibri"/>
        </w:rPr>
        <w:t>EP</w:t>
      </w:r>
      <w:r w:rsidR="0085683E" w:rsidRPr="001072BA">
        <w:rPr>
          <w:rFonts w:ascii="Calibri" w:hAnsi="Calibri"/>
        </w:rPr>
        <w:t xml:space="preserve"> activities. The outcomes </w:t>
      </w:r>
      <w:r w:rsidR="007458ED" w:rsidRPr="001072BA">
        <w:rPr>
          <w:rFonts w:ascii="Calibri" w:hAnsi="Calibri"/>
        </w:rPr>
        <w:t xml:space="preserve">and control variables we will measure in the survey of older adults are: disaster resilience, social connectedness, self-sufficiency, emotional resilience, attention to health needs, exposure to </w:t>
      </w:r>
      <w:r w:rsidR="00C524D8">
        <w:rPr>
          <w:rFonts w:ascii="Calibri" w:hAnsi="Calibri"/>
        </w:rPr>
        <w:t>AFIs</w:t>
      </w:r>
      <w:r w:rsidR="007458ED" w:rsidRPr="001072BA">
        <w:rPr>
          <w:rFonts w:ascii="Calibri" w:hAnsi="Calibri"/>
        </w:rPr>
        <w:t>, age, gender, race/ethnicity, length of time living in community, current living situation, income, and presen</w:t>
      </w:r>
      <w:r w:rsidR="003779C9">
        <w:rPr>
          <w:rFonts w:ascii="Calibri" w:hAnsi="Calibri"/>
        </w:rPr>
        <w:t>ce of chronic health conditions.</w:t>
      </w:r>
      <w:r w:rsidR="007458ED" w:rsidRPr="001072BA">
        <w:rPr>
          <w:rFonts w:ascii="Calibri" w:hAnsi="Calibri"/>
        </w:rPr>
        <w:t xml:space="preserve"> To improve response rates we will offer a $20 incentive to participants.</w:t>
      </w:r>
    </w:p>
    <w:p w14:paraId="76DC33B2" w14:textId="4DB26ED3" w:rsidR="00157F93" w:rsidRPr="00DC6FA8" w:rsidRDefault="002837E3" w:rsidP="00157F93">
      <w:pPr>
        <w:spacing w:after="240"/>
        <w:rPr>
          <w:rFonts w:ascii="Calibri" w:hAnsi="Calibri"/>
          <w:iCs/>
        </w:rPr>
      </w:pPr>
      <w:r w:rsidRPr="001072BA">
        <w:rPr>
          <w:rFonts w:ascii="Calibri" w:hAnsi="Calibri"/>
          <w:i/>
        </w:rPr>
        <w:br/>
      </w:r>
      <w:r w:rsidRPr="001072BA">
        <w:rPr>
          <w:rFonts w:ascii="Calibri" w:hAnsi="Calibri"/>
          <w:b/>
          <w:i/>
        </w:rPr>
        <w:t>Estimation procedure</w:t>
      </w:r>
      <w:r w:rsidR="001F2974" w:rsidRPr="001072BA">
        <w:rPr>
          <w:rFonts w:ascii="Calibri" w:hAnsi="Calibri"/>
          <w:b/>
          <w:i/>
        </w:rPr>
        <w:t xml:space="preserve">. </w:t>
      </w:r>
      <w:r w:rsidR="001F2974" w:rsidRPr="001072BA">
        <w:rPr>
          <w:rFonts w:ascii="Calibri" w:hAnsi="Calibri"/>
          <w:iCs/>
        </w:rPr>
        <w:t xml:space="preserve">We anticipate using survey weighted regression techniques to estimate the difference in outcomes between </w:t>
      </w:r>
      <w:r w:rsidR="007458ED" w:rsidRPr="001072BA">
        <w:rPr>
          <w:rFonts w:ascii="Calibri" w:hAnsi="Calibri"/>
          <w:iCs/>
        </w:rPr>
        <w:t xml:space="preserve">older adults that are </w:t>
      </w:r>
      <w:r w:rsidR="001F2974" w:rsidRPr="001072BA">
        <w:rPr>
          <w:rFonts w:ascii="Calibri" w:hAnsi="Calibri"/>
          <w:iCs/>
        </w:rPr>
        <w:t xml:space="preserve">members of </w:t>
      </w:r>
      <w:r w:rsidR="00C524D8">
        <w:rPr>
          <w:rFonts w:ascii="Calibri" w:hAnsi="Calibri"/>
          <w:iCs/>
        </w:rPr>
        <w:t>SVs</w:t>
      </w:r>
      <w:r w:rsidR="001F2974" w:rsidRPr="001072BA">
        <w:rPr>
          <w:rFonts w:ascii="Calibri" w:hAnsi="Calibri"/>
          <w:iCs/>
        </w:rPr>
        <w:t xml:space="preserve"> (with and without EP in place)</w:t>
      </w:r>
      <w:r w:rsidR="007458ED" w:rsidRPr="001072BA">
        <w:rPr>
          <w:rFonts w:ascii="Calibri" w:hAnsi="Calibri"/>
          <w:iCs/>
        </w:rPr>
        <w:t xml:space="preserve"> and older adults in </w:t>
      </w:r>
      <w:r w:rsidR="00E3112F">
        <w:rPr>
          <w:rFonts w:ascii="Calibri" w:hAnsi="Calibri"/>
          <w:iCs/>
        </w:rPr>
        <w:t>matched</w:t>
      </w:r>
      <w:r w:rsidR="007458ED" w:rsidRPr="001072BA">
        <w:rPr>
          <w:rFonts w:ascii="Calibri" w:hAnsi="Calibri"/>
          <w:iCs/>
        </w:rPr>
        <w:t xml:space="preserve"> control communities</w:t>
      </w:r>
      <w:r w:rsidR="001F2974" w:rsidRPr="001072BA">
        <w:rPr>
          <w:rFonts w:ascii="Calibri" w:hAnsi="Calibri"/>
          <w:iCs/>
        </w:rPr>
        <w:t>, which will incorporate both the survey weights and correct standard errors for clustering.  We will use a double robust</w:t>
      </w:r>
      <w:r w:rsidR="001F2974" w:rsidRPr="001072BA">
        <w:rPr>
          <w:rFonts w:ascii="Calibri" w:hAnsi="Calibri"/>
          <w:iCs/>
        </w:rPr>
        <w:fldChar w:fldCharType="begin">
          <w:fldData xml:space="preserve">PEVuZE5vdGU+PENpdGU+PEF1dGhvcj5TY2hhZmVyPC9BdXRob3I+PFllYXI+MjAwODwvWWVhcj48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==
</w:fldData>
        </w:fldChar>
      </w:r>
      <w:r w:rsidR="001F2974" w:rsidRPr="001072BA">
        <w:rPr>
          <w:rFonts w:ascii="Calibri" w:hAnsi="Calibri"/>
          <w:iCs/>
        </w:rPr>
        <w:instrText xml:space="preserve"> ADDIN EN.CITE </w:instrText>
      </w:r>
      <w:r w:rsidR="001F2974" w:rsidRPr="001072BA">
        <w:rPr>
          <w:rFonts w:ascii="Calibri" w:hAnsi="Calibri"/>
          <w:iCs/>
        </w:rPr>
        <w:fldChar w:fldCharType="begin">
          <w:fldData xml:space="preserve">PEVuZE5vdGU+PENpdGU+PEF1dGhvcj5TY2hhZmVyPC9BdXRob3I+PFllYXI+MjAwODwvWWVhcj48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==
</w:fldData>
        </w:fldChar>
      </w:r>
      <w:r w:rsidR="001F2974" w:rsidRPr="001072BA">
        <w:rPr>
          <w:rFonts w:ascii="Calibri" w:hAnsi="Calibri"/>
          <w:iCs/>
        </w:rPr>
        <w:instrText xml:space="preserve"> ADDIN EN.CITE.DATA </w:instrText>
      </w:r>
      <w:r w:rsidR="001F2974" w:rsidRPr="001072BA">
        <w:rPr>
          <w:rFonts w:ascii="Calibri" w:hAnsi="Calibri"/>
          <w:iCs/>
        </w:rPr>
      </w:r>
      <w:r w:rsidR="001F2974" w:rsidRPr="001072BA">
        <w:rPr>
          <w:rFonts w:ascii="Calibri" w:hAnsi="Calibri"/>
          <w:iCs/>
        </w:rPr>
        <w:fldChar w:fldCharType="end"/>
      </w:r>
      <w:r w:rsidR="001F2974" w:rsidRPr="001072BA">
        <w:rPr>
          <w:rFonts w:ascii="Calibri" w:hAnsi="Calibri"/>
          <w:iCs/>
        </w:rPr>
      </w:r>
      <w:r w:rsidR="001F2974" w:rsidRPr="001072BA">
        <w:rPr>
          <w:rFonts w:ascii="Calibri" w:hAnsi="Calibri"/>
          <w:iCs/>
        </w:rPr>
        <w:fldChar w:fldCharType="separate"/>
      </w:r>
      <w:hyperlink w:anchor="_ENREF_3" w:tooltip="Schafer, 2008 #2569" w:history="1">
        <w:r w:rsidR="001F2974" w:rsidRPr="001072BA">
          <w:rPr>
            <w:rFonts w:ascii="Calibri" w:hAnsi="Calibri"/>
            <w:iCs/>
            <w:noProof/>
            <w:vertAlign w:val="superscript"/>
          </w:rPr>
          <w:t>3</w:t>
        </w:r>
      </w:hyperlink>
      <w:r w:rsidR="001F2974" w:rsidRPr="001072BA">
        <w:rPr>
          <w:rFonts w:ascii="Calibri" w:hAnsi="Calibri"/>
          <w:iCs/>
          <w:noProof/>
          <w:vertAlign w:val="superscript"/>
        </w:rPr>
        <w:t>,</w:t>
      </w:r>
      <w:hyperlink w:anchor="_ENREF_4" w:tooltip="Neugebauer, 2005 #2758" w:history="1">
        <w:r w:rsidR="001F2974" w:rsidRPr="001072BA">
          <w:rPr>
            <w:rFonts w:ascii="Calibri" w:hAnsi="Calibri"/>
            <w:iCs/>
            <w:noProof/>
            <w:vertAlign w:val="superscript"/>
          </w:rPr>
          <w:t>4</w:t>
        </w:r>
      </w:hyperlink>
      <w:r w:rsidR="001F2974" w:rsidRPr="001072BA">
        <w:rPr>
          <w:rFonts w:ascii="Calibri" w:hAnsi="Calibri"/>
          <w:iCs/>
        </w:rPr>
        <w:fldChar w:fldCharType="end"/>
      </w:r>
      <w:r w:rsidR="001F2974" w:rsidRPr="001072BA">
        <w:rPr>
          <w:rFonts w:ascii="Calibri" w:hAnsi="Calibri"/>
          <w:iCs/>
        </w:rPr>
        <w:t xml:space="preserve"> approach in which any covariates</w:t>
      </w:r>
      <w:r w:rsidR="003779C9">
        <w:rPr>
          <w:rFonts w:ascii="Calibri" w:hAnsi="Calibri"/>
          <w:iCs/>
        </w:rPr>
        <w:t>,</w:t>
      </w:r>
      <w:r w:rsidR="001F2974" w:rsidRPr="001072BA">
        <w:rPr>
          <w:rFonts w:ascii="Calibri" w:hAnsi="Calibri"/>
          <w:iCs/>
        </w:rPr>
        <w:t xml:space="preserve"> which were failed to be fully balanced by the propensity model</w:t>
      </w:r>
      <w:r w:rsidR="003779C9">
        <w:rPr>
          <w:rFonts w:ascii="Calibri" w:hAnsi="Calibri"/>
          <w:iCs/>
        </w:rPr>
        <w:t>,</w:t>
      </w:r>
      <w:r w:rsidR="001F2974" w:rsidRPr="001072BA">
        <w:rPr>
          <w:rFonts w:ascii="Calibri" w:hAnsi="Calibri"/>
          <w:iCs/>
        </w:rPr>
        <w:t xml:space="preserve"> will be incorporated into the regression model. A</w:t>
      </w:r>
      <w:r w:rsidR="00157F93" w:rsidRPr="001072BA">
        <w:rPr>
          <w:rFonts w:ascii="Calibri" w:hAnsi="Calibri"/>
          <w:iCs/>
        </w:rPr>
        <w:t>ll estimates will use the propensity weights derived from the boosted regression procedure (described above). In addition, standard errors will be corrected for clustering within communities using a sandwich estimator approach</w:t>
      </w:r>
      <w:r w:rsidR="005A3D4D" w:rsidRPr="001072BA">
        <w:rPr>
          <w:rFonts w:ascii="Calibri" w:hAnsi="Calibri"/>
          <w:iCs/>
        </w:rPr>
        <w:t xml:space="preserve">.  Estimates will adjust for respondent demographic, social, clinical, and behavioral characteristics obtained via survey. </w:t>
      </w:r>
    </w:p>
    <w:p w14:paraId="6A0A084D" w14:textId="451B767E" w:rsidR="006F00D7" w:rsidRPr="001072BA" w:rsidRDefault="002837E3" w:rsidP="00187366">
      <w:pPr>
        <w:spacing w:after="240"/>
        <w:rPr>
          <w:rStyle w:val="Strong"/>
          <w:rFonts w:ascii="Calibri" w:hAnsi="Calibri"/>
          <w:b w:val="0"/>
          <w:bCs w:val="0"/>
          <w:iCs/>
        </w:rPr>
      </w:pPr>
      <w:r w:rsidRPr="001072BA">
        <w:rPr>
          <w:rFonts w:ascii="Calibri" w:hAnsi="Calibri"/>
          <w:i/>
        </w:rPr>
        <w:br/>
      </w:r>
    </w:p>
    <w:p w14:paraId="2B09B036" w14:textId="77777777" w:rsidR="005453AD" w:rsidRPr="001072BA" w:rsidRDefault="005453AD" w:rsidP="005453AD">
      <w:pPr>
        <w:rPr>
          <w:rFonts w:ascii="Calibri" w:hAnsi="Calibri"/>
        </w:rPr>
      </w:pPr>
    </w:p>
    <w:p w14:paraId="2DB9E401" w14:textId="77777777" w:rsidR="005453AD" w:rsidRDefault="005453AD" w:rsidP="005453AD">
      <w:pPr>
        <w:pStyle w:val="Heading2"/>
        <w:spacing w:before="0" w:after="0"/>
        <w:rPr>
          <w:rFonts w:ascii="Calibri" w:hAnsi="Calibri"/>
          <w:sz w:val="24"/>
        </w:rPr>
      </w:pPr>
      <w:bookmarkStart w:id="7" w:name="_Toc151782201"/>
      <w:bookmarkStart w:id="8" w:name="_Toc158526237"/>
      <w:r w:rsidRPr="001072BA">
        <w:rPr>
          <w:rFonts w:ascii="Calibri" w:hAnsi="Calibri"/>
          <w:sz w:val="24"/>
        </w:rPr>
        <w:lastRenderedPageBreak/>
        <w:t>3. Methods to Maximize Response Rates</w:t>
      </w:r>
      <w:bookmarkEnd w:id="7"/>
      <w:bookmarkEnd w:id="8"/>
      <w:r w:rsidR="00494438" w:rsidRPr="001072BA">
        <w:rPr>
          <w:rFonts w:ascii="Calibri" w:hAnsi="Calibri"/>
          <w:sz w:val="24"/>
        </w:rPr>
        <w:t xml:space="preserve"> and Deal with Nonresponse</w:t>
      </w:r>
    </w:p>
    <w:p w14:paraId="4F6CD2C7" w14:textId="77777777" w:rsidR="00DC6FA8" w:rsidRPr="00DC6FA8" w:rsidRDefault="00DC6FA8" w:rsidP="00DC6FA8"/>
    <w:p w14:paraId="1CDF0306" w14:textId="77777777" w:rsidR="00927F0A" w:rsidRPr="001072BA" w:rsidRDefault="002E335C" w:rsidP="00927F0A">
      <w:pPr>
        <w:spacing w:after="240"/>
        <w:rPr>
          <w:rFonts w:ascii="Calibri" w:hAnsi="Calibri"/>
          <w:b/>
          <w:i/>
          <w:u w:val="single"/>
        </w:rPr>
      </w:pPr>
      <w:r w:rsidRPr="001072BA">
        <w:rPr>
          <w:rFonts w:ascii="Calibri" w:hAnsi="Calibri"/>
          <w:b/>
          <w:i/>
          <w:u w:val="single"/>
        </w:rPr>
        <w:t xml:space="preserve">3.A. </w:t>
      </w:r>
      <w:r w:rsidR="00927F0A" w:rsidRPr="001072BA">
        <w:rPr>
          <w:rFonts w:ascii="Calibri" w:hAnsi="Calibri"/>
          <w:b/>
          <w:i/>
          <w:u w:val="single"/>
        </w:rPr>
        <w:t>Interviews with Key Informants</w:t>
      </w:r>
    </w:p>
    <w:p w14:paraId="3283B1C8" w14:textId="7D2D85B0" w:rsidR="002E335C" w:rsidRPr="006238E0" w:rsidRDefault="002E335C" w:rsidP="00F34C93">
      <w:pPr>
        <w:spacing w:after="240"/>
        <w:rPr>
          <w:rFonts w:ascii="Calibri" w:hAnsi="Calibri"/>
          <w:iCs/>
        </w:rPr>
      </w:pPr>
      <w:r w:rsidRPr="001072BA">
        <w:rPr>
          <w:rFonts w:ascii="Calibri" w:hAnsi="Calibri"/>
          <w:iCs/>
        </w:rPr>
        <w:t xml:space="preserve">We have already reached out to the Village-to-Village Network and our research team includes AARP staff who are responsible for overseeing the implementation of Age Friendly Cities/Communities.  Thus, through these two high-level organizations, we expect no problems with identification and recruitment of key informants.  </w:t>
      </w:r>
      <w:r w:rsidR="000418E7" w:rsidRPr="006238E0">
        <w:rPr>
          <w:rFonts w:ascii="Calibri" w:hAnsi="Calibri"/>
          <w:iCs/>
        </w:rPr>
        <w:t>Our qualitative data collection efforts through key informant interviews are not meant to be representative of all AFI and SV staff, rather, we are striving for saturation of themes that arise across all informants.  Thus, we do not expect any problems with non-response bias as we are not making inferences from key informants’ responses on any outcomes.</w:t>
      </w:r>
    </w:p>
    <w:p w14:paraId="01480CC4" w14:textId="77777777" w:rsidR="002E335C" w:rsidRPr="006238E0" w:rsidRDefault="002E335C" w:rsidP="00F34C93">
      <w:pPr>
        <w:spacing w:after="240"/>
        <w:rPr>
          <w:rFonts w:ascii="Calibri" w:hAnsi="Calibri"/>
          <w:b/>
          <w:i/>
          <w:u w:val="single"/>
        </w:rPr>
      </w:pPr>
      <w:r w:rsidRPr="006238E0">
        <w:rPr>
          <w:rFonts w:ascii="Calibri" w:hAnsi="Calibri"/>
          <w:b/>
          <w:i/>
          <w:u w:val="single"/>
        </w:rPr>
        <w:t>3.B. Surveys of Older Adults</w:t>
      </w:r>
    </w:p>
    <w:p w14:paraId="384BD536" w14:textId="77777777" w:rsidR="001737DC" w:rsidRPr="006238E0" w:rsidRDefault="002D75B5" w:rsidP="002D75B5">
      <w:pPr>
        <w:spacing w:after="240"/>
        <w:rPr>
          <w:rFonts w:ascii="Calibri" w:hAnsi="Calibri"/>
        </w:rPr>
      </w:pPr>
      <w:r w:rsidRPr="006238E0">
        <w:rPr>
          <w:rFonts w:ascii="Calibri" w:hAnsi="Calibri"/>
        </w:rPr>
        <w:t>The older adult respondents will be drawn from three types of communities selected in the first sampling stage</w:t>
      </w:r>
      <w:r w:rsidR="001737DC" w:rsidRPr="006238E0">
        <w:rPr>
          <w:rFonts w:ascii="Calibri" w:hAnsi="Calibri"/>
        </w:rPr>
        <w:t>, based on whether the community is a SV and whether there are EP activities taking place (</w:t>
      </w:r>
      <w:r w:rsidRPr="006238E0">
        <w:rPr>
          <w:rFonts w:ascii="Calibri" w:hAnsi="Calibri"/>
        </w:rPr>
        <w:t>described above in “Sampling Plan”</w:t>
      </w:r>
      <w:r w:rsidR="001737DC" w:rsidRPr="006238E0">
        <w:rPr>
          <w:rFonts w:ascii="Calibri" w:hAnsi="Calibri"/>
        </w:rPr>
        <w:t>).</w:t>
      </w:r>
      <w:r w:rsidRPr="006238E0">
        <w:rPr>
          <w:rFonts w:ascii="Calibri" w:hAnsi="Calibri"/>
        </w:rPr>
        <w:t xml:space="preserve">  The largest source of non-response bias will likely arise from the second stage of sampling in which individuals are selected within each of these communities</w:t>
      </w:r>
      <w:r w:rsidR="001737DC" w:rsidRPr="006238E0">
        <w:rPr>
          <w:rFonts w:ascii="Calibri" w:hAnsi="Calibri"/>
        </w:rPr>
        <w:t xml:space="preserve">. </w:t>
      </w:r>
    </w:p>
    <w:p w14:paraId="5854818F" w14:textId="77777777" w:rsidR="003511E4" w:rsidRPr="006238E0" w:rsidRDefault="001737DC" w:rsidP="002D75B5">
      <w:pPr>
        <w:spacing w:after="240"/>
        <w:rPr>
          <w:rFonts w:ascii="Calibri" w:hAnsi="Calibri"/>
        </w:rPr>
      </w:pPr>
      <w:r w:rsidRPr="006238E0">
        <w:rPr>
          <w:rFonts w:ascii="Calibri" w:hAnsi="Calibri"/>
        </w:rPr>
        <w:t xml:space="preserve">For the two SV communities (condition 1 and 2), respondents will be </w:t>
      </w:r>
      <w:r w:rsidR="003511E4" w:rsidRPr="006238E0">
        <w:rPr>
          <w:rFonts w:ascii="Calibri" w:hAnsi="Calibri"/>
        </w:rPr>
        <w:t xml:space="preserve">recruited via SV executive directors.   For SVs that have data on their members’ characteristics (e.g., age, sex, race/ethnicity, marital status, presence of a disability), we will compare our respondents’ distribution of characteristics to the data from SVs.  For SVs that do not have data on their members’ characteristics, we will use Census/ACS data on the census tract’s characteristics as proxy data with which to compare our respondents’ characteristics.  The census tract will be chosen based on geocoding of the SV to its census tract ID(s) (SVs are approximately the size of census tracts, a cluster of census blocks within a census tract, or located within a cluster of census tracts).  In both of these cases, we can use inverse probability weighting to weight the respondents on any differences in characteristics to reduce non-response bias in our data analyses. </w:t>
      </w:r>
    </w:p>
    <w:p w14:paraId="523E8D47" w14:textId="3622BF2C" w:rsidR="003511E4" w:rsidRDefault="003511E4" w:rsidP="00D33F5F">
      <w:pPr>
        <w:spacing w:after="240"/>
        <w:rPr>
          <w:rFonts w:ascii="Calibri" w:hAnsi="Calibri"/>
        </w:rPr>
      </w:pPr>
      <w:r w:rsidRPr="006238E0">
        <w:rPr>
          <w:rFonts w:ascii="Calibri" w:hAnsi="Calibri"/>
        </w:rPr>
        <w:t>For the control community (condition 3), respondents will be recruited via RDD.</w:t>
      </w:r>
      <w:r w:rsidR="00D33F5F" w:rsidRPr="006238E0">
        <w:rPr>
          <w:rFonts w:ascii="Calibri" w:hAnsi="Calibri"/>
        </w:rPr>
        <w:t xml:space="preserve"> The contractor selected to conduct the RDD will attempt to ask non-respondents for basic demographic data.  These data will be used to determine whether respondents are</w:t>
      </w:r>
      <w:r w:rsidRPr="006238E0">
        <w:rPr>
          <w:rFonts w:ascii="Calibri" w:hAnsi="Calibri"/>
        </w:rPr>
        <w:t xml:space="preserve"> </w:t>
      </w:r>
      <w:r w:rsidR="00D33F5F" w:rsidRPr="006238E0">
        <w:rPr>
          <w:rFonts w:ascii="Calibri" w:hAnsi="Calibri"/>
        </w:rPr>
        <w:t>statistically significantly different from non-respondents.  In lieu of these data, we will compare respondent characteristics (e.g., age, sex, race/ethnicity, marital status, presence of a disability) to census tract-level data on targeted community to determine whether respondents’ characteristics are statistically significantly different from those of residents of the same census tract. If differences exist, we can report on those differences or apply inverse probability weighting to weight the respondents on any differences in characteristics to reduce non-response bias in our data analyses.</w:t>
      </w:r>
    </w:p>
    <w:p w14:paraId="60B3A1EC" w14:textId="77777777" w:rsidR="005453AD" w:rsidRPr="001072BA" w:rsidRDefault="005453AD" w:rsidP="005453AD">
      <w:pPr>
        <w:pStyle w:val="Heading2"/>
        <w:spacing w:before="0" w:after="0"/>
        <w:rPr>
          <w:rFonts w:ascii="Calibri" w:hAnsi="Calibri"/>
          <w:sz w:val="24"/>
        </w:rPr>
      </w:pPr>
      <w:bookmarkStart w:id="9" w:name="_Toc151782202"/>
      <w:bookmarkStart w:id="10" w:name="_Toc158526238"/>
      <w:r w:rsidRPr="001072BA">
        <w:rPr>
          <w:rFonts w:ascii="Calibri" w:hAnsi="Calibri"/>
          <w:sz w:val="24"/>
        </w:rPr>
        <w:lastRenderedPageBreak/>
        <w:t>4. Tests of Procedures</w:t>
      </w:r>
      <w:bookmarkStart w:id="11" w:name="_Toc151782203"/>
      <w:bookmarkStart w:id="12" w:name="_Toc158526239"/>
      <w:bookmarkEnd w:id="9"/>
      <w:bookmarkEnd w:id="10"/>
      <w:r w:rsidR="00494438" w:rsidRPr="001072BA">
        <w:rPr>
          <w:rFonts w:ascii="Calibri" w:hAnsi="Calibri"/>
          <w:sz w:val="24"/>
        </w:rPr>
        <w:t xml:space="preserve"> or Methods to be Undertaken</w:t>
      </w:r>
    </w:p>
    <w:p w14:paraId="6657C9DA" w14:textId="77777777" w:rsidR="00DC6FA8" w:rsidRDefault="00DC6FA8" w:rsidP="00CF3EB8">
      <w:pPr>
        <w:spacing w:after="240"/>
        <w:rPr>
          <w:rFonts w:ascii="Calibri" w:hAnsi="Calibri"/>
          <w:i/>
        </w:rPr>
      </w:pPr>
    </w:p>
    <w:p w14:paraId="50E79858" w14:textId="77777777" w:rsidR="0020799A" w:rsidRPr="001072BA" w:rsidRDefault="00CF3EB8" w:rsidP="00CF3EB8">
      <w:pPr>
        <w:spacing w:after="240"/>
        <w:rPr>
          <w:rFonts w:ascii="Calibri" w:hAnsi="Calibri"/>
          <w:b/>
          <w:u w:val="single"/>
        </w:rPr>
      </w:pPr>
      <w:r w:rsidRPr="001072BA">
        <w:rPr>
          <w:rFonts w:ascii="Calibri" w:hAnsi="Calibri"/>
          <w:b/>
          <w:i/>
          <w:u w:val="single"/>
        </w:rPr>
        <w:t>4.A. Interviews with Key Informants</w:t>
      </w:r>
    </w:p>
    <w:p w14:paraId="5FCC543D" w14:textId="4A2FDCAC" w:rsidR="00CA1121" w:rsidRPr="001072BA" w:rsidRDefault="0020799A" w:rsidP="00CF3EB8">
      <w:pPr>
        <w:spacing w:after="240"/>
        <w:rPr>
          <w:rFonts w:ascii="Calibri" w:hAnsi="Calibri"/>
        </w:rPr>
      </w:pPr>
      <w:r w:rsidRPr="001072BA">
        <w:rPr>
          <w:rFonts w:ascii="Calibri" w:hAnsi="Calibri"/>
        </w:rPr>
        <w:t xml:space="preserve">We conducted pilot testing of each of the interview guides with three respondents who are familiar with Age Friendly Cities/Counties and </w:t>
      </w:r>
      <w:r w:rsidR="00E3112F">
        <w:rPr>
          <w:rFonts w:ascii="Calibri" w:hAnsi="Calibri"/>
        </w:rPr>
        <w:t>SVs</w:t>
      </w:r>
      <w:r w:rsidRPr="001072BA">
        <w:rPr>
          <w:rFonts w:ascii="Calibri" w:hAnsi="Calibri"/>
        </w:rPr>
        <w:t xml:space="preserve">.  The average time of administration for the interview guide was </w:t>
      </w:r>
      <w:r w:rsidR="00CA1121" w:rsidRPr="00DC6FA8">
        <w:rPr>
          <w:rFonts w:ascii="Calibri" w:hAnsi="Calibri"/>
        </w:rPr>
        <w:t xml:space="preserve">approximately </w:t>
      </w:r>
      <w:r w:rsidR="00DC6FA8" w:rsidRPr="00DC6FA8">
        <w:rPr>
          <w:rFonts w:ascii="Calibri" w:hAnsi="Calibri"/>
        </w:rPr>
        <w:t>30</w:t>
      </w:r>
      <w:r w:rsidRPr="00DC6FA8">
        <w:rPr>
          <w:rFonts w:ascii="Calibri" w:hAnsi="Calibri"/>
        </w:rPr>
        <w:t xml:space="preserve"> minutes</w:t>
      </w:r>
      <w:r w:rsidR="00CA1121" w:rsidRPr="001072BA">
        <w:rPr>
          <w:rFonts w:ascii="Calibri" w:hAnsi="Calibri"/>
        </w:rPr>
        <w:t>, with the local health department interview being the shortest to complete</w:t>
      </w:r>
      <w:r w:rsidR="005B49CB" w:rsidRPr="001072BA">
        <w:rPr>
          <w:rFonts w:ascii="Calibri" w:hAnsi="Calibri"/>
        </w:rPr>
        <w:t xml:space="preserve"> (average of 20 minutes) and the SV representative interview being the longest to complete (max of 45 minutes)</w:t>
      </w:r>
      <w:r w:rsidRPr="001072BA">
        <w:rPr>
          <w:rFonts w:ascii="Calibri" w:hAnsi="Calibri"/>
        </w:rPr>
        <w:t xml:space="preserve">. </w:t>
      </w:r>
    </w:p>
    <w:p w14:paraId="3CC8940F" w14:textId="77777777" w:rsidR="00CF3EB8" w:rsidRPr="001072BA" w:rsidRDefault="00CF3EB8" w:rsidP="00CF3EB8">
      <w:pPr>
        <w:spacing w:after="240"/>
        <w:rPr>
          <w:rFonts w:ascii="Calibri" w:hAnsi="Calibri"/>
          <w:b/>
          <w:i/>
          <w:u w:val="single"/>
        </w:rPr>
      </w:pPr>
      <w:r w:rsidRPr="001072BA">
        <w:rPr>
          <w:rFonts w:ascii="Calibri" w:hAnsi="Calibri"/>
          <w:b/>
          <w:i/>
          <w:u w:val="single"/>
        </w:rPr>
        <w:t>4.B. Surveys of Older Adults</w:t>
      </w:r>
    </w:p>
    <w:p w14:paraId="75E4CC80" w14:textId="6BA7CBEB" w:rsidR="00CF3EB8" w:rsidRPr="001072BA" w:rsidRDefault="0086294F" w:rsidP="00F34C93">
      <w:pPr>
        <w:spacing w:after="240"/>
        <w:rPr>
          <w:rFonts w:ascii="Calibri" w:hAnsi="Calibri"/>
          <w:i/>
        </w:rPr>
      </w:pPr>
      <w:r w:rsidRPr="001072BA">
        <w:rPr>
          <w:rFonts w:ascii="Calibri" w:hAnsi="Calibri"/>
        </w:rPr>
        <w:t xml:space="preserve">We conducted pilot testing of </w:t>
      </w:r>
      <w:r w:rsidR="006F00D7" w:rsidRPr="001072BA">
        <w:rPr>
          <w:rFonts w:ascii="Calibri" w:hAnsi="Calibri"/>
        </w:rPr>
        <w:t>the survey</w:t>
      </w:r>
      <w:r w:rsidRPr="001072BA">
        <w:rPr>
          <w:rFonts w:ascii="Calibri" w:hAnsi="Calibri"/>
        </w:rPr>
        <w:t xml:space="preserve"> with </w:t>
      </w:r>
      <w:r w:rsidR="006F00D7" w:rsidRPr="001072BA">
        <w:rPr>
          <w:rFonts w:ascii="Calibri" w:hAnsi="Calibri"/>
        </w:rPr>
        <w:t xml:space="preserve">four </w:t>
      </w:r>
      <w:r w:rsidRPr="001072BA">
        <w:rPr>
          <w:rFonts w:ascii="Calibri" w:hAnsi="Calibri"/>
        </w:rPr>
        <w:t xml:space="preserve">respondents who are and are not familiar with Age Friendly Cities/Counties and </w:t>
      </w:r>
      <w:r w:rsidR="00E3112F">
        <w:rPr>
          <w:rFonts w:ascii="Calibri" w:hAnsi="Calibri"/>
        </w:rPr>
        <w:t>SVs</w:t>
      </w:r>
      <w:r w:rsidRPr="001072BA">
        <w:rPr>
          <w:rFonts w:ascii="Calibri" w:hAnsi="Calibri"/>
        </w:rPr>
        <w:t xml:space="preserve">.  The average time of administration for the survey of </w:t>
      </w:r>
      <w:r w:rsidR="00E3112F">
        <w:rPr>
          <w:rFonts w:ascii="Calibri" w:hAnsi="Calibri"/>
        </w:rPr>
        <w:t>SV</w:t>
      </w:r>
      <w:r w:rsidRPr="001072BA">
        <w:rPr>
          <w:rFonts w:ascii="Calibri" w:hAnsi="Calibri"/>
        </w:rPr>
        <w:t xml:space="preserve"> members and </w:t>
      </w:r>
      <w:r w:rsidR="00E3112F">
        <w:rPr>
          <w:rFonts w:ascii="Calibri" w:hAnsi="Calibri"/>
        </w:rPr>
        <w:t>matched</w:t>
      </w:r>
      <w:r w:rsidRPr="001072BA">
        <w:rPr>
          <w:rFonts w:ascii="Calibri" w:hAnsi="Calibri"/>
        </w:rPr>
        <w:t xml:space="preserve"> controls was </w:t>
      </w:r>
      <w:r w:rsidR="006F00D7" w:rsidRPr="001072BA">
        <w:rPr>
          <w:rFonts w:ascii="Calibri" w:hAnsi="Calibri"/>
        </w:rPr>
        <w:t>1</w:t>
      </w:r>
      <w:r w:rsidR="00CA1121" w:rsidRPr="001072BA">
        <w:rPr>
          <w:rFonts w:ascii="Calibri" w:hAnsi="Calibri"/>
        </w:rPr>
        <w:t>8</w:t>
      </w:r>
      <w:r w:rsidRPr="001072BA">
        <w:rPr>
          <w:rFonts w:ascii="Calibri" w:hAnsi="Calibri"/>
        </w:rPr>
        <w:t xml:space="preserve"> minutes.</w:t>
      </w:r>
    </w:p>
    <w:p w14:paraId="65864E86" w14:textId="77777777" w:rsidR="005453AD" w:rsidRPr="001072BA" w:rsidRDefault="005453AD" w:rsidP="00F34C93">
      <w:pPr>
        <w:pStyle w:val="Heading2"/>
        <w:rPr>
          <w:rFonts w:ascii="Calibri" w:hAnsi="Calibri"/>
          <w:sz w:val="24"/>
        </w:rPr>
      </w:pPr>
      <w:r w:rsidRPr="001072BA">
        <w:rPr>
          <w:rFonts w:ascii="Calibri" w:hAnsi="Calibri"/>
          <w:sz w:val="24"/>
        </w:rPr>
        <w:t xml:space="preserve">5. </w:t>
      </w:r>
      <w:bookmarkEnd w:id="11"/>
      <w:bookmarkEnd w:id="12"/>
      <w:r w:rsidR="00494438" w:rsidRPr="001072BA">
        <w:rPr>
          <w:rFonts w:ascii="Calibri" w:hAnsi="Calibri"/>
          <w:sz w:val="24"/>
        </w:rPr>
        <w:t>Individuals Consulted on Statistical Aspects and Individuals Collecting and/or Analyzing Data</w:t>
      </w:r>
    </w:p>
    <w:p w14:paraId="6C7F4677" w14:textId="77777777" w:rsidR="0086294F" w:rsidRPr="001072BA" w:rsidRDefault="00927F0A" w:rsidP="0086294F">
      <w:pPr>
        <w:numPr>
          <w:ilvl w:val="0"/>
          <w:numId w:val="7"/>
        </w:numPr>
        <w:rPr>
          <w:rFonts w:ascii="Calibri" w:hAnsi="Calibri"/>
        </w:rPr>
      </w:pPr>
      <w:r w:rsidRPr="001072BA">
        <w:rPr>
          <w:rFonts w:ascii="Calibri" w:hAnsi="Calibri"/>
        </w:rPr>
        <w:t>Jeremy Miles, Senior Behavioral Scientist</w:t>
      </w:r>
      <w:r w:rsidR="00CF1767">
        <w:rPr>
          <w:rFonts w:ascii="Calibri" w:hAnsi="Calibri"/>
        </w:rPr>
        <w:t xml:space="preserve"> and Quantitative Psychologist at </w:t>
      </w:r>
      <w:r w:rsidRPr="001072BA">
        <w:rPr>
          <w:rFonts w:ascii="Calibri" w:hAnsi="Calibri"/>
        </w:rPr>
        <w:t>RAND</w:t>
      </w:r>
      <w:r w:rsidR="00CF1767">
        <w:rPr>
          <w:rFonts w:ascii="Calibri" w:hAnsi="Calibri"/>
        </w:rPr>
        <w:t xml:space="preserve"> and professor of quantitative methods in social science at RAND Pardee Graduate School</w:t>
      </w:r>
      <w:r w:rsidRPr="001072BA">
        <w:rPr>
          <w:rFonts w:ascii="Calibri" w:hAnsi="Calibri"/>
        </w:rPr>
        <w:br/>
      </w:r>
    </w:p>
    <w:p w14:paraId="69BF30A0" w14:textId="77777777" w:rsidR="006F00D7" w:rsidRDefault="006F00D7" w:rsidP="006F00D7">
      <w:pPr>
        <w:numPr>
          <w:ilvl w:val="0"/>
          <w:numId w:val="7"/>
        </w:numPr>
        <w:rPr>
          <w:rFonts w:ascii="Calibri" w:hAnsi="Calibri"/>
        </w:rPr>
      </w:pPr>
      <w:r w:rsidRPr="001072BA">
        <w:rPr>
          <w:rFonts w:ascii="Calibri" w:hAnsi="Calibri"/>
          <w:b/>
          <w:bCs/>
        </w:rPr>
        <w:t>Gregg P. Stickeler</w:t>
      </w:r>
      <w:r w:rsidRPr="001072BA">
        <w:rPr>
          <w:rFonts w:ascii="Calibri" w:hAnsi="Calibri"/>
        </w:rPr>
        <w:t>, Sr. Vice President Client Services, ISA, LLC</w:t>
      </w:r>
    </w:p>
    <w:p w14:paraId="66B94B74" w14:textId="77777777" w:rsidR="00CF1767" w:rsidRDefault="00CF1767" w:rsidP="00CF1767">
      <w:pPr>
        <w:ind w:left="720"/>
        <w:rPr>
          <w:rFonts w:ascii="Calibri" w:hAnsi="Calibri"/>
          <w:b/>
          <w:bCs/>
        </w:rPr>
      </w:pPr>
    </w:p>
    <w:p w14:paraId="6D909F78" w14:textId="77777777" w:rsidR="00CF1767" w:rsidRDefault="00CF1767" w:rsidP="00CF1767">
      <w:pPr>
        <w:ind w:left="720"/>
        <w:rPr>
          <w:rFonts w:ascii="Calibri" w:hAnsi="Calibri"/>
          <w:b/>
          <w:bCs/>
        </w:rPr>
      </w:pPr>
    </w:p>
    <w:p w14:paraId="6042A1DF" w14:textId="77777777" w:rsidR="00CF1767" w:rsidRDefault="00CF1767" w:rsidP="00CF1767">
      <w:pPr>
        <w:ind w:left="720"/>
        <w:rPr>
          <w:rFonts w:ascii="Calibri" w:hAnsi="Calibri"/>
          <w:b/>
          <w:bCs/>
        </w:rPr>
      </w:pPr>
    </w:p>
    <w:p w14:paraId="7748DBC6" w14:textId="77777777" w:rsidR="00CF1767" w:rsidRPr="001072BA" w:rsidRDefault="00CF1767" w:rsidP="00CF1767">
      <w:pPr>
        <w:ind w:left="720"/>
        <w:rPr>
          <w:rFonts w:ascii="Calibri" w:hAnsi="Calibri"/>
        </w:rPr>
      </w:pPr>
    </w:p>
    <w:p w14:paraId="41242D1F" w14:textId="77777777" w:rsidR="00157F93" w:rsidRPr="001072BA" w:rsidRDefault="0086294F" w:rsidP="00F34C93">
      <w:pPr>
        <w:rPr>
          <w:rFonts w:ascii="Calibri" w:hAnsi="Calibri" w:cs="Arial"/>
          <w:b/>
          <w:i/>
        </w:rPr>
      </w:pPr>
      <w:r w:rsidRPr="001072BA">
        <w:rPr>
          <w:rFonts w:ascii="Calibri" w:hAnsi="Calibri" w:cs="Arial"/>
          <w:b/>
          <w:i/>
        </w:rPr>
        <w:t>References</w:t>
      </w:r>
    </w:p>
    <w:p w14:paraId="23E3D136" w14:textId="77777777" w:rsidR="0086294F" w:rsidRPr="001072BA" w:rsidRDefault="0086294F" w:rsidP="00F34C93">
      <w:pPr>
        <w:rPr>
          <w:rFonts w:ascii="Calibri" w:hAnsi="Calibri"/>
        </w:rPr>
      </w:pPr>
    </w:p>
    <w:p w14:paraId="75DDBB03" w14:textId="77777777" w:rsidR="00353DBB" w:rsidRPr="001072BA" w:rsidRDefault="00157F93" w:rsidP="00353DBB">
      <w:pPr>
        <w:ind w:left="720" w:hanging="720"/>
        <w:rPr>
          <w:rFonts w:ascii="Calibri" w:hAnsi="Calibri"/>
          <w:noProof/>
        </w:rPr>
      </w:pPr>
      <w:r w:rsidRPr="001072BA">
        <w:rPr>
          <w:rFonts w:ascii="Calibri" w:hAnsi="Calibri"/>
        </w:rPr>
        <w:fldChar w:fldCharType="begin"/>
      </w:r>
      <w:r w:rsidRPr="001072BA">
        <w:rPr>
          <w:rFonts w:ascii="Calibri" w:hAnsi="Calibri"/>
        </w:rPr>
        <w:instrText xml:space="preserve"> ADDIN EN.REFLIST </w:instrText>
      </w:r>
      <w:r w:rsidRPr="001072BA">
        <w:rPr>
          <w:rFonts w:ascii="Calibri" w:hAnsi="Calibri"/>
        </w:rPr>
        <w:fldChar w:fldCharType="separate"/>
      </w:r>
      <w:bookmarkStart w:id="13" w:name="_ENREF_1"/>
      <w:r w:rsidR="00353DBB" w:rsidRPr="001072BA">
        <w:rPr>
          <w:rFonts w:ascii="Calibri" w:hAnsi="Calibri"/>
          <w:b/>
          <w:noProof/>
        </w:rPr>
        <w:t>1.</w:t>
      </w:r>
      <w:r w:rsidR="00353DBB" w:rsidRPr="001072BA">
        <w:rPr>
          <w:rFonts w:ascii="Calibri" w:hAnsi="Calibri"/>
          <w:noProof/>
        </w:rPr>
        <w:tab/>
      </w:r>
      <w:r w:rsidR="00353DBB" w:rsidRPr="001072BA">
        <w:rPr>
          <w:rFonts w:ascii="Calibri" w:hAnsi="Calibri"/>
          <w:i/>
          <w:noProof/>
        </w:rPr>
        <w:t>twang: Toolkit for Weighting and Analysis of Nonequivalent Groups, 1.2.5</w:t>
      </w:r>
      <w:r w:rsidR="00353DBB" w:rsidRPr="001072BA">
        <w:rPr>
          <w:rFonts w:ascii="Calibri" w:hAnsi="Calibri"/>
          <w:noProof/>
        </w:rPr>
        <w:t xml:space="preserve"> [computer program]2011.</w:t>
      </w:r>
      <w:bookmarkEnd w:id="13"/>
    </w:p>
    <w:p w14:paraId="565C5D59" w14:textId="77777777" w:rsidR="00353DBB" w:rsidRPr="001072BA" w:rsidRDefault="00353DBB" w:rsidP="00353DBB">
      <w:pPr>
        <w:ind w:left="720" w:hanging="720"/>
        <w:rPr>
          <w:rFonts w:ascii="Calibri" w:hAnsi="Calibri"/>
          <w:noProof/>
        </w:rPr>
      </w:pPr>
      <w:bookmarkStart w:id="14" w:name="_ENREF_2"/>
      <w:r w:rsidRPr="001072BA">
        <w:rPr>
          <w:rFonts w:ascii="Calibri" w:hAnsi="Calibri"/>
          <w:b/>
          <w:noProof/>
        </w:rPr>
        <w:t>2.</w:t>
      </w:r>
      <w:r w:rsidRPr="001072BA">
        <w:rPr>
          <w:rFonts w:ascii="Calibri" w:hAnsi="Calibri"/>
          <w:noProof/>
        </w:rPr>
        <w:tab/>
        <w:t xml:space="preserve">Harder VS, Stuart EA, Anthony JC. Propensity Score Techniques and the Assessment of Measured Covariate Balance to Test Causal Associations in Psychological Research. </w:t>
      </w:r>
      <w:r w:rsidRPr="001072BA">
        <w:rPr>
          <w:rFonts w:ascii="Calibri" w:hAnsi="Calibri"/>
          <w:i/>
          <w:noProof/>
        </w:rPr>
        <w:t xml:space="preserve">Psychological Methods. </w:t>
      </w:r>
      <w:r w:rsidRPr="001072BA">
        <w:rPr>
          <w:rFonts w:ascii="Calibri" w:hAnsi="Calibri"/>
          <w:noProof/>
        </w:rPr>
        <w:t>2010;15(3):234-249.</w:t>
      </w:r>
      <w:bookmarkEnd w:id="14"/>
    </w:p>
    <w:p w14:paraId="3075F188" w14:textId="77777777" w:rsidR="00353DBB" w:rsidRPr="001072BA" w:rsidRDefault="00353DBB" w:rsidP="00353DBB">
      <w:pPr>
        <w:ind w:left="720" w:hanging="720"/>
        <w:rPr>
          <w:rFonts w:ascii="Calibri" w:hAnsi="Calibri"/>
          <w:noProof/>
        </w:rPr>
      </w:pPr>
      <w:bookmarkStart w:id="15" w:name="_ENREF_3"/>
      <w:r w:rsidRPr="001072BA">
        <w:rPr>
          <w:rFonts w:ascii="Calibri" w:hAnsi="Calibri"/>
          <w:b/>
          <w:noProof/>
        </w:rPr>
        <w:t>3.</w:t>
      </w:r>
      <w:r w:rsidRPr="001072BA">
        <w:rPr>
          <w:rFonts w:ascii="Calibri" w:hAnsi="Calibri"/>
          <w:noProof/>
        </w:rPr>
        <w:tab/>
        <w:t xml:space="preserve">Schafer JL, Kang J. Average Causal Effects From Nonrandomized Studies. </w:t>
      </w:r>
      <w:r w:rsidRPr="001072BA">
        <w:rPr>
          <w:rFonts w:ascii="Calibri" w:hAnsi="Calibri"/>
          <w:i/>
          <w:noProof/>
        </w:rPr>
        <w:t xml:space="preserve">Psychological Methods. </w:t>
      </w:r>
      <w:r w:rsidRPr="001072BA">
        <w:rPr>
          <w:rFonts w:ascii="Calibri" w:hAnsi="Calibri"/>
          <w:noProof/>
        </w:rPr>
        <w:t>2008;13(4):279-313.</w:t>
      </w:r>
      <w:bookmarkEnd w:id="15"/>
    </w:p>
    <w:p w14:paraId="37BFABD9" w14:textId="77777777" w:rsidR="00353DBB" w:rsidRPr="001072BA" w:rsidRDefault="00353DBB" w:rsidP="00353DBB">
      <w:pPr>
        <w:ind w:left="720" w:hanging="720"/>
        <w:rPr>
          <w:rFonts w:ascii="Calibri" w:hAnsi="Calibri"/>
          <w:noProof/>
        </w:rPr>
      </w:pPr>
      <w:bookmarkStart w:id="16" w:name="_ENREF_4"/>
      <w:r w:rsidRPr="001072BA">
        <w:rPr>
          <w:rFonts w:ascii="Calibri" w:hAnsi="Calibri"/>
          <w:b/>
          <w:noProof/>
        </w:rPr>
        <w:t>4.</w:t>
      </w:r>
      <w:r w:rsidRPr="001072BA">
        <w:rPr>
          <w:rFonts w:ascii="Calibri" w:hAnsi="Calibri"/>
          <w:noProof/>
        </w:rPr>
        <w:tab/>
        <w:t xml:space="preserve">Neugebauer R, van der Laan M. Why prefer double robust estimators in causal inference? </w:t>
      </w:r>
      <w:r w:rsidRPr="001072BA">
        <w:rPr>
          <w:rFonts w:ascii="Calibri" w:hAnsi="Calibri"/>
          <w:i/>
          <w:noProof/>
        </w:rPr>
        <w:t xml:space="preserve">Journal of Statistical Planning and Inference. </w:t>
      </w:r>
      <w:r w:rsidRPr="001072BA">
        <w:rPr>
          <w:rFonts w:ascii="Calibri" w:hAnsi="Calibri"/>
          <w:noProof/>
        </w:rPr>
        <w:t>2005;129(1-2):405-426.</w:t>
      </w:r>
      <w:bookmarkEnd w:id="16"/>
    </w:p>
    <w:p w14:paraId="4F307B93" w14:textId="77777777" w:rsidR="00353DBB" w:rsidRPr="001072BA" w:rsidRDefault="00353DBB" w:rsidP="00353DBB">
      <w:pPr>
        <w:ind w:left="720" w:hanging="720"/>
        <w:rPr>
          <w:rFonts w:ascii="Calibri" w:hAnsi="Calibri"/>
          <w:noProof/>
        </w:rPr>
      </w:pPr>
      <w:bookmarkStart w:id="17" w:name="_ENREF_5"/>
      <w:r w:rsidRPr="001072BA">
        <w:rPr>
          <w:rFonts w:ascii="Calibri" w:hAnsi="Calibri"/>
          <w:b/>
          <w:noProof/>
        </w:rPr>
        <w:t>5.</w:t>
      </w:r>
      <w:r w:rsidRPr="001072BA">
        <w:rPr>
          <w:rFonts w:ascii="Calibri" w:hAnsi="Calibri"/>
          <w:noProof/>
        </w:rPr>
        <w:tab/>
        <w:t xml:space="preserve">Taylor MJ, Innocenti MS. Why covariance:  A rationale for using analysis of covariance procedures in randomised studies. </w:t>
      </w:r>
      <w:r w:rsidRPr="001072BA">
        <w:rPr>
          <w:rFonts w:ascii="Calibri" w:hAnsi="Calibri"/>
          <w:i/>
          <w:noProof/>
        </w:rPr>
        <w:t xml:space="preserve">Journal of Early Intervention. </w:t>
      </w:r>
      <w:r w:rsidRPr="001072BA">
        <w:rPr>
          <w:rFonts w:ascii="Calibri" w:hAnsi="Calibri"/>
          <w:noProof/>
        </w:rPr>
        <w:t>1993;17(4):455-467.</w:t>
      </w:r>
      <w:bookmarkEnd w:id="17"/>
    </w:p>
    <w:p w14:paraId="3B638DCA" w14:textId="5FD672AE" w:rsidR="00F34C93" w:rsidRPr="001072BA" w:rsidRDefault="00353DBB" w:rsidP="00525495">
      <w:pPr>
        <w:ind w:left="720" w:hanging="720"/>
        <w:rPr>
          <w:rFonts w:ascii="Calibri" w:hAnsi="Calibri"/>
        </w:rPr>
      </w:pPr>
      <w:bookmarkStart w:id="18" w:name="_ENREF_6"/>
      <w:r w:rsidRPr="001072BA">
        <w:rPr>
          <w:rFonts w:ascii="Calibri" w:hAnsi="Calibri"/>
          <w:b/>
          <w:noProof/>
        </w:rPr>
        <w:t>6.</w:t>
      </w:r>
      <w:r w:rsidRPr="001072BA">
        <w:rPr>
          <w:rFonts w:ascii="Calibri" w:hAnsi="Calibri"/>
          <w:noProof/>
        </w:rPr>
        <w:tab/>
      </w:r>
      <w:r w:rsidRPr="001072BA">
        <w:rPr>
          <w:rFonts w:ascii="Calibri" w:hAnsi="Calibri"/>
          <w:i/>
          <w:noProof/>
        </w:rPr>
        <w:t>R: A Language and Environment for Statistical Computing</w:t>
      </w:r>
      <w:r w:rsidRPr="001072BA">
        <w:rPr>
          <w:rFonts w:ascii="Calibri" w:hAnsi="Calibri"/>
          <w:noProof/>
        </w:rPr>
        <w:t xml:space="preserve"> [computer program]. Vienna, Austria: R Foundation for Statistical Computing; 2014</w:t>
      </w:r>
      <w:bookmarkEnd w:id="18"/>
      <w:r w:rsidR="00157F93" w:rsidRPr="001072BA">
        <w:rPr>
          <w:rFonts w:ascii="Calibri" w:hAnsi="Calibri"/>
        </w:rPr>
        <w:fldChar w:fldCharType="end"/>
      </w:r>
    </w:p>
    <w:sectPr w:rsidR="00F34C93" w:rsidRPr="001072BA" w:rsidSect="00874B68">
      <w:footerReference w:type="even" r:id="rId8"/>
      <w:footerReference w:type="default" r:id="rId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459DB" w14:textId="77777777" w:rsidR="000A6B79" w:rsidRDefault="000A6B79">
      <w:r>
        <w:separator/>
      </w:r>
    </w:p>
  </w:endnote>
  <w:endnote w:type="continuationSeparator" w:id="0">
    <w:p w14:paraId="5A011BA6" w14:textId="77777777" w:rsidR="000A6B79" w:rsidRDefault="000A6B79">
      <w:r>
        <w:continuationSeparator/>
      </w:r>
    </w:p>
  </w:endnote>
  <w:endnote w:type="continuationNotice" w:id="1">
    <w:p w14:paraId="31B1A7CE" w14:textId="77777777" w:rsidR="000A6B79" w:rsidRDefault="000A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BA6BD" w14:textId="77777777" w:rsidR="009607FE" w:rsidRDefault="009607FE"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8AB22" w14:textId="77777777" w:rsidR="009607FE" w:rsidRDefault="00960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FAE6B" w14:textId="77777777" w:rsidR="009607FE" w:rsidRDefault="009607FE"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230B">
      <w:rPr>
        <w:rStyle w:val="PageNumber"/>
        <w:noProof/>
      </w:rPr>
      <w:t>11</w:t>
    </w:r>
    <w:r>
      <w:rPr>
        <w:rStyle w:val="PageNumber"/>
      </w:rPr>
      <w:fldChar w:fldCharType="end"/>
    </w:r>
  </w:p>
  <w:p w14:paraId="4AF30210" w14:textId="77777777" w:rsidR="009607FE" w:rsidRDefault="00960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3DFF" w14:textId="77777777" w:rsidR="000A6B79" w:rsidRDefault="000A6B79">
      <w:r>
        <w:separator/>
      </w:r>
    </w:p>
  </w:footnote>
  <w:footnote w:type="continuationSeparator" w:id="0">
    <w:p w14:paraId="49813CE3" w14:textId="77777777" w:rsidR="000A6B79" w:rsidRDefault="000A6B79">
      <w:r>
        <w:continuationSeparator/>
      </w:r>
    </w:p>
  </w:footnote>
  <w:footnote w:type="continuationNotice" w:id="1">
    <w:p w14:paraId="538C875F" w14:textId="77777777" w:rsidR="000A6B79" w:rsidRDefault="000A6B79"/>
  </w:footnote>
  <w:footnote w:id="2">
    <w:p w14:paraId="75434BDB" w14:textId="77777777" w:rsidR="009607FE" w:rsidRDefault="009607FE" w:rsidP="0037516E">
      <w:pPr>
        <w:pStyle w:val="FootnoteText"/>
      </w:pPr>
      <w:r>
        <w:rPr>
          <w:rStyle w:val="FootnoteReference"/>
        </w:rPr>
        <w:footnoteRef/>
      </w:r>
      <w:r>
        <w:t xml:space="preserve"> </w:t>
      </w:r>
      <w:r w:rsidRPr="00806B4D">
        <w:rPr>
          <w:rFonts w:ascii="Arial Narrow" w:hAnsi="Arial Narrow" w:cs="Arial"/>
          <w:b w:val="0"/>
          <w:noProof/>
          <w:sz w:val="20"/>
          <w:szCs w:val="20"/>
        </w:rPr>
        <w:t xml:space="preserve">Yin RK. Evaluation: A Singular Craft. In: Reichardt CS, Rallis SF, eds. </w:t>
      </w:r>
      <w:r w:rsidRPr="00806B4D">
        <w:rPr>
          <w:rFonts w:ascii="Arial Narrow" w:hAnsi="Arial Narrow" w:cs="Arial"/>
          <w:b w:val="0"/>
          <w:i/>
          <w:noProof/>
          <w:sz w:val="20"/>
          <w:szCs w:val="20"/>
        </w:rPr>
        <w:t>The Qualitative-Quantitative Debate: New Perspectives</w:t>
      </w:r>
      <w:r w:rsidRPr="00806B4D">
        <w:rPr>
          <w:rFonts w:ascii="Arial Narrow" w:hAnsi="Arial Narrow" w:cs="Arial"/>
          <w:b w:val="0"/>
          <w:noProof/>
          <w:sz w:val="20"/>
          <w:szCs w:val="20"/>
        </w:rPr>
        <w:t>. San Francisco: Jossey-Bass; 1994:71-84.</w:t>
      </w:r>
    </w:p>
  </w:footnote>
  <w:footnote w:id="3">
    <w:p w14:paraId="31C209B8" w14:textId="77777777" w:rsidR="009607FE" w:rsidRDefault="009607FE" w:rsidP="0037516E">
      <w:pPr>
        <w:pStyle w:val="FootnoteText"/>
      </w:pPr>
      <w:r>
        <w:rPr>
          <w:rStyle w:val="FootnoteReference"/>
        </w:rPr>
        <w:footnoteRef/>
      </w:r>
      <w:r>
        <w:t xml:space="preserve"> </w:t>
      </w:r>
      <w:r w:rsidRPr="00806B4D">
        <w:rPr>
          <w:rFonts w:ascii="Arial Narrow" w:hAnsi="Arial Narrow" w:cs="Arial"/>
          <w:b w:val="0"/>
          <w:noProof/>
          <w:sz w:val="20"/>
          <w:szCs w:val="20"/>
        </w:rPr>
        <w:t xml:space="preserve">Lasker R, Weiss E. Broadening participation in community problem solving: a multidisciplinary model to support collaborative practice and research. </w:t>
      </w:r>
      <w:r w:rsidRPr="00806B4D">
        <w:rPr>
          <w:rFonts w:ascii="Arial Narrow" w:hAnsi="Arial Narrow" w:cs="Arial"/>
          <w:b w:val="0"/>
          <w:i/>
          <w:noProof/>
          <w:sz w:val="20"/>
          <w:szCs w:val="20"/>
        </w:rPr>
        <w:t xml:space="preserve">J Urban Health. </w:t>
      </w:r>
      <w:r w:rsidRPr="00806B4D">
        <w:rPr>
          <w:rFonts w:ascii="Arial Narrow" w:hAnsi="Arial Narrow" w:cs="Arial"/>
          <w:b w:val="0"/>
          <w:noProof/>
          <w:sz w:val="20"/>
          <w:szCs w:val="20"/>
        </w:rPr>
        <w:t>2003;80(1):14-47.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2817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46F1"/>
    <w:multiLevelType w:val="hybridMultilevel"/>
    <w:tmpl w:val="9EFC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D75"/>
    <w:multiLevelType w:val="hybridMultilevel"/>
    <w:tmpl w:val="DD34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E159B"/>
    <w:multiLevelType w:val="hybridMultilevel"/>
    <w:tmpl w:val="4408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44675"/>
    <w:multiLevelType w:val="hybridMultilevel"/>
    <w:tmpl w:val="742E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8"/>
  </w:num>
  <w:num w:numId="5">
    <w:abstractNumId w:val="7"/>
  </w:num>
  <w:num w:numId="6">
    <w:abstractNumId w:val="2"/>
  </w:num>
  <w:num w:numId="7">
    <w:abstractNumId w:val="4"/>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AMA_Revised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9aw9r95vtwa29ezp5gvwpf8sfzr9ppdr5e5&quot;&gt;jm endnote X&lt;record-ids&gt;&lt;item&gt;1500&lt;/item&gt;&lt;item&gt;2569&lt;/item&gt;&lt;item&gt;2758&lt;/item&gt;&lt;item&gt;2797&lt;/item&gt;&lt;item&gt;2851&lt;/item&gt;&lt;item&gt;2964&lt;/item&gt;&lt;/record-ids&gt;&lt;/item&gt;&lt;/Libraries&gt;"/>
  </w:docVars>
  <w:rsids>
    <w:rsidRoot w:val="005453AD"/>
    <w:rsid w:val="000028E6"/>
    <w:rsid w:val="00003726"/>
    <w:rsid w:val="00006B50"/>
    <w:rsid w:val="00007C23"/>
    <w:rsid w:val="00011C67"/>
    <w:rsid w:val="0001418A"/>
    <w:rsid w:val="00020CDC"/>
    <w:rsid w:val="00022B2F"/>
    <w:rsid w:val="00023905"/>
    <w:rsid w:val="0002688B"/>
    <w:rsid w:val="00027931"/>
    <w:rsid w:val="000375C3"/>
    <w:rsid w:val="00040D98"/>
    <w:rsid w:val="000412F2"/>
    <w:rsid w:val="0004144A"/>
    <w:rsid w:val="000418E7"/>
    <w:rsid w:val="00042F92"/>
    <w:rsid w:val="000437CC"/>
    <w:rsid w:val="00050229"/>
    <w:rsid w:val="00053B30"/>
    <w:rsid w:val="000733EB"/>
    <w:rsid w:val="0008338A"/>
    <w:rsid w:val="00084D1F"/>
    <w:rsid w:val="000A3642"/>
    <w:rsid w:val="000A52E3"/>
    <w:rsid w:val="000A6B79"/>
    <w:rsid w:val="000B246F"/>
    <w:rsid w:val="000B2925"/>
    <w:rsid w:val="000B51D2"/>
    <w:rsid w:val="000C052D"/>
    <w:rsid w:val="000C26A4"/>
    <w:rsid w:val="000C273C"/>
    <w:rsid w:val="000D44AD"/>
    <w:rsid w:val="000D68E0"/>
    <w:rsid w:val="000E5B21"/>
    <w:rsid w:val="000F1C4B"/>
    <w:rsid w:val="001045E9"/>
    <w:rsid w:val="00105EF1"/>
    <w:rsid w:val="00107069"/>
    <w:rsid w:val="001072BA"/>
    <w:rsid w:val="001277A0"/>
    <w:rsid w:val="00133642"/>
    <w:rsid w:val="0013418E"/>
    <w:rsid w:val="00144014"/>
    <w:rsid w:val="00152FCC"/>
    <w:rsid w:val="00157F93"/>
    <w:rsid w:val="00160B30"/>
    <w:rsid w:val="001623B4"/>
    <w:rsid w:val="00163BE9"/>
    <w:rsid w:val="001650B2"/>
    <w:rsid w:val="00172665"/>
    <w:rsid w:val="00172769"/>
    <w:rsid w:val="001737DC"/>
    <w:rsid w:val="00184281"/>
    <w:rsid w:val="00187366"/>
    <w:rsid w:val="001914B6"/>
    <w:rsid w:val="00193D98"/>
    <w:rsid w:val="001961A5"/>
    <w:rsid w:val="001A5FF7"/>
    <w:rsid w:val="001B5D6F"/>
    <w:rsid w:val="001C3D9E"/>
    <w:rsid w:val="001C685D"/>
    <w:rsid w:val="001C78FD"/>
    <w:rsid w:val="001E68AC"/>
    <w:rsid w:val="001F2974"/>
    <w:rsid w:val="001F5E2E"/>
    <w:rsid w:val="00202661"/>
    <w:rsid w:val="0020740B"/>
    <w:rsid w:val="0020799A"/>
    <w:rsid w:val="00220C60"/>
    <w:rsid w:val="00222258"/>
    <w:rsid w:val="00224620"/>
    <w:rsid w:val="002343F0"/>
    <w:rsid w:val="0023595D"/>
    <w:rsid w:val="00240615"/>
    <w:rsid w:val="00243021"/>
    <w:rsid w:val="00250F6D"/>
    <w:rsid w:val="00260020"/>
    <w:rsid w:val="00260A01"/>
    <w:rsid w:val="00262FCA"/>
    <w:rsid w:val="00265C70"/>
    <w:rsid w:val="00266D37"/>
    <w:rsid w:val="00274E60"/>
    <w:rsid w:val="00277CEA"/>
    <w:rsid w:val="002837E3"/>
    <w:rsid w:val="00287195"/>
    <w:rsid w:val="002A5262"/>
    <w:rsid w:val="002B0F78"/>
    <w:rsid w:val="002B51BE"/>
    <w:rsid w:val="002C21A2"/>
    <w:rsid w:val="002D75B5"/>
    <w:rsid w:val="002E335C"/>
    <w:rsid w:val="002F344F"/>
    <w:rsid w:val="003004BA"/>
    <w:rsid w:val="00307CE1"/>
    <w:rsid w:val="00314B99"/>
    <w:rsid w:val="0031502F"/>
    <w:rsid w:val="00324E7E"/>
    <w:rsid w:val="00325BC9"/>
    <w:rsid w:val="003338AE"/>
    <w:rsid w:val="00346F23"/>
    <w:rsid w:val="003511E4"/>
    <w:rsid w:val="00353007"/>
    <w:rsid w:val="00353DBB"/>
    <w:rsid w:val="00354573"/>
    <w:rsid w:val="0036002D"/>
    <w:rsid w:val="0036078A"/>
    <w:rsid w:val="00365067"/>
    <w:rsid w:val="00367D62"/>
    <w:rsid w:val="0037516E"/>
    <w:rsid w:val="003779C9"/>
    <w:rsid w:val="00381C57"/>
    <w:rsid w:val="00383034"/>
    <w:rsid w:val="00384745"/>
    <w:rsid w:val="003916E5"/>
    <w:rsid w:val="00393005"/>
    <w:rsid w:val="00396B62"/>
    <w:rsid w:val="003B376A"/>
    <w:rsid w:val="003B3C70"/>
    <w:rsid w:val="003B46B4"/>
    <w:rsid w:val="003B7C56"/>
    <w:rsid w:val="003C1C77"/>
    <w:rsid w:val="003C2F3C"/>
    <w:rsid w:val="003C3103"/>
    <w:rsid w:val="003C312C"/>
    <w:rsid w:val="003C6E1D"/>
    <w:rsid w:val="003C73E8"/>
    <w:rsid w:val="003D32B9"/>
    <w:rsid w:val="003D369A"/>
    <w:rsid w:val="003D3B9C"/>
    <w:rsid w:val="003D6AE8"/>
    <w:rsid w:val="003E5535"/>
    <w:rsid w:val="003F223C"/>
    <w:rsid w:val="003F4F2F"/>
    <w:rsid w:val="00410CD0"/>
    <w:rsid w:val="00413710"/>
    <w:rsid w:val="00415138"/>
    <w:rsid w:val="00422B2A"/>
    <w:rsid w:val="004230CE"/>
    <w:rsid w:val="00426BAE"/>
    <w:rsid w:val="00431F3A"/>
    <w:rsid w:val="0043295B"/>
    <w:rsid w:val="00451EBF"/>
    <w:rsid w:val="004543F7"/>
    <w:rsid w:val="00460D1B"/>
    <w:rsid w:val="00461D98"/>
    <w:rsid w:val="00474DB9"/>
    <w:rsid w:val="004750AB"/>
    <w:rsid w:val="00476861"/>
    <w:rsid w:val="00494438"/>
    <w:rsid w:val="0049545C"/>
    <w:rsid w:val="00497C66"/>
    <w:rsid w:val="004A0508"/>
    <w:rsid w:val="004A111A"/>
    <w:rsid w:val="004A58E2"/>
    <w:rsid w:val="004A74CC"/>
    <w:rsid w:val="004B06E4"/>
    <w:rsid w:val="004B5BD6"/>
    <w:rsid w:val="004B6489"/>
    <w:rsid w:val="004B64D5"/>
    <w:rsid w:val="004C1A2B"/>
    <w:rsid w:val="004C7F3B"/>
    <w:rsid w:val="004D2430"/>
    <w:rsid w:val="004D6C5F"/>
    <w:rsid w:val="004F153D"/>
    <w:rsid w:val="004F7C29"/>
    <w:rsid w:val="0050069A"/>
    <w:rsid w:val="00501C37"/>
    <w:rsid w:val="00501F33"/>
    <w:rsid w:val="00502005"/>
    <w:rsid w:val="0050472C"/>
    <w:rsid w:val="00506B7C"/>
    <w:rsid w:val="005124D8"/>
    <w:rsid w:val="00512850"/>
    <w:rsid w:val="00520D8D"/>
    <w:rsid w:val="00525495"/>
    <w:rsid w:val="00536106"/>
    <w:rsid w:val="00540317"/>
    <w:rsid w:val="00543AF4"/>
    <w:rsid w:val="005453AD"/>
    <w:rsid w:val="00552C85"/>
    <w:rsid w:val="00555B00"/>
    <w:rsid w:val="00555B8A"/>
    <w:rsid w:val="0055766A"/>
    <w:rsid w:val="00560D3D"/>
    <w:rsid w:val="005772BD"/>
    <w:rsid w:val="00591FED"/>
    <w:rsid w:val="005927C4"/>
    <w:rsid w:val="005A03B2"/>
    <w:rsid w:val="005A3D4D"/>
    <w:rsid w:val="005A528D"/>
    <w:rsid w:val="005B49CB"/>
    <w:rsid w:val="005B7E1A"/>
    <w:rsid w:val="005C5779"/>
    <w:rsid w:val="005E3686"/>
    <w:rsid w:val="005E5170"/>
    <w:rsid w:val="005F08FA"/>
    <w:rsid w:val="005F6627"/>
    <w:rsid w:val="005F785E"/>
    <w:rsid w:val="00602B9A"/>
    <w:rsid w:val="006051E2"/>
    <w:rsid w:val="00607E4C"/>
    <w:rsid w:val="006106C1"/>
    <w:rsid w:val="00620AC7"/>
    <w:rsid w:val="006238E0"/>
    <w:rsid w:val="00624196"/>
    <w:rsid w:val="00631667"/>
    <w:rsid w:val="0063344E"/>
    <w:rsid w:val="00633D67"/>
    <w:rsid w:val="00635512"/>
    <w:rsid w:val="0063714F"/>
    <w:rsid w:val="00644385"/>
    <w:rsid w:val="006520F3"/>
    <w:rsid w:val="00654137"/>
    <w:rsid w:val="00656C4F"/>
    <w:rsid w:val="0065798D"/>
    <w:rsid w:val="0066058A"/>
    <w:rsid w:val="006653E4"/>
    <w:rsid w:val="00666C20"/>
    <w:rsid w:val="00674DB4"/>
    <w:rsid w:val="006751F3"/>
    <w:rsid w:val="0069068A"/>
    <w:rsid w:val="00694254"/>
    <w:rsid w:val="00697067"/>
    <w:rsid w:val="006A09B7"/>
    <w:rsid w:val="006A23A7"/>
    <w:rsid w:val="006B417B"/>
    <w:rsid w:val="006B65D6"/>
    <w:rsid w:val="006C0C47"/>
    <w:rsid w:val="006D2949"/>
    <w:rsid w:val="006D2A3E"/>
    <w:rsid w:val="006D548C"/>
    <w:rsid w:val="006F00D7"/>
    <w:rsid w:val="006F344D"/>
    <w:rsid w:val="007017C8"/>
    <w:rsid w:val="00701B9B"/>
    <w:rsid w:val="007033D7"/>
    <w:rsid w:val="007121D5"/>
    <w:rsid w:val="00714C76"/>
    <w:rsid w:val="007257EA"/>
    <w:rsid w:val="00726E4F"/>
    <w:rsid w:val="0072702F"/>
    <w:rsid w:val="007428B6"/>
    <w:rsid w:val="007458ED"/>
    <w:rsid w:val="007519A8"/>
    <w:rsid w:val="00752720"/>
    <w:rsid w:val="00766ABD"/>
    <w:rsid w:val="00772E70"/>
    <w:rsid w:val="00775880"/>
    <w:rsid w:val="00777546"/>
    <w:rsid w:val="007855F5"/>
    <w:rsid w:val="00790A3B"/>
    <w:rsid w:val="00792830"/>
    <w:rsid w:val="00793E46"/>
    <w:rsid w:val="007A011B"/>
    <w:rsid w:val="007A17F0"/>
    <w:rsid w:val="007C0D40"/>
    <w:rsid w:val="007C39E4"/>
    <w:rsid w:val="007C49D3"/>
    <w:rsid w:val="007C5905"/>
    <w:rsid w:val="007C661C"/>
    <w:rsid w:val="007D53AA"/>
    <w:rsid w:val="007E117D"/>
    <w:rsid w:val="007F2387"/>
    <w:rsid w:val="007F2F72"/>
    <w:rsid w:val="008018B3"/>
    <w:rsid w:val="00812673"/>
    <w:rsid w:val="00826B80"/>
    <w:rsid w:val="00834A30"/>
    <w:rsid w:val="00844DC2"/>
    <w:rsid w:val="008452A3"/>
    <w:rsid w:val="00852C36"/>
    <w:rsid w:val="00854B3A"/>
    <w:rsid w:val="0085683E"/>
    <w:rsid w:val="0086294F"/>
    <w:rsid w:val="00864861"/>
    <w:rsid w:val="00864C0A"/>
    <w:rsid w:val="00871DAE"/>
    <w:rsid w:val="00873091"/>
    <w:rsid w:val="008741AB"/>
    <w:rsid w:val="00874B68"/>
    <w:rsid w:val="00890667"/>
    <w:rsid w:val="0089215C"/>
    <w:rsid w:val="00892197"/>
    <w:rsid w:val="008933F8"/>
    <w:rsid w:val="00894559"/>
    <w:rsid w:val="00894CB3"/>
    <w:rsid w:val="00895461"/>
    <w:rsid w:val="008A5586"/>
    <w:rsid w:val="008B59A2"/>
    <w:rsid w:val="008B5CFB"/>
    <w:rsid w:val="008C5771"/>
    <w:rsid w:val="008E06B8"/>
    <w:rsid w:val="008E0DFC"/>
    <w:rsid w:val="008E5F75"/>
    <w:rsid w:val="008F18CD"/>
    <w:rsid w:val="008F197F"/>
    <w:rsid w:val="008F23F5"/>
    <w:rsid w:val="008F6C41"/>
    <w:rsid w:val="008F74FC"/>
    <w:rsid w:val="0090111B"/>
    <w:rsid w:val="00915652"/>
    <w:rsid w:val="00916AA3"/>
    <w:rsid w:val="00927F0A"/>
    <w:rsid w:val="0093202A"/>
    <w:rsid w:val="00932955"/>
    <w:rsid w:val="009431FA"/>
    <w:rsid w:val="0094411E"/>
    <w:rsid w:val="00944F8E"/>
    <w:rsid w:val="00954F95"/>
    <w:rsid w:val="009607AD"/>
    <w:rsid w:val="009607FE"/>
    <w:rsid w:val="00962495"/>
    <w:rsid w:val="00962EC1"/>
    <w:rsid w:val="009631D2"/>
    <w:rsid w:val="009659F5"/>
    <w:rsid w:val="00977915"/>
    <w:rsid w:val="00986127"/>
    <w:rsid w:val="00986FB6"/>
    <w:rsid w:val="0099328D"/>
    <w:rsid w:val="009A12A8"/>
    <w:rsid w:val="009A13F5"/>
    <w:rsid w:val="009A1506"/>
    <w:rsid w:val="009B35BB"/>
    <w:rsid w:val="009B54E4"/>
    <w:rsid w:val="009B57D0"/>
    <w:rsid w:val="009B7B44"/>
    <w:rsid w:val="009C00DB"/>
    <w:rsid w:val="009C0A68"/>
    <w:rsid w:val="009D5632"/>
    <w:rsid w:val="009D5E90"/>
    <w:rsid w:val="009E070F"/>
    <w:rsid w:val="009E226C"/>
    <w:rsid w:val="009E2954"/>
    <w:rsid w:val="009E749B"/>
    <w:rsid w:val="009F0517"/>
    <w:rsid w:val="009F5807"/>
    <w:rsid w:val="00A00D79"/>
    <w:rsid w:val="00A01360"/>
    <w:rsid w:val="00A04FB9"/>
    <w:rsid w:val="00A15278"/>
    <w:rsid w:val="00A15B3E"/>
    <w:rsid w:val="00A15E19"/>
    <w:rsid w:val="00A175C7"/>
    <w:rsid w:val="00A35E11"/>
    <w:rsid w:val="00A400AF"/>
    <w:rsid w:val="00A433E3"/>
    <w:rsid w:val="00A4499C"/>
    <w:rsid w:val="00A51A46"/>
    <w:rsid w:val="00A7710B"/>
    <w:rsid w:val="00AA39D7"/>
    <w:rsid w:val="00AB0020"/>
    <w:rsid w:val="00AB5F7C"/>
    <w:rsid w:val="00AB72C0"/>
    <w:rsid w:val="00AC6AA6"/>
    <w:rsid w:val="00AC7A69"/>
    <w:rsid w:val="00AD7038"/>
    <w:rsid w:val="00AE5089"/>
    <w:rsid w:val="00AF135C"/>
    <w:rsid w:val="00AF4804"/>
    <w:rsid w:val="00B00008"/>
    <w:rsid w:val="00B03A17"/>
    <w:rsid w:val="00B14283"/>
    <w:rsid w:val="00B256C1"/>
    <w:rsid w:val="00B3195C"/>
    <w:rsid w:val="00B3567E"/>
    <w:rsid w:val="00B4384C"/>
    <w:rsid w:val="00B47BB0"/>
    <w:rsid w:val="00B50549"/>
    <w:rsid w:val="00B51988"/>
    <w:rsid w:val="00B51FC6"/>
    <w:rsid w:val="00B6413F"/>
    <w:rsid w:val="00B73EBB"/>
    <w:rsid w:val="00B75953"/>
    <w:rsid w:val="00B767FC"/>
    <w:rsid w:val="00B81108"/>
    <w:rsid w:val="00B81128"/>
    <w:rsid w:val="00B83341"/>
    <w:rsid w:val="00B91F14"/>
    <w:rsid w:val="00B9477A"/>
    <w:rsid w:val="00BA2394"/>
    <w:rsid w:val="00BA3FA4"/>
    <w:rsid w:val="00BB24C6"/>
    <w:rsid w:val="00BB46DF"/>
    <w:rsid w:val="00BC38BC"/>
    <w:rsid w:val="00BC7661"/>
    <w:rsid w:val="00BE46D9"/>
    <w:rsid w:val="00BF1A41"/>
    <w:rsid w:val="00C07F4D"/>
    <w:rsid w:val="00C21143"/>
    <w:rsid w:val="00C418BD"/>
    <w:rsid w:val="00C439E0"/>
    <w:rsid w:val="00C524D8"/>
    <w:rsid w:val="00C569F2"/>
    <w:rsid w:val="00C634FB"/>
    <w:rsid w:val="00C67216"/>
    <w:rsid w:val="00C67B2A"/>
    <w:rsid w:val="00C74454"/>
    <w:rsid w:val="00C76DEC"/>
    <w:rsid w:val="00C819BF"/>
    <w:rsid w:val="00C828BE"/>
    <w:rsid w:val="00C84426"/>
    <w:rsid w:val="00C9230B"/>
    <w:rsid w:val="00C94DE8"/>
    <w:rsid w:val="00CA1121"/>
    <w:rsid w:val="00CA149B"/>
    <w:rsid w:val="00CA2FB9"/>
    <w:rsid w:val="00CA6A4B"/>
    <w:rsid w:val="00CB2F8B"/>
    <w:rsid w:val="00CB660A"/>
    <w:rsid w:val="00CB7615"/>
    <w:rsid w:val="00CC3A9B"/>
    <w:rsid w:val="00CC42B4"/>
    <w:rsid w:val="00CC72ED"/>
    <w:rsid w:val="00CD03FF"/>
    <w:rsid w:val="00CD1A84"/>
    <w:rsid w:val="00CD269E"/>
    <w:rsid w:val="00CE2C1A"/>
    <w:rsid w:val="00CE49C8"/>
    <w:rsid w:val="00CE74B4"/>
    <w:rsid w:val="00CF1767"/>
    <w:rsid w:val="00CF3EB8"/>
    <w:rsid w:val="00CF414F"/>
    <w:rsid w:val="00D002C5"/>
    <w:rsid w:val="00D10174"/>
    <w:rsid w:val="00D1193F"/>
    <w:rsid w:val="00D224DD"/>
    <w:rsid w:val="00D2506E"/>
    <w:rsid w:val="00D254A2"/>
    <w:rsid w:val="00D3003B"/>
    <w:rsid w:val="00D33F5F"/>
    <w:rsid w:val="00D360FA"/>
    <w:rsid w:val="00D3751D"/>
    <w:rsid w:val="00D43EDA"/>
    <w:rsid w:val="00D459FF"/>
    <w:rsid w:val="00D45ABC"/>
    <w:rsid w:val="00D47F26"/>
    <w:rsid w:val="00D61851"/>
    <w:rsid w:val="00D656FA"/>
    <w:rsid w:val="00D67DD8"/>
    <w:rsid w:val="00D77619"/>
    <w:rsid w:val="00D83209"/>
    <w:rsid w:val="00D83E31"/>
    <w:rsid w:val="00DA667B"/>
    <w:rsid w:val="00DB042D"/>
    <w:rsid w:val="00DB4DF8"/>
    <w:rsid w:val="00DC3784"/>
    <w:rsid w:val="00DC6FA8"/>
    <w:rsid w:val="00DD5759"/>
    <w:rsid w:val="00DD691C"/>
    <w:rsid w:val="00DE0C8F"/>
    <w:rsid w:val="00DE0C9B"/>
    <w:rsid w:val="00DE5C7A"/>
    <w:rsid w:val="00DF0C7D"/>
    <w:rsid w:val="00DF2AE2"/>
    <w:rsid w:val="00E00AFB"/>
    <w:rsid w:val="00E059FC"/>
    <w:rsid w:val="00E1093E"/>
    <w:rsid w:val="00E11A8D"/>
    <w:rsid w:val="00E247D2"/>
    <w:rsid w:val="00E24AFA"/>
    <w:rsid w:val="00E2602E"/>
    <w:rsid w:val="00E3112F"/>
    <w:rsid w:val="00E311EA"/>
    <w:rsid w:val="00E33E06"/>
    <w:rsid w:val="00E346A8"/>
    <w:rsid w:val="00E35749"/>
    <w:rsid w:val="00E35BA9"/>
    <w:rsid w:val="00E41E4E"/>
    <w:rsid w:val="00E44959"/>
    <w:rsid w:val="00E466CE"/>
    <w:rsid w:val="00E524A1"/>
    <w:rsid w:val="00E54BE4"/>
    <w:rsid w:val="00E5761E"/>
    <w:rsid w:val="00E61391"/>
    <w:rsid w:val="00E734A9"/>
    <w:rsid w:val="00E75ADF"/>
    <w:rsid w:val="00E808E4"/>
    <w:rsid w:val="00E8231E"/>
    <w:rsid w:val="00E87504"/>
    <w:rsid w:val="00E8787A"/>
    <w:rsid w:val="00E92A8D"/>
    <w:rsid w:val="00E95E30"/>
    <w:rsid w:val="00EA20B6"/>
    <w:rsid w:val="00EA33D7"/>
    <w:rsid w:val="00EA3559"/>
    <w:rsid w:val="00EA5256"/>
    <w:rsid w:val="00EA73B4"/>
    <w:rsid w:val="00EB1431"/>
    <w:rsid w:val="00EB1D2D"/>
    <w:rsid w:val="00EB2F7F"/>
    <w:rsid w:val="00ED13F6"/>
    <w:rsid w:val="00EE1A8B"/>
    <w:rsid w:val="00EE6E66"/>
    <w:rsid w:val="00EF008F"/>
    <w:rsid w:val="00EF15A6"/>
    <w:rsid w:val="00F01D8D"/>
    <w:rsid w:val="00F102B7"/>
    <w:rsid w:val="00F1636C"/>
    <w:rsid w:val="00F2241C"/>
    <w:rsid w:val="00F253F0"/>
    <w:rsid w:val="00F332EC"/>
    <w:rsid w:val="00F34C93"/>
    <w:rsid w:val="00F429B2"/>
    <w:rsid w:val="00F43735"/>
    <w:rsid w:val="00F47BB1"/>
    <w:rsid w:val="00F612D4"/>
    <w:rsid w:val="00F61E26"/>
    <w:rsid w:val="00F72A6E"/>
    <w:rsid w:val="00F760C2"/>
    <w:rsid w:val="00F82E6F"/>
    <w:rsid w:val="00F877D8"/>
    <w:rsid w:val="00F91489"/>
    <w:rsid w:val="00F963FE"/>
    <w:rsid w:val="00FA2509"/>
    <w:rsid w:val="00FB13AD"/>
    <w:rsid w:val="00FB7518"/>
    <w:rsid w:val="00FC12A3"/>
    <w:rsid w:val="00FC224E"/>
    <w:rsid w:val="00FC633E"/>
    <w:rsid w:val="00FC711D"/>
    <w:rsid w:val="00FD17DB"/>
    <w:rsid w:val="00FD3D7E"/>
    <w:rsid w:val="00FD5A20"/>
    <w:rsid w:val="00FE299D"/>
    <w:rsid w:val="00FE2ABC"/>
    <w:rsid w:val="00FE2F78"/>
    <w:rsid w:val="00FE3549"/>
    <w:rsid w:val="00FE5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60891"/>
  <w15:docId w15:val="{D7353968-548C-44AF-9933-EA1FC362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C569F2"/>
    <w:rPr>
      <w:rFonts w:ascii="Tahoma" w:hAnsi="Tahoma" w:cs="Tahoma"/>
      <w:sz w:val="16"/>
      <w:szCs w:val="16"/>
    </w:rPr>
  </w:style>
  <w:style w:type="character" w:customStyle="1" w:styleId="BalloonTextChar">
    <w:name w:val="Balloon Text Char"/>
    <w:link w:val="BalloonText"/>
    <w:rsid w:val="00C569F2"/>
    <w:rPr>
      <w:rFonts w:ascii="Tahoma" w:hAnsi="Tahoma" w:cs="Tahoma"/>
      <w:sz w:val="16"/>
      <w:szCs w:val="16"/>
      <w:lang w:bidi="ar-SA"/>
    </w:rPr>
  </w:style>
  <w:style w:type="table" w:styleId="TableGrid">
    <w:name w:val="Table Grid"/>
    <w:basedOn w:val="TableNormal"/>
    <w:rsid w:val="00354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B54E4"/>
    <w:rPr>
      <w:sz w:val="16"/>
      <w:szCs w:val="16"/>
    </w:rPr>
  </w:style>
  <w:style w:type="paragraph" w:styleId="CommentText">
    <w:name w:val="annotation text"/>
    <w:basedOn w:val="Normal"/>
    <w:link w:val="CommentTextChar"/>
    <w:rsid w:val="009B54E4"/>
    <w:rPr>
      <w:sz w:val="20"/>
      <w:szCs w:val="20"/>
    </w:rPr>
  </w:style>
  <w:style w:type="character" w:customStyle="1" w:styleId="CommentTextChar">
    <w:name w:val="Comment Text Char"/>
    <w:link w:val="CommentText"/>
    <w:rsid w:val="009B54E4"/>
    <w:rPr>
      <w:lang w:bidi="ar-SA"/>
    </w:rPr>
  </w:style>
  <w:style w:type="paragraph" w:styleId="CommentSubject">
    <w:name w:val="annotation subject"/>
    <w:basedOn w:val="CommentText"/>
    <w:next w:val="CommentText"/>
    <w:link w:val="CommentSubjectChar"/>
    <w:rsid w:val="009B54E4"/>
    <w:rPr>
      <w:b/>
      <w:bCs/>
    </w:rPr>
  </w:style>
  <w:style w:type="character" w:customStyle="1" w:styleId="CommentSubjectChar">
    <w:name w:val="Comment Subject Char"/>
    <w:link w:val="CommentSubject"/>
    <w:rsid w:val="009B54E4"/>
    <w:rPr>
      <w:b/>
      <w:bCs/>
      <w:lang w:bidi="ar-SA"/>
    </w:rPr>
  </w:style>
  <w:style w:type="paragraph" w:styleId="FootnoteText">
    <w:name w:val="footnote text"/>
    <w:basedOn w:val="Normal"/>
    <w:link w:val="FootnoteTextChar"/>
    <w:uiPriority w:val="99"/>
    <w:unhideWhenUsed/>
    <w:rsid w:val="0037516E"/>
    <w:rPr>
      <w:b/>
      <w:bCs/>
      <w:lang w:eastAsia="ja-JP"/>
    </w:rPr>
  </w:style>
  <w:style w:type="character" w:customStyle="1" w:styleId="FootnoteTextChar">
    <w:name w:val="Footnote Text Char"/>
    <w:link w:val="FootnoteText"/>
    <w:uiPriority w:val="99"/>
    <w:rsid w:val="0037516E"/>
    <w:rPr>
      <w:b/>
      <w:bCs/>
      <w:sz w:val="24"/>
      <w:szCs w:val="24"/>
      <w:lang w:eastAsia="ja-JP"/>
    </w:rPr>
  </w:style>
  <w:style w:type="character" w:styleId="FootnoteReference">
    <w:name w:val="footnote reference"/>
    <w:uiPriority w:val="99"/>
    <w:unhideWhenUsed/>
    <w:rsid w:val="0037516E"/>
    <w:rPr>
      <w:vertAlign w:val="superscript"/>
    </w:rPr>
  </w:style>
  <w:style w:type="paragraph" w:styleId="Header">
    <w:name w:val="header"/>
    <w:basedOn w:val="Normal"/>
    <w:link w:val="HeaderChar"/>
    <w:rsid w:val="00B14283"/>
    <w:pPr>
      <w:tabs>
        <w:tab w:val="center" w:pos="4680"/>
        <w:tab w:val="right" w:pos="9360"/>
      </w:tabs>
    </w:pPr>
  </w:style>
  <w:style w:type="character" w:customStyle="1" w:styleId="HeaderChar">
    <w:name w:val="Header Char"/>
    <w:basedOn w:val="DefaultParagraphFont"/>
    <w:link w:val="Header"/>
    <w:rsid w:val="00B14283"/>
    <w:rPr>
      <w:sz w:val="24"/>
      <w:szCs w:val="24"/>
    </w:rPr>
  </w:style>
  <w:style w:type="paragraph" w:styleId="Revision">
    <w:name w:val="Revision"/>
    <w:hidden/>
    <w:uiPriority w:val="99"/>
    <w:semiHidden/>
    <w:rsid w:val="00B142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49E8-3728-4AE8-9E31-7ADED84A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25750</CharactersWithSpaces>
  <SharedDoc>false</SharedDoc>
  <HLinks>
    <vt:vector size="42" baseType="variant">
      <vt:variant>
        <vt:i4>4653067</vt:i4>
      </vt:variant>
      <vt:variant>
        <vt:i4>32</vt:i4>
      </vt:variant>
      <vt:variant>
        <vt:i4>0</vt:i4>
      </vt:variant>
      <vt:variant>
        <vt:i4>5</vt:i4>
      </vt:variant>
      <vt:variant>
        <vt:lpwstr/>
      </vt:variant>
      <vt:variant>
        <vt:lpwstr>_ENREF_6</vt:lpwstr>
      </vt:variant>
      <vt:variant>
        <vt:i4>4194315</vt:i4>
      </vt:variant>
      <vt:variant>
        <vt:i4>26</vt:i4>
      </vt:variant>
      <vt:variant>
        <vt:i4>0</vt:i4>
      </vt:variant>
      <vt:variant>
        <vt:i4>5</vt:i4>
      </vt:variant>
      <vt:variant>
        <vt:lpwstr/>
      </vt:variant>
      <vt:variant>
        <vt:lpwstr>_ENREF_1</vt:lpwstr>
      </vt:variant>
      <vt:variant>
        <vt:i4>4456459</vt:i4>
      </vt:variant>
      <vt:variant>
        <vt:i4>20</vt:i4>
      </vt:variant>
      <vt:variant>
        <vt:i4>0</vt:i4>
      </vt:variant>
      <vt:variant>
        <vt:i4>5</vt:i4>
      </vt:variant>
      <vt:variant>
        <vt:lpwstr/>
      </vt:variant>
      <vt:variant>
        <vt:lpwstr>_ENREF_5</vt:lpwstr>
      </vt:variant>
      <vt:variant>
        <vt:i4>4521995</vt:i4>
      </vt:variant>
      <vt:variant>
        <vt:i4>16</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5</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Garcia, Albert (CDC/OPHPR/OD)</cp:lastModifiedBy>
  <cp:revision>6</cp:revision>
  <cp:lastPrinted>2007-07-09T20:45:00Z</cp:lastPrinted>
  <dcterms:created xsi:type="dcterms:W3CDTF">2016-01-04T20:53:00Z</dcterms:created>
  <dcterms:modified xsi:type="dcterms:W3CDTF">2016-01-05T20:56:00Z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