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95" w:rsidRPr="00814901" w:rsidRDefault="007E5563" w:rsidP="0063507D">
      <w:pPr>
        <w:spacing w:after="0" w:line="240" w:lineRule="auto"/>
        <w:jc w:val="center"/>
        <w:rPr>
          <w:rFonts w:ascii="Times New Roman" w:hAnsi="Times New Roman"/>
          <w:sz w:val="24"/>
          <w:szCs w:val="24"/>
        </w:rPr>
      </w:pPr>
      <w:bookmarkStart w:id="0" w:name="_GoBack"/>
      <w:bookmarkEnd w:id="0"/>
      <w:r w:rsidRPr="00814901">
        <w:rPr>
          <w:rFonts w:ascii="Times New Roman" w:hAnsi="Times New Roman"/>
          <w:sz w:val="24"/>
          <w:szCs w:val="24"/>
        </w:rPr>
        <w:t xml:space="preserve">Guidance </w:t>
      </w:r>
      <w:r w:rsidR="00170D26" w:rsidRPr="00814901">
        <w:rPr>
          <w:rFonts w:ascii="Times New Roman" w:hAnsi="Times New Roman"/>
          <w:sz w:val="24"/>
          <w:szCs w:val="24"/>
        </w:rPr>
        <w:t xml:space="preserve">for Industry on </w:t>
      </w:r>
      <w:r w:rsidR="00E177A3" w:rsidRPr="00814901">
        <w:rPr>
          <w:rFonts w:ascii="Times New Roman" w:hAnsi="Times New Roman"/>
          <w:sz w:val="24"/>
          <w:szCs w:val="24"/>
        </w:rPr>
        <w:t>Adverse Event Reporting for</w:t>
      </w:r>
      <w:r w:rsidRPr="00814901">
        <w:rPr>
          <w:rFonts w:ascii="Times New Roman" w:hAnsi="Times New Roman"/>
          <w:sz w:val="24"/>
          <w:szCs w:val="24"/>
        </w:rPr>
        <w:t xml:space="preserve"> Outsourcing Facilities Under Section 503B of the Federal Food, Drug, and Cosmetic Act</w:t>
      </w:r>
      <w:r w:rsidR="00013295" w:rsidRPr="00814901">
        <w:rPr>
          <w:rFonts w:ascii="Times New Roman" w:hAnsi="Times New Roman"/>
          <w:sz w:val="24"/>
          <w:szCs w:val="24"/>
        </w:rPr>
        <w:t xml:space="preserve"> </w:t>
      </w:r>
    </w:p>
    <w:p w:rsidR="0063507D" w:rsidRPr="00814901" w:rsidRDefault="0063507D" w:rsidP="0063507D">
      <w:pPr>
        <w:spacing w:after="0" w:line="240" w:lineRule="auto"/>
        <w:jc w:val="center"/>
        <w:rPr>
          <w:rFonts w:ascii="Times New Roman" w:hAnsi="Times New Roman"/>
          <w:sz w:val="24"/>
          <w:szCs w:val="24"/>
        </w:rPr>
      </w:pPr>
    </w:p>
    <w:p w:rsidR="00013295" w:rsidRPr="00814901" w:rsidRDefault="007E5563" w:rsidP="007E5563">
      <w:pPr>
        <w:spacing w:after="0" w:line="480" w:lineRule="auto"/>
        <w:jc w:val="center"/>
        <w:rPr>
          <w:rFonts w:ascii="Times New Roman" w:hAnsi="Times New Roman"/>
          <w:sz w:val="24"/>
          <w:szCs w:val="24"/>
        </w:rPr>
      </w:pPr>
      <w:r w:rsidRPr="00814901">
        <w:rPr>
          <w:rFonts w:ascii="Times New Roman" w:hAnsi="Times New Roman"/>
          <w:sz w:val="24"/>
          <w:szCs w:val="24"/>
        </w:rPr>
        <w:t>0910-[NEW]</w:t>
      </w:r>
    </w:p>
    <w:p w:rsidR="00013295" w:rsidRPr="00814901" w:rsidRDefault="00F33599" w:rsidP="007E5563">
      <w:pPr>
        <w:spacing w:after="0" w:line="480" w:lineRule="auto"/>
        <w:jc w:val="center"/>
        <w:rPr>
          <w:rFonts w:ascii="Times New Roman" w:hAnsi="Times New Roman"/>
          <w:sz w:val="24"/>
          <w:szCs w:val="24"/>
        </w:rPr>
      </w:pPr>
      <w:r w:rsidRPr="00814901">
        <w:rPr>
          <w:rFonts w:ascii="Times New Roman" w:hAnsi="Times New Roman"/>
          <w:sz w:val="24"/>
          <w:szCs w:val="24"/>
        </w:rPr>
        <w:t>SUPPORTING STATEMENT</w:t>
      </w:r>
    </w:p>
    <w:p w:rsidR="00013295" w:rsidRPr="00814901" w:rsidRDefault="00013295" w:rsidP="007E5563">
      <w:pPr>
        <w:spacing w:after="0" w:line="480" w:lineRule="auto"/>
        <w:rPr>
          <w:rFonts w:ascii="Times New Roman" w:hAnsi="Times New Roman"/>
          <w:sz w:val="24"/>
          <w:szCs w:val="24"/>
        </w:rPr>
      </w:pPr>
      <w:r w:rsidRPr="00751193">
        <w:rPr>
          <w:rFonts w:ascii="Times New Roman" w:hAnsi="Times New Roman"/>
          <w:b/>
          <w:sz w:val="24"/>
          <w:szCs w:val="24"/>
        </w:rPr>
        <w:t>Terms of Clearance</w:t>
      </w:r>
      <w:r w:rsidR="00F33599">
        <w:rPr>
          <w:rFonts w:ascii="Times New Roman" w:hAnsi="Times New Roman"/>
          <w:b/>
          <w:sz w:val="24"/>
          <w:szCs w:val="24"/>
        </w:rPr>
        <w:t>:</w:t>
      </w:r>
      <w:r w:rsidRPr="00814901">
        <w:rPr>
          <w:rFonts w:ascii="Times New Roman" w:hAnsi="Times New Roman"/>
          <w:sz w:val="24"/>
          <w:szCs w:val="24"/>
        </w:rPr>
        <w:t xml:space="preserve">  None</w:t>
      </w:r>
      <w:r w:rsidR="00F33599">
        <w:rPr>
          <w:rFonts w:ascii="Times New Roman" w:hAnsi="Times New Roman"/>
          <w:sz w:val="24"/>
          <w:szCs w:val="24"/>
        </w:rPr>
        <w:t>.</w:t>
      </w:r>
    </w:p>
    <w:p w:rsidR="00F56ED2" w:rsidRPr="00814901" w:rsidRDefault="00F56ED2" w:rsidP="007E5563">
      <w:pPr>
        <w:spacing w:after="0" w:line="480" w:lineRule="auto"/>
        <w:rPr>
          <w:rFonts w:ascii="Times New Roman" w:hAnsi="Times New Roman"/>
          <w:sz w:val="24"/>
          <w:szCs w:val="24"/>
        </w:rPr>
      </w:pPr>
    </w:p>
    <w:p w:rsidR="00013295" w:rsidRPr="00814901" w:rsidRDefault="00013295" w:rsidP="007E5563">
      <w:pPr>
        <w:spacing w:after="0" w:line="480" w:lineRule="auto"/>
        <w:rPr>
          <w:rFonts w:ascii="Times New Roman" w:hAnsi="Times New Roman"/>
          <w:sz w:val="24"/>
          <w:szCs w:val="24"/>
        </w:rPr>
      </w:pPr>
      <w:r w:rsidRPr="00814901">
        <w:rPr>
          <w:rFonts w:ascii="Times New Roman" w:hAnsi="Times New Roman"/>
          <w:sz w:val="24"/>
          <w:szCs w:val="24"/>
        </w:rPr>
        <w:t xml:space="preserve">A.  </w:t>
      </w:r>
      <w:r w:rsidRPr="00814901">
        <w:rPr>
          <w:rFonts w:ascii="Times New Roman" w:hAnsi="Times New Roman"/>
          <w:b/>
          <w:sz w:val="24"/>
          <w:szCs w:val="24"/>
        </w:rPr>
        <w:t>Justification</w:t>
      </w:r>
      <w:r w:rsidRPr="00814901">
        <w:rPr>
          <w:rFonts w:ascii="Times New Roman" w:hAnsi="Times New Roman"/>
          <w:sz w:val="24"/>
          <w:szCs w:val="24"/>
        </w:rPr>
        <w:t xml:space="preserve"> </w:t>
      </w:r>
    </w:p>
    <w:p w:rsidR="00013295" w:rsidRPr="00814901" w:rsidRDefault="00013295" w:rsidP="007E5563">
      <w:pPr>
        <w:spacing w:after="0" w:line="480" w:lineRule="auto"/>
        <w:rPr>
          <w:rFonts w:ascii="Times New Roman" w:hAnsi="Times New Roman"/>
          <w:sz w:val="24"/>
          <w:szCs w:val="24"/>
        </w:rPr>
      </w:pPr>
      <w:r w:rsidRPr="00814901">
        <w:rPr>
          <w:rFonts w:ascii="Times New Roman" w:hAnsi="Times New Roman"/>
          <w:sz w:val="24"/>
          <w:szCs w:val="24"/>
        </w:rPr>
        <w:t xml:space="preserve">1.    </w:t>
      </w:r>
      <w:r w:rsidRPr="00814901">
        <w:rPr>
          <w:rFonts w:ascii="Times New Roman" w:hAnsi="Times New Roman"/>
          <w:sz w:val="24"/>
          <w:szCs w:val="24"/>
          <w:u w:val="single"/>
        </w:rPr>
        <w:t>Circumstances Making the Collection of Information Necessary</w:t>
      </w:r>
    </w:p>
    <w:p w:rsidR="002720CA" w:rsidRPr="00814901" w:rsidRDefault="002720CA" w:rsidP="002720CA">
      <w:pPr>
        <w:pStyle w:val="Default"/>
        <w:spacing w:line="480" w:lineRule="auto"/>
        <w:ind w:firstLine="720"/>
      </w:pPr>
      <w:r w:rsidRPr="00814901">
        <w:t xml:space="preserve">On November 27, 2013, President Obama signed the </w:t>
      </w:r>
      <w:r w:rsidR="00F33599">
        <w:t>Drug Quality and Security Act (</w:t>
      </w:r>
      <w:r w:rsidRPr="00814901">
        <w:t>DQSA</w:t>
      </w:r>
      <w:r w:rsidR="00F33599">
        <w:t>)</w:t>
      </w:r>
      <w:r w:rsidRPr="00814901">
        <w:t xml:space="preserve"> into law (Pub. L. 113-54). The DQSA added a new section 503B to the FD&amp;C Act (21 U.S.C. 353b). Under section 503B(b), a compounder can register as a</w:t>
      </w:r>
      <w:r w:rsidR="00CC52E9" w:rsidRPr="00814901">
        <w:t>n outsourcing facility with FDA</w:t>
      </w:r>
      <w:r w:rsidRPr="00814901">
        <w:t>. If the conditions outlined in section 503B(a) of the FD&amp;C Act are satisfied, a drug compounded by or under the direct supervision of a licensed pharmacist in an outsourcing facility is exempt from certain sections of the FD&amp;C Act, including section 502(f)(1) (21 U.S.C. 352(f)(1)) (concerning the labeling of drugs with adequate directions for use) and section 505 (21 U.S.C. 355) (concerning the approval of human drug products under new drug applications (NDAs) or abbreviated new drug applications (ANDAs)). Drugs compounded in outsourcing facilities are not exempt from the requirements of section 501(a)(2)(B) of the FD&amp;C Act (21 U.S.C. 351(a)(2)(B)) (concerning current good manufacturing practice for drugs).</w:t>
      </w:r>
    </w:p>
    <w:p w:rsidR="002720CA" w:rsidRPr="00814901" w:rsidRDefault="002720CA" w:rsidP="002720CA">
      <w:pPr>
        <w:pStyle w:val="Default"/>
        <w:spacing w:line="480" w:lineRule="auto"/>
        <w:ind w:firstLine="720"/>
      </w:pPr>
      <w:r w:rsidRPr="00814901">
        <w:t xml:space="preserve">Under section 503B(b)(5), an outsourcing facility must submit adverse event reports to FDA in accordance with the content and format requirements established through guidance or regulation under section 310.305 of title 21, Code of Federal Regulations (or any successor </w:t>
      </w:r>
      <w:r w:rsidRPr="00814901">
        <w:lastRenderedPageBreak/>
        <w:t xml:space="preserve">regulations). This guidance explains </w:t>
      </w:r>
      <w:r w:rsidR="009A3D33" w:rsidRPr="00814901">
        <w:t xml:space="preserve">electronic reporting of adverse events in accordance with </w:t>
      </w:r>
      <w:r w:rsidR="00FE0705" w:rsidRPr="00814901">
        <w:t>21 CFR</w:t>
      </w:r>
      <w:r w:rsidRPr="00814901">
        <w:t xml:space="preserve"> 310.305 with respect to outsourcing facilities.</w:t>
      </w:r>
    </w:p>
    <w:p w:rsidR="002720CA" w:rsidRPr="00814901" w:rsidRDefault="002720CA" w:rsidP="008145B6">
      <w:pPr>
        <w:pStyle w:val="Default"/>
        <w:spacing w:line="480" w:lineRule="auto"/>
        <w:ind w:firstLine="720"/>
      </w:pPr>
      <w:r w:rsidRPr="00814901">
        <w:t xml:space="preserve">Under the </w:t>
      </w:r>
      <w:r w:rsidR="001B44DA" w:rsidRPr="00814901">
        <w:t>310.305(c)(1)</w:t>
      </w:r>
      <w:r w:rsidRPr="00814901">
        <w:t>,</w:t>
      </w:r>
      <w:r w:rsidR="001B44DA" w:rsidRPr="00814901">
        <w:t xml:space="preserve"> manufacturers, packers, and distributors of marketed prescription drug products that are not the subject of an approved new drug or abbreviated new drug application, including, as set forth in the guidance,</w:t>
      </w:r>
      <w:r w:rsidRPr="00814901">
        <w:t xml:space="preserve"> outsourcing facilities must submit to FDA adverse event reports within 15 calendar days of receiving the information and must submit follow-up report</w:t>
      </w:r>
      <w:r w:rsidR="008145B6" w:rsidRPr="00814901">
        <w:t>s</w:t>
      </w:r>
      <w:r w:rsidRPr="00814901">
        <w:t xml:space="preserve"> within 15 calendar days of receipt of new information about the adverse event, or as requested by FDA. Outsourcing facilities must submit the adverse event report </w:t>
      </w:r>
      <w:r w:rsidR="008145B6" w:rsidRPr="00814901">
        <w:t>in an electronic format that FDA can process, review, and archive</w:t>
      </w:r>
      <w:r w:rsidR="006B77D6" w:rsidRPr="00814901">
        <w:t xml:space="preserve"> (collection of information is approved by OMB control number 0910-0291)</w:t>
      </w:r>
      <w:r w:rsidRPr="00814901">
        <w:t xml:space="preserve">. A copy of the current labeling of the compounded drug product must be </w:t>
      </w:r>
      <w:r w:rsidR="00C0790E" w:rsidRPr="00814901">
        <w:t>provided</w:t>
      </w:r>
      <w:r w:rsidRPr="00814901">
        <w:t xml:space="preserve">. </w:t>
      </w:r>
    </w:p>
    <w:p w:rsidR="002720CA" w:rsidRPr="00814901" w:rsidRDefault="002720CA" w:rsidP="002720CA">
      <w:pPr>
        <w:pStyle w:val="Default"/>
        <w:spacing w:line="480" w:lineRule="auto"/>
        <w:ind w:firstLine="720"/>
      </w:pPr>
      <w:r w:rsidRPr="00814901">
        <w:t>Under § 310.305</w:t>
      </w:r>
      <w:r w:rsidR="00C0790E" w:rsidRPr="00814901">
        <w:t>(f)</w:t>
      </w:r>
      <w:r w:rsidRPr="00814901">
        <w:t>, entities subject to the regulation must maintain for 10 years the records of all adverse events required</w:t>
      </w:r>
      <w:r w:rsidR="008D650B" w:rsidRPr="00814901">
        <w:t xml:space="preserve"> to be reported under § 310.305</w:t>
      </w:r>
      <w:r w:rsidRPr="00814901">
        <w:t>. The outsourcing facility should also maintain records of its efforts to obtain the data elements described in the draft guidance for each adverse event report.</w:t>
      </w:r>
    </w:p>
    <w:p w:rsidR="00EE19C9" w:rsidRPr="00814901" w:rsidRDefault="00EE19C9" w:rsidP="007E5563">
      <w:pPr>
        <w:pStyle w:val="Default"/>
        <w:spacing w:line="480" w:lineRule="auto"/>
      </w:pPr>
    </w:p>
    <w:p w:rsidR="00013295" w:rsidRPr="00814901" w:rsidRDefault="00013295" w:rsidP="005B14AA">
      <w:pPr>
        <w:tabs>
          <w:tab w:val="left" w:pos="-720"/>
          <w:tab w:val="left" w:pos="0"/>
          <w:tab w:val="left" w:pos="378"/>
          <w:tab w:val="left" w:pos="1440"/>
        </w:tabs>
        <w:spacing w:after="0" w:line="480" w:lineRule="auto"/>
        <w:ind w:hanging="374"/>
        <w:rPr>
          <w:rFonts w:ascii="Times New Roman" w:hAnsi="Times New Roman"/>
          <w:sz w:val="24"/>
          <w:szCs w:val="24"/>
        </w:rPr>
      </w:pPr>
      <w:r w:rsidRPr="00814901">
        <w:rPr>
          <w:rFonts w:ascii="Times New Roman" w:hAnsi="Times New Roman"/>
          <w:sz w:val="24"/>
          <w:szCs w:val="24"/>
        </w:rPr>
        <w:t>2.</w:t>
      </w:r>
      <w:r w:rsidRPr="00814901">
        <w:rPr>
          <w:rFonts w:ascii="Times New Roman" w:hAnsi="Times New Roman"/>
          <w:sz w:val="24"/>
          <w:szCs w:val="24"/>
        </w:rPr>
        <w:tab/>
      </w:r>
      <w:r w:rsidRPr="00814901">
        <w:rPr>
          <w:rFonts w:ascii="Times New Roman" w:hAnsi="Times New Roman"/>
          <w:sz w:val="24"/>
          <w:szCs w:val="24"/>
          <w:u w:val="single"/>
        </w:rPr>
        <w:t>Purpose and Use of the Information Collection</w:t>
      </w:r>
    </w:p>
    <w:p w:rsidR="005B14AA" w:rsidRPr="00814901" w:rsidRDefault="00013295" w:rsidP="00A37821">
      <w:pPr>
        <w:spacing w:after="0" w:line="480" w:lineRule="auto"/>
        <w:rPr>
          <w:rFonts w:ascii="Times New Roman" w:eastAsia="Times New Roman" w:hAnsi="Times New Roman"/>
          <w:sz w:val="24"/>
          <w:szCs w:val="24"/>
        </w:rPr>
      </w:pPr>
      <w:r w:rsidRPr="00814901">
        <w:rPr>
          <w:rFonts w:ascii="Times New Roman" w:hAnsi="Times New Roman"/>
          <w:sz w:val="24"/>
          <w:szCs w:val="24"/>
        </w:rPr>
        <w:tab/>
      </w:r>
      <w:r w:rsidR="005B14AA" w:rsidRPr="00814901">
        <w:rPr>
          <w:rFonts w:ascii="Times New Roman" w:eastAsia="Times New Roman" w:hAnsi="Times New Roman"/>
          <w:sz w:val="24"/>
          <w:szCs w:val="24"/>
        </w:rPr>
        <w:t>The guidance implements provisions added to the FD&amp;C Act in the DQSA</w:t>
      </w:r>
      <w:r w:rsidR="0063507D" w:rsidRPr="00814901">
        <w:rPr>
          <w:rFonts w:ascii="Times New Roman" w:eastAsia="Times New Roman" w:hAnsi="Times New Roman"/>
          <w:sz w:val="24"/>
          <w:szCs w:val="24"/>
        </w:rPr>
        <w:t xml:space="preserve"> in which </w:t>
      </w:r>
      <w:r w:rsidR="005B14AA" w:rsidRPr="00814901">
        <w:rPr>
          <w:rFonts w:ascii="Times New Roman" w:eastAsia="Times New Roman" w:hAnsi="Times New Roman"/>
          <w:sz w:val="24"/>
          <w:szCs w:val="24"/>
        </w:rPr>
        <w:t xml:space="preserve">Congress created a statutory category of “outsourcing facilities” that compound human drugs.  </w:t>
      </w:r>
      <w:r w:rsidR="008D0924" w:rsidRPr="00814901">
        <w:rPr>
          <w:rFonts w:ascii="Times New Roman" w:eastAsia="Times New Roman" w:hAnsi="Times New Roman"/>
          <w:sz w:val="24"/>
          <w:szCs w:val="24"/>
        </w:rPr>
        <w:t>S</w:t>
      </w:r>
      <w:r w:rsidR="005B14AA" w:rsidRPr="00814901">
        <w:rPr>
          <w:rFonts w:ascii="Times New Roman" w:eastAsia="Times New Roman" w:hAnsi="Times New Roman"/>
          <w:sz w:val="24"/>
          <w:szCs w:val="24"/>
        </w:rPr>
        <w:t xml:space="preserve">ection 503B of the FD&amp;C Act </w:t>
      </w:r>
      <w:r w:rsidR="008D0924" w:rsidRPr="00814901">
        <w:rPr>
          <w:rFonts w:ascii="Times New Roman" w:eastAsia="Times New Roman" w:hAnsi="Times New Roman"/>
          <w:sz w:val="24"/>
          <w:szCs w:val="24"/>
        </w:rPr>
        <w:t xml:space="preserve">requires </w:t>
      </w:r>
      <w:r w:rsidR="005B14AA" w:rsidRPr="00814901">
        <w:rPr>
          <w:rFonts w:ascii="Times New Roman" w:eastAsia="Times New Roman" w:hAnsi="Times New Roman"/>
          <w:sz w:val="24"/>
          <w:szCs w:val="24"/>
        </w:rPr>
        <w:t xml:space="preserve">compounders </w:t>
      </w:r>
      <w:r w:rsidR="008D0924" w:rsidRPr="00814901">
        <w:rPr>
          <w:rFonts w:ascii="Times New Roman" w:eastAsia="Times New Roman" w:hAnsi="Times New Roman"/>
          <w:sz w:val="24"/>
          <w:szCs w:val="24"/>
        </w:rPr>
        <w:t xml:space="preserve">that </w:t>
      </w:r>
      <w:r w:rsidR="005B14AA" w:rsidRPr="00814901">
        <w:rPr>
          <w:rFonts w:ascii="Times New Roman" w:eastAsia="Times New Roman" w:hAnsi="Times New Roman"/>
          <w:sz w:val="24"/>
          <w:szCs w:val="24"/>
        </w:rPr>
        <w:t>register with FDA as outsourcing facilities</w:t>
      </w:r>
      <w:r w:rsidR="008D0924" w:rsidRPr="00814901">
        <w:rPr>
          <w:rFonts w:ascii="Times New Roman" w:eastAsia="Times New Roman" w:hAnsi="Times New Roman"/>
          <w:sz w:val="24"/>
          <w:szCs w:val="24"/>
        </w:rPr>
        <w:t xml:space="preserve"> to report adverse events</w:t>
      </w:r>
      <w:r w:rsidR="00217B1A" w:rsidRPr="00814901">
        <w:rPr>
          <w:rFonts w:ascii="Times New Roman" w:eastAsia="Times New Roman" w:hAnsi="Times New Roman"/>
          <w:sz w:val="24"/>
          <w:szCs w:val="24"/>
        </w:rPr>
        <w:t>, and this</w:t>
      </w:r>
      <w:r w:rsidR="005B14AA" w:rsidRPr="00814901">
        <w:rPr>
          <w:rFonts w:ascii="Times New Roman" w:eastAsia="Times New Roman" w:hAnsi="Times New Roman"/>
          <w:sz w:val="24"/>
          <w:szCs w:val="24"/>
        </w:rPr>
        <w:t xml:space="preserve"> guidance </w:t>
      </w:r>
      <w:r w:rsidR="008D0924" w:rsidRPr="00814901">
        <w:rPr>
          <w:rFonts w:ascii="Times New Roman" w:eastAsia="Times New Roman" w:hAnsi="Times New Roman"/>
          <w:sz w:val="24"/>
          <w:szCs w:val="24"/>
        </w:rPr>
        <w:t xml:space="preserve">describes adverse event reporting for </w:t>
      </w:r>
      <w:r w:rsidR="005B14AA" w:rsidRPr="00814901">
        <w:rPr>
          <w:rFonts w:ascii="Times New Roman" w:eastAsia="Times New Roman" w:hAnsi="Times New Roman"/>
          <w:sz w:val="24"/>
          <w:szCs w:val="24"/>
        </w:rPr>
        <w:t>outsourcing facilities.</w:t>
      </w:r>
    </w:p>
    <w:p w:rsidR="00013295" w:rsidRPr="00814901" w:rsidRDefault="00013295" w:rsidP="00A37821">
      <w:pPr>
        <w:tabs>
          <w:tab w:val="left" w:pos="-720"/>
          <w:tab w:val="left" w:pos="0"/>
          <w:tab w:val="left" w:pos="378"/>
          <w:tab w:val="left" w:pos="1440"/>
        </w:tabs>
        <w:spacing w:after="0" w:line="480" w:lineRule="auto"/>
        <w:rPr>
          <w:rFonts w:ascii="Times New Roman" w:hAnsi="Times New Roman"/>
          <w:sz w:val="24"/>
          <w:szCs w:val="24"/>
        </w:rPr>
      </w:pPr>
    </w:p>
    <w:p w:rsidR="00013295" w:rsidRPr="00814901" w:rsidRDefault="00013295" w:rsidP="00A37821">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lastRenderedPageBreak/>
        <w:t>3.</w:t>
      </w:r>
      <w:r w:rsidRPr="00814901">
        <w:rPr>
          <w:rFonts w:ascii="Times New Roman" w:hAnsi="Times New Roman"/>
          <w:sz w:val="24"/>
          <w:szCs w:val="24"/>
        </w:rPr>
        <w:tab/>
      </w:r>
      <w:r w:rsidRPr="00814901">
        <w:rPr>
          <w:rFonts w:ascii="Times New Roman" w:hAnsi="Times New Roman"/>
          <w:sz w:val="24"/>
          <w:szCs w:val="24"/>
          <w:u w:val="single"/>
        </w:rPr>
        <w:t>Use of Improved Information Technology and Burden Reduction</w:t>
      </w:r>
    </w:p>
    <w:p w:rsidR="00A37821" w:rsidRPr="00814901" w:rsidRDefault="00EB3D14" w:rsidP="000F5220">
      <w:pPr>
        <w:autoSpaceDE w:val="0"/>
        <w:autoSpaceDN w:val="0"/>
        <w:adjustRightInd w:val="0"/>
        <w:spacing w:after="0" w:line="480" w:lineRule="auto"/>
        <w:ind w:firstLine="720"/>
        <w:rPr>
          <w:rFonts w:ascii="Times New Roman" w:eastAsia="Times New Roman" w:hAnsi="Times New Roman"/>
          <w:sz w:val="24"/>
          <w:szCs w:val="24"/>
        </w:rPr>
      </w:pPr>
      <w:r w:rsidRPr="00814901">
        <w:rPr>
          <w:rFonts w:ascii="Times New Roman" w:eastAsia="Times New Roman" w:hAnsi="Times New Roman"/>
          <w:sz w:val="24"/>
          <w:szCs w:val="24"/>
        </w:rPr>
        <w:t>FDA published in the Federal Register of June 10, 2014 (79 FR 33072), a final rule requiring electronic submission of ce</w:t>
      </w:r>
      <w:r w:rsidR="00CC52E9" w:rsidRPr="00814901">
        <w:rPr>
          <w:rFonts w:ascii="Times New Roman" w:eastAsia="Times New Roman" w:hAnsi="Times New Roman"/>
          <w:sz w:val="24"/>
          <w:szCs w:val="24"/>
        </w:rPr>
        <w:t xml:space="preserve">rtain postmarketing submissions.  </w:t>
      </w:r>
      <w:r w:rsidRPr="00814901">
        <w:rPr>
          <w:rFonts w:ascii="Times New Roman" w:eastAsia="Times New Roman" w:hAnsi="Times New Roman"/>
          <w:sz w:val="24"/>
          <w:szCs w:val="24"/>
        </w:rPr>
        <w:t xml:space="preserve">Under the final rule, </w:t>
      </w:r>
      <w:r w:rsidR="00523C99" w:rsidRPr="00814901">
        <w:rPr>
          <w:rFonts w:ascii="Times New Roman" w:eastAsia="Times New Roman" w:hAnsi="Times New Roman"/>
          <w:sz w:val="24"/>
          <w:szCs w:val="24"/>
        </w:rPr>
        <w:t xml:space="preserve">which went into effect on June 10, 2015, </w:t>
      </w:r>
      <w:r w:rsidRPr="00814901">
        <w:rPr>
          <w:rFonts w:ascii="Times New Roman" w:eastAsia="Times New Roman" w:hAnsi="Times New Roman"/>
          <w:sz w:val="24"/>
          <w:szCs w:val="24"/>
        </w:rPr>
        <w:t xml:space="preserve">persons subject to mandatory postmarketing reporting requirements (including reporting requirements under 21 CFR </w:t>
      </w:r>
      <w:r w:rsidR="00523C99" w:rsidRPr="00814901">
        <w:rPr>
          <w:rFonts w:ascii="Times New Roman" w:eastAsia="Times New Roman" w:hAnsi="Times New Roman"/>
          <w:sz w:val="24"/>
          <w:szCs w:val="24"/>
        </w:rPr>
        <w:t>310</w:t>
      </w:r>
      <w:r w:rsidRPr="00814901">
        <w:rPr>
          <w:rFonts w:ascii="Times New Roman" w:eastAsia="Times New Roman" w:hAnsi="Times New Roman"/>
          <w:sz w:val="24"/>
          <w:szCs w:val="24"/>
        </w:rPr>
        <w:t xml:space="preserve">.305) are required to submit postmarketing safety reports to FDA in an electronic format that the Agency can process, review, and archive. </w:t>
      </w:r>
      <w:r w:rsidR="001A04BF" w:rsidRPr="00814901">
        <w:rPr>
          <w:rFonts w:ascii="Times New Roman" w:eastAsia="Times New Roman" w:hAnsi="Times New Roman"/>
          <w:sz w:val="24"/>
          <w:szCs w:val="24"/>
        </w:rPr>
        <w:t xml:space="preserve"> </w:t>
      </w:r>
      <w:r w:rsidRPr="00814901">
        <w:rPr>
          <w:rFonts w:ascii="Times New Roman" w:eastAsia="Times New Roman" w:hAnsi="Times New Roman"/>
          <w:sz w:val="24"/>
          <w:szCs w:val="24"/>
        </w:rPr>
        <w:t xml:space="preserve"> </w:t>
      </w:r>
    </w:p>
    <w:p w:rsidR="00CC52E9" w:rsidRPr="00814901" w:rsidRDefault="00CC52E9" w:rsidP="000F5220">
      <w:pPr>
        <w:autoSpaceDE w:val="0"/>
        <w:autoSpaceDN w:val="0"/>
        <w:adjustRightInd w:val="0"/>
        <w:spacing w:after="0" w:line="480" w:lineRule="auto"/>
        <w:ind w:firstLine="720"/>
        <w:rPr>
          <w:rFonts w:ascii="Times New Roman" w:eastAsia="Times New Roman" w:hAnsi="Times New Roman"/>
          <w:sz w:val="24"/>
          <w:szCs w:val="24"/>
        </w:rPr>
      </w:pPr>
    </w:p>
    <w:p w:rsidR="00013295" w:rsidRPr="00814901" w:rsidRDefault="00013295" w:rsidP="007E5563">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4.</w:t>
      </w:r>
      <w:r w:rsidRPr="00814901">
        <w:rPr>
          <w:rFonts w:ascii="Times New Roman" w:hAnsi="Times New Roman"/>
          <w:sz w:val="24"/>
          <w:szCs w:val="24"/>
        </w:rPr>
        <w:tab/>
      </w:r>
      <w:r w:rsidRPr="00814901">
        <w:rPr>
          <w:rFonts w:ascii="Times New Roman" w:hAnsi="Times New Roman"/>
          <w:sz w:val="24"/>
          <w:szCs w:val="24"/>
          <w:u w:val="single"/>
        </w:rPr>
        <w:t>Efforts to Identify Duplication and Use of Similar Information</w:t>
      </w:r>
    </w:p>
    <w:p w:rsidR="00013295" w:rsidRPr="00814901" w:rsidRDefault="00013295" w:rsidP="007E5563">
      <w:pPr>
        <w:autoSpaceDE w:val="0"/>
        <w:autoSpaceDN w:val="0"/>
        <w:adjustRightInd w:val="0"/>
        <w:spacing w:after="0" w:line="480" w:lineRule="auto"/>
        <w:ind w:firstLine="720"/>
        <w:rPr>
          <w:rFonts w:ascii="Times New Roman" w:hAnsi="Times New Roman"/>
          <w:sz w:val="24"/>
          <w:szCs w:val="24"/>
        </w:rPr>
      </w:pPr>
      <w:r w:rsidRPr="00814901">
        <w:rPr>
          <w:rFonts w:ascii="Times New Roman" w:hAnsi="Times New Roman"/>
          <w:sz w:val="24"/>
          <w:szCs w:val="24"/>
        </w:rPr>
        <w:t>The requirements do not duplicate nor are they simi</w:t>
      </w:r>
      <w:r w:rsidR="00A37821" w:rsidRPr="00814901">
        <w:rPr>
          <w:rFonts w:ascii="Times New Roman" w:hAnsi="Times New Roman"/>
          <w:sz w:val="24"/>
          <w:szCs w:val="24"/>
        </w:rPr>
        <w:t>lar to any current requirements for outsourcing facilities.</w:t>
      </w:r>
    </w:p>
    <w:p w:rsidR="00013295" w:rsidRPr="00814901" w:rsidRDefault="00013295" w:rsidP="007E5563">
      <w:pPr>
        <w:tabs>
          <w:tab w:val="left" w:pos="-720"/>
          <w:tab w:val="left" w:pos="0"/>
          <w:tab w:val="left" w:pos="378"/>
          <w:tab w:val="left" w:pos="1440"/>
        </w:tabs>
        <w:spacing w:after="0" w:line="480" w:lineRule="auto"/>
        <w:ind w:hanging="378"/>
        <w:rPr>
          <w:rFonts w:ascii="Times New Roman" w:hAnsi="Times New Roman"/>
          <w:sz w:val="24"/>
          <w:szCs w:val="24"/>
        </w:rPr>
      </w:pPr>
    </w:p>
    <w:p w:rsidR="00013295" w:rsidRPr="00814901" w:rsidRDefault="00013295" w:rsidP="00E44DB4">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5.</w:t>
      </w:r>
      <w:r w:rsidRPr="00814901">
        <w:rPr>
          <w:rFonts w:ascii="Times New Roman" w:hAnsi="Times New Roman"/>
          <w:sz w:val="24"/>
          <w:szCs w:val="24"/>
        </w:rPr>
        <w:tab/>
      </w:r>
      <w:r w:rsidRPr="00814901">
        <w:rPr>
          <w:rFonts w:ascii="Times New Roman" w:hAnsi="Times New Roman"/>
          <w:sz w:val="24"/>
          <w:szCs w:val="24"/>
          <w:u w:val="single"/>
        </w:rPr>
        <w:t xml:space="preserve">Impact on Small Businesses or Other Small Entities </w:t>
      </w:r>
    </w:p>
    <w:p w:rsidR="00E44DB4" w:rsidRPr="00814901" w:rsidRDefault="007A6A57" w:rsidP="00E44DB4">
      <w:pPr>
        <w:spacing w:after="0" w:line="480" w:lineRule="auto"/>
        <w:ind w:firstLine="720"/>
        <w:rPr>
          <w:rFonts w:ascii="Times New Roman" w:hAnsi="Times New Roman"/>
          <w:sz w:val="24"/>
          <w:szCs w:val="24"/>
        </w:rPr>
      </w:pPr>
      <w:r w:rsidRPr="00814901">
        <w:rPr>
          <w:rFonts w:ascii="Times New Roman" w:hAnsi="Times New Roman"/>
          <w:sz w:val="24"/>
          <w:szCs w:val="24"/>
        </w:rPr>
        <w:t xml:space="preserve">Economic Staff of </w:t>
      </w:r>
      <w:r w:rsidR="001B67BD" w:rsidRPr="00814901">
        <w:rPr>
          <w:rFonts w:ascii="Times New Roman" w:hAnsi="Times New Roman"/>
          <w:sz w:val="24"/>
          <w:szCs w:val="24"/>
        </w:rPr>
        <w:t>FDA</w:t>
      </w:r>
      <w:r w:rsidRPr="00814901">
        <w:rPr>
          <w:rFonts w:ascii="Times New Roman" w:hAnsi="Times New Roman"/>
          <w:sz w:val="24"/>
          <w:szCs w:val="24"/>
        </w:rPr>
        <w:t>’s</w:t>
      </w:r>
      <w:r w:rsidR="001B67BD" w:rsidRPr="00814901">
        <w:rPr>
          <w:rFonts w:ascii="Times New Roman" w:hAnsi="Times New Roman"/>
          <w:sz w:val="24"/>
          <w:szCs w:val="24"/>
        </w:rPr>
        <w:t xml:space="preserve"> </w:t>
      </w:r>
      <w:r w:rsidRPr="00814901">
        <w:rPr>
          <w:rFonts w:ascii="Times New Roman" w:hAnsi="Times New Roman"/>
          <w:sz w:val="24"/>
          <w:szCs w:val="24"/>
        </w:rPr>
        <w:t>Office of Policy, Planning, Legislation, and Analysis (</w:t>
      </w:r>
      <w:r w:rsidR="009A5899" w:rsidRPr="00814901">
        <w:rPr>
          <w:rFonts w:ascii="Times New Roman" w:hAnsi="Times New Roman"/>
          <w:sz w:val="24"/>
          <w:szCs w:val="24"/>
        </w:rPr>
        <w:t>OPL</w:t>
      </w:r>
      <w:r w:rsidRPr="00814901">
        <w:rPr>
          <w:rFonts w:ascii="Times New Roman" w:hAnsi="Times New Roman"/>
          <w:sz w:val="24"/>
          <w:szCs w:val="24"/>
        </w:rPr>
        <w:t>A)</w:t>
      </w:r>
      <w:r w:rsidR="009A5899" w:rsidRPr="00814901">
        <w:rPr>
          <w:rFonts w:ascii="Times New Roman" w:hAnsi="Times New Roman"/>
          <w:sz w:val="24"/>
          <w:szCs w:val="24"/>
        </w:rPr>
        <w:t xml:space="preserve"> </w:t>
      </w:r>
      <w:r w:rsidR="001B67BD" w:rsidRPr="00814901">
        <w:rPr>
          <w:rFonts w:ascii="Times New Roman" w:hAnsi="Times New Roman"/>
          <w:sz w:val="24"/>
          <w:szCs w:val="24"/>
        </w:rPr>
        <w:t xml:space="preserve">estimates that approximately </w:t>
      </w:r>
      <w:r w:rsidR="00792923" w:rsidRPr="00814901">
        <w:rPr>
          <w:rFonts w:ascii="Times New Roman" w:hAnsi="Times New Roman"/>
          <w:sz w:val="24"/>
          <w:szCs w:val="24"/>
        </w:rPr>
        <w:t>15</w:t>
      </w:r>
      <w:r w:rsidR="001B67BD" w:rsidRPr="00814901">
        <w:rPr>
          <w:rFonts w:ascii="Times New Roman" w:hAnsi="Times New Roman"/>
          <w:sz w:val="24"/>
          <w:szCs w:val="24"/>
        </w:rPr>
        <w:t>% of outsourcing facilities would be considered small businesses.</w:t>
      </w:r>
      <w:r w:rsidR="00E44DB4" w:rsidRPr="00814901">
        <w:rPr>
          <w:rFonts w:ascii="Times New Roman" w:hAnsi="Times New Roman"/>
          <w:sz w:val="24"/>
          <w:szCs w:val="24"/>
        </w:rPr>
        <w:t xml:space="preserve">  The information being requested in the final guidance, </w:t>
      </w:r>
      <w:r w:rsidR="00CC52E9" w:rsidRPr="00814901">
        <w:rPr>
          <w:rFonts w:ascii="Times New Roman" w:hAnsi="Times New Roman"/>
          <w:sz w:val="24"/>
          <w:szCs w:val="24"/>
        </w:rPr>
        <w:t xml:space="preserve">Adverse Event Reporting for Outsourcing Facilities </w:t>
      </w:r>
      <w:r w:rsidR="00E44DB4" w:rsidRPr="00814901">
        <w:rPr>
          <w:rFonts w:ascii="Times New Roman" w:hAnsi="Times New Roman"/>
          <w:sz w:val="24"/>
          <w:szCs w:val="24"/>
        </w:rPr>
        <w:t xml:space="preserve">Under Section 503B of the </w:t>
      </w:r>
      <w:r w:rsidR="00CC52E9" w:rsidRPr="00814901">
        <w:rPr>
          <w:rFonts w:ascii="Times New Roman" w:hAnsi="Times New Roman"/>
          <w:sz w:val="24"/>
          <w:szCs w:val="24"/>
        </w:rPr>
        <w:t xml:space="preserve">Federal Food, Drug, and Cosmetic </w:t>
      </w:r>
      <w:r w:rsidR="00E44DB4" w:rsidRPr="00814901">
        <w:rPr>
          <w:rFonts w:ascii="Times New Roman" w:hAnsi="Times New Roman"/>
          <w:sz w:val="24"/>
          <w:szCs w:val="24"/>
        </w:rPr>
        <w:t xml:space="preserve">Act, </w:t>
      </w:r>
      <w:r w:rsidR="006E4F39">
        <w:rPr>
          <w:rFonts w:ascii="Times New Roman" w:hAnsi="Times New Roman"/>
          <w:sz w:val="24"/>
          <w:szCs w:val="24"/>
        </w:rPr>
        <w:t xml:space="preserve">is needed </w:t>
      </w:r>
      <w:r w:rsidR="00E44DB4" w:rsidRPr="00814901">
        <w:rPr>
          <w:rFonts w:ascii="Times New Roman" w:hAnsi="Times New Roman"/>
          <w:sz w:val="24"/>
          <w:szCs w:val="24"/>
        </w:rPr>
        <w:t>for the intended use of the data.  Most of the information requested in this guidance is specifically required by section 503B of the FD&amp;C Act</w:t>
      </w:r>
      <w:r w:rsidR="00CC52E9" w:rsidRPr="00814901">
        <w:rPr>
          <w:rFonts w:ascii="Times New Roman" w:hAnsi="Times New Roman"/>
          <w:sz w:val="24"/>
          <w:szCs w:val="24"/>
        </w:rPr>
        <w:t xml:space="preserve"> or 21 CFR 310.305</w:t>
      </w:r>
      <w:r w:rsidR="00E44DB4" w:rsidRPr="00814901">
        <w:rPr>
          <w:rFonts w:ascii="Times New Roman" w:hAnsi="Times New Roman"/>
          <w:sz w:val="24"/>
          <w:szCs w:val="24"/>
        </w:rPr>
        <w:t>.</w:t>
      </w:r>
    </w:p>
    <w:p w:rsidR="00B74B6B" w:rsidRPr="00814901" w:rsidRDefault="00B74B6B" w:rsidP="00E44DB4">
      <w:pPr>
        <w:spacing w:after="0" w:line="480" w:lineRule="auto"/>
        <w:ind w:firstLine="720"/>
        <w:rPr>
          <w:rFonts w:ascii="Times New Roman" w:hAnsi="Times New Roman"/>
          <w:sz w:val="24"/>
          <w:szCs w:val="24"/>
        </w:rPr>
      </w:pPr>
    </w:p>
    <w:p w:rsidR="00013295" w:rsidRPr="00814901" w:rsidRDefault="00013295" w:rsidP="00E44DB4">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6.</w:t>
      </w:r>
      <w:r w:rsidRPr="00814901">
        <w:rPr>
          <w:rFonts w:ascii="Times New Roman" w:hAnsi="Times New Roman"/>
          <w:sz w:val="24"/>
          <w:szCs w:val="24"/>
        </w:rPr>
        <w:tab/>
      </w:r>
      <w:r w:rsidRPr="00814901">
        <w:rPr>
          <w:rFonts w:ascii="Times New Roman" w:hAnsi="Times New Roman"/>
          <w:sz w:val="24"/>
          <w:szCs w:val="24"/>
          <w:u w:val="single"/>
        </w:rPr>
        <w:t>Consequences of Collecting the Information Less Frequently</w:t>
      </w:r>
    </w:p>
    <w:p w:rsidR="00013295" w:rsidRPr="00814901" w:rsidRDefault="00B031E0" w:rsidP="00E44DB4">
      <w:pPr>
        <w:autoSpaceDE w:val="0"/>
        <w:autoSpaceDN w:val="0"/>
        <w:adjustRightInd w:val="0"/>
        <w:spacing w:after="0" w:line="480" w:lineRule="auto"/>
        <w:ind w:firstLine="720"/>
        <w:rPr>
          <w:rFonts w:ascii="Times New Roman" w:hAnsi="Times New Roman"/>
          <w:sz w:val="24"/>
          <w:szCs w:val="24"/>
        </w:rPr>
      </w:pPr>
      <w:r w:rsidRPr="00814901">
        <w:rPr>
          <w:rFonts w:ascii="Times New Roman" w:hAnsi="Times New Roman"/>
          <w:sz w:val="24"/>
          <w:szCs w:val="24"/>
        </w:rPr>
        <w:t xml:space="preserve">The regulation referenced in section 503B, 21 CFR 310.305, requires manufacturers of unapproved prescription drugs to report </w:t>
      </w:r>
      <w:r w:rsidR="007730DC" w:rsidRPr="00814901">
        <w:rPr>
          <w:rFonts w:ascii="Times New Roman" w:hAnsi="Times New Roman"/>
          <w:sz w:val="24"/>
          <w:szCs w:val="24"/>
        </w:rPr>
        <w:t xml:space="preserve">serious, unexpected </w:t>
      </w:r>
      <w:r w:rsidRPr="00814901">
        <w:rPr>
          <w:rFonts w:ascii="Times New Roman" w:hAnsi="Times New Roman"/>
          <w:sz w:val="24"/>
          <w:szCs w:val="24"/>
        </w:rPr>
        <w:t xml:space="preserve">adverse events to FDA within 15 </w:t>
      </w:r>
      <w:r w:rsidR="0097141A" w:rsidRPr="00814901">
        <w:rPr>
          <w:rFonts w:ascii="Times New Roman" w:hAnsi="Times New Roman"/>
          <w:sz w:val="24"/>
          <w:szCs w:val="24"/>
        </w:rPr>
        <w:lastRenderedPageBreak/>
        <w:t xml:space="preserve">calendar </w:t>
      </w:r>
      <w:r w:rsidRPr="00814901">
        <w:rPr>
          <w:rFonts w:ascii="Times New Roman" w:hAnsi="Times New Roman"/>
          <w:sz w:val="24"/>
          <w:szCs w:val="24"/>
        </w:rPr>
        <w:t>days</w:t>
      </w:r>
      <w:r w:rsidR="0097141A" w:rsidRPr="00814901">
        <w:rPr>
          <w:rFonts w:ascii="Times New Roman" w:hAnsi="Times New Roman"/>
          <w:sz w:val="24"/>
          <w:szCs w:val="24"/>
        </w:rPr>
        <w:t xml:space="preserve"> of the initial receipt of information</w:t>
      </w:r>
      <w:r w:rsidRPr="00814901">
        <w:rPr>
          <w:rFonts w:ascii="Times New Roman" w:hAnsi="Times New Roman"/>
          <w:sz w:val="24"/>
          <w:szCs w:val="24"/>
        </w:rPr>
        <w:t xml:space="preserve">.  </w:t>
      </w:r>
      <w:r w:rsidR="007730DC" w:rsidRPr="00814901">
        <w:rPr>
          <w:rFonts w:ascii="Times New Roman" w:hAnsi="Times New Roman"/>
          <w:sz w:val="24"/>
          <w:szCs w:val="24"/>
        </w:rPr>
        <w:t xml:space="preserve">Such </w:t>
      </w:r>
      <w:r w:rsidRPr="00814901">
        <w:rPr>
          <w:rFonts w:ascii="Times New Roman" w:hAnsi="Times New Roman"/>
          <w:sz w:val="24"/>
          <w:szCs w:val="24"/>
        </w:rPr>
        <w:t xml:space="preserve">adverse events can be signals for serious public health concerns, such as outbreaks resulting from drug contamination, or could signal serious quality problems at the firm that if corrected promptly could prevent an outbreak.  FDA evaluates </w:t>
      </w:r>
      <w:r w:rsidR="007730DC" w:rsidRPr="00814901">
        <w:rPr>
          <w:rFonts w:ascii="Times New Roman" w:hAnsi="Times New Roman"/>
          <w:sz w:val="24"/>
          <w:szCs w:val="24"/>
        </w:rPr>
        <w:t xml:space="preserve">reported </w:t>
      </w:r>
      <w:r w:rsidRPr="00814901">
        <w:rPr>
          <w:rFonts w:ascii="Times New Roman" w:hAnsi="Times New Roman"/>
          <w:sz w:val="24"/>
          <w:szCs w:val="24"/>
        </w:rPr>
        <w:t>adverse event</w:t>
      </w:r>
      <w:r w:rsidR="007730DC" w:rsidRPr="00814901">
        <w:rPr>
          <w:rFonts w:ascii="Times New Roman" w:hAnsi="Times New Roman"/>
          <w:sz w:val="24"/>
          <w:szCs w:val="24"/>
        </w:rPr>
        <w:t>s</w:t>
      </w:r>
      <w:r w:rsidRPr="00814901">
        <w:rPr>
          <w:rFonts w:ascii="Times New Roman" w:hAnsi="Times New Roman"/>
          <w:sz w:val="24"/>
          <w:szCs w:val="24"/>
        </w:rPr>
        <w:t xml:space="preserve"> to determine what follow-up action is appropriate.  Collecting adverse events </w:t>
      </w:r>
      <w:r w:rsidR="007730DC" w:rsidRPr="00814901">
        <w:rPr>
          <w:rFonts w:ascii="Times New Roman" w:hAnsi="Times New Roman"/>
          <w:sz w:val="24"/>
          <w:szCs w:val="24"/>
        </w:rPr>
        <w:t>less frequently</w:t>
      </w:r>
      <w:r w:rsidRPr="00814901">
        <w:rPr>
          <w:rFonts w:ascii="Times New Roman" w:hAnsi="Times New Roman"/>
          <w:sz w:val="24"/>
          <w:szCs w:val="24"/>
        </w:rPr>
        <w:t xml:space="preserve"> would </w:t>
      </w:r>
      <w:r w:rsidR="0097141A" w:rsidRPr="00814901">
        <w:rPr>
          <w:rFonts w:ascii="Times New Roman" w:hAnsi="Times New Roman"/>
          <w:sz w:val="24"/>
          <w:szCs w:val="24"/>
        </w:rPr>
        <w:t xml:space="preserve">not be consistent </w:t>
      </w:r>
      <w:r w:rsidRPr="00814901">
        <w:rPr>
          <w:rFonts w:ascii="Times New Roman" w:hAnsi="Times New Roman"/>
          <w:sz w:val="24"/>
          <w:szCs w:val="24"/>
        </w:rPr>
        <w:t>with 21 CFR 310.305 and would not be sufficient for FDA’s need to evaluate adverse event report</w:t>
      </w:r>
      <w:r w:rsidR="007730DC" w:rsidRPr="00814901">
        <w:rPr>
          <w:rFonts w:ascii="Times New Roman" w:hAnsi="Times New Roman"/>
          <w:sz w:val="24"/>
          <w:szCs w:val="24"/>
        </w:rPr>
        <w:t>s in a timely way</w:t>
      </w:r>
      <w:r w:rsidR="00792923" w:rsidRPr="00814901">
        <w:rPr>
          <w:rFonts w:ascii="Times New Roman" w:hAnsi="Times New Roman"/>
          <w:sz w:val="24"/>
          <w:szCs w:val="24"/>
        </w:rPr>
        <w:t xml:space="preserve">.  </w:t>
      </w:r>
    </w:p>
    <w:p w:rsidR="00B74B6B" w:rsidRPr="00814901" w:rsidRDefault="00B74B6B" w:rsidP="00E44DB4">
      <w:pPr>
        <w:autoSpaceDE w:val="0"/>
        <w:autoSpaceDN w:val="0"/>
        <w:adjustRightInd w:val="0"/>
        <w:spacing w:after="0" w:line="480" w:lineRule="auto"/>
        <w:ind w:firstLine="720"/>
        <w:rPr>
          <w:rFonts w:ascii="Times New Roman" w:hAnsi="Times New Roman"/>
          <w:sz w:val="24"/>
          <w:szCs w:val="24"/>
        </w:rPr>
      </w:pPr>
    </w:p>
    <w:p w:rsidR="00013295" w:rsidRPr="00814901" w:rsidRDefault="00013295" w:rsidP="008D4E37">
      <w:pPr>
        <w:tabs>
          <w:tab w:val="left" w:pos="-720"/>
          <w:tab w:val="left" w:pos="0"/>
          <w:tab w:val="left" w:pos="378"/>
          <w:tab w:val="left" w:pos="1440"/>
        </w:tabs>
        <w:spacing w:after="0" w:line="480" w:lineRule="auto"/>
        <w:ind w:hanging="378"/>
        <w:rPr>
          <w:rFonts w:ascii="Times New Roman" w:hAnsi="Times New Roman"/>
          <w:sz w:val="24"/>
          <w:szCs w:val="24"/>
          <w:u w:val="single"/>
        </w:rPr>
      </w:pPr>
      <w:r w:rsidRPr="00814901">
        <w:rPr>
          <w:rFonts w:ascii="Times New Roman" w:hAnsi="Times New Roman"/>
          <w:sz w:val="24"/>
          <w:szCs w:val="24"/>
        </w:rPr>
        <w:t>7.</w:t>
      </w:r>
      <w:r w:rsidRPr="00814901">
        <w:rPr>
          <w:rFonts w:ascii="Times New Roman" w:hAnsi="Times New Roman"/>
          <w:sz w:val="24"/>
          <w:szCs w:val="24"/>
        </w:rPr>
        <w:tab/>
      </w:r>
      <w:r w:rsidRPr="00814901">
        <w:rPr>
          <w:rFonts w:ascii="Times New Roman" w:hAnsi="Times New Roman"/>
          <w:sz w:val="24"/>
          <w:szCs w:val="24"/>
          <w:u w:val="single"/>
        </w:rPr>
        <w:t>Special Circumstances Relating to the Guidelines in 5 CFR 1320.5</w:t>
      </w:r>
    </w:p>
    <w:p w:rsidR="00013295" w:rsidRPr="00814901" w:rsidRDefault="00013295" w:rsidP="008D4E37">
      <w:pPr>
        <w:spacing w:after="0" w:line="480" w:lineRule="auto"/>
        <w:ind w:firstLine="720"/>
        <w:rPr>
          <w:rFonts w:ascii="Times New Roman" w:hAnsi="Times New Roman"/>
          <w:sz w:val="24"/>
          <w:szCs w:val="24"/>
        </w:rPr>
      </w:pPr>
      <w:r w:rsidRPr="00814901">
        <w:rPr>
          <w:rFonts w:ascii="Times New Roman" w:hAnsi="Times New Roman"/>
          <w:sz w:val="24"/>
          <w:szCs w:val="24"/>
        </w:rPr>
        <w:t>There are no special circumstances relating to this</w:t>
      </w:r>
      <w:r w:rsidR="008D4E37" w:rsidRPr="00814901">
        <w:rPr>
          <w:rFonts w:ascii="Times New Roman" w:hAnsi="Times New Roman"/>
          <w:sz w:val="24"/>
          <w:szCs w:val="24"/>
        </w:rPr>
        <w:t xml:space="preserve"> information collection</w:t>
      </w:r>
      <w:r w:rsidRPr="00814901">
        <w:rPr>
          <w:rFonts w:ascii="Times New Roman" w:hAnsi="Times New Roman"/>
          <w:sz w:val="24"/>
          <w:szCs w:val="24"/>
        </w:rPr>
        <w:t>.</w:t>
      </w:r>
      <w:r w:rsidR="008D4E37" w:rsidRPr="00814901">
        <w:rPr>
          <w:rFonts w:ascii="Times New Roman" w:hAnsi="Times New Roman"/>
          <w:sz w:val="24"/>
          <w:szCs w:val="24"/>
        </w:rPr>
        <w:t xml:space="preserve">  The submission of proprietary, trade secret, or other confidential information is addressed under section 10 below.</w:t>
      </w:r>
    </w:p>
    <w:p w:rsidR="00013295" w:rsidRPr="00814901" w:rsidRDefault="00013295" w:rsidP="007E5563">
      <w:pPr>
        <w:tabs>
          <w:tab w:val="left" w:pos="-720"/>
          <w:tab w:val="left" w:pos="0"/>
          <w:tab w:val="left" w:pos="378"/>
          <w:tab w:val="left" w:pos="1440"/>
        </w:tabs>
        <w:spacing w:after="0" w:line="480" w:lineRule="auto"/>
        <w:rPr>
          <w:rFonts w:ascii="Times New Roman" w:hAnsi="Times New Roman"/>
          <w:sz w:val="24"/>
          <w:szCs w:val="24"/>
        </w:rPr>
      </w:pPr>
    </w:p>
    <w:p w:rsidR="00013295" w:rsidRPr="00814901" w:rsidRDefault="00013295" w:rsidP="0063471F">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8.</w:t>
      </w:r>
      <w:r w:rsidRPr="00814901">
        <w:rPr>
          <w:rFonts w:ascii="Times New Roman" w:hAnsi="Times New Roman"/>
          <w:sz w:val="24"/>
          <w:szCs w:val="24"/>
        </w:rPr>
        <w:tab/>
      </w:r>
      <w:r w:rsidRPr="00814901">
        <w:rPr>
          <w:rFonts w:ascii="Times New Roman" w:hAnsi="Times New Roman"/>
          <w:sz w:val="24"/>
          <w:szCs w:val="24"/>
          <w:u w:val="single"/>
        </w:rPr>
        <w:t>Comments in Response to the Federal Register Notice and Efforts to Consult Outside the Agency</w:t>
      </w:r>
    </w:p>
    <w:p w:rsidR="0065645B" w:rsidRPr="00814901" w:rsidRDefault="0065645B" w:rsidP="0065645B">
      <w:pPr>
        <w:spacing w:after="0" w:line="480" w:lineRule="auto"/>
        <w:ind w:firstLine="720"/>
        <w:rPr>
          <w:rFonts w:ascii="Times New Roman" w:hAnsi="Times New Roman"/>
          <w:sz w:val="24"/>
          <w:szCs w:val="24"/>
        </w:rPr>
      </w:pPr>
      <w:r w:rsidRPr="00814901">
        <w:rPr>
          <w:rFonts w:ascii="Times New Roman" w:hAnsi="Times New Roman"/>
          <w:sz w:val="24"/>
          <w:szCs w:val="24"/>
        </w:rPr>
        <w:t>In</w:t>
      </w:r>
      <w:r w:rsidR="00F33599">
        <w:rPr>
          <w:rFonts w:ascii="Times New Roman" w:hAnsi="Times New Roman"/>
          <w:sz w:val="24"/>
          <w:szCs w:val="24"/>
        </w:rPr>
        <w:t xml:space="preserve"> accordance with 5 CFR 1320.8(d), FDA published a 60 day notice for public comment in the </w:t>
      </w:r>
      <w:r w:rsidR="00F33599" w:rsidRPr="00751193">
        <w:rPr>
          <w:rFonts w:ascii="Times New Roman" w:hAnsi="Times New Roman"/>
          <w:sz w:val="24"/>
          <w:szCs w:val="24"/>
        </w:rPr>
        <w:t>FEDERAL REGISTER</w:t>
      </w:r>
      <w:r w:rsidR="00751193">
        <w:rPr>
          <w:rFonts w:ascii="Times New Roman" w:hAnsi="Times New Roman"/>
          <w:sz w:val="24"/>
          <w:szCs w:val="24"/>
        </w:rPr>
        <w:t xml:space="preserve"> </w:t>
      </w:r>
      <w:r w:rsidR="00F33599">
        <w:rPr>
          <w:rFonts w:ascii="Times New Roman" w:hAnsi="Times New Roman"/>
          <w:sz w:val="24"/>
          <w:szCs w:val="24"/>
        </w:rPr>
        <w:t xml:space="preserve">of February 19, 2015 (80 FR 8872).  </w:t>
      </w:r>
      <w:r w:rsidRPr="00814901">
        <w:rPr>
          <w:rFonts w:ascii="Times New Roman" w:hAnsi="Times New Roman"/>
          <w:sz w:val="24"/>
          <w:szCs w:val="24"/>
        </w:rPr>
        <w:t xml:space="preserve">FDA received </w:t>
      </w:r>
      <w:r w:rsidR="005142F4" w:rsidRPr="00814901">
        <w:rPr>
          <w:rFonts w:ascii="Times New Roman" w:hAnsi="Times New Roman"/>
          <w:sz w:val="24"/>
          <w:szCs w:val="24"/>
        </w:rPr>
        <w:t>7</w:t>
      </w:r>
      <w:r w:rsidRPr="00814901">
        <w:rPr>
          <w:rFonts w:ascii="Times New Roman" w:hAnsi="Times New Roman"/>
          <w:sz w:val="24"/>
          <w:szCs w:val="24"/>
        </w:rPr>
        <w:t xml:space="preserve"> comments on the draft guidance, several of which raised issues pertaining to the information collection provisions in the draft guidance.  The issues raised are addressed below.</w:t>
      </w:r>
    </w:p>
    <w:p w:rsidR="005A4782" w:rsidRPr="00814901" w:rsidRDefault="0065645B" w:rsidP="0065645B">
      <w:pPr>
        <w:spacing w:after="0" w:line="480" w:lineRule="auto"/>
        <w:ind w:firstLine="720"/>
        <w:rPr>
          <w:rFonts w:ascii="Times New Roman" w:hAnsi="Times New Roman"/>
          <w:sz w:val="24"/>
          <w:szCs w:val="24"/>
        </w:rPr>
      </w:pPr>
      <w:r w:rsidRPr="00814901">
        <w:rPr>
          <w:rFonts w:ascii="Times New Roman" w:hAnsi="Times New Roman"/>
          <w:sz w:val="24"/>
          <w:szCs w:val="24"/>
          <w:u w:val="single"/>
        </w:rPr>
        <w:t>Issue One</w:t>
      </w:r>
      <w:r w:rsidRPr="00814901">
        <w:rPr>
          <w:rFonts w:ascii="Times New Roman" w:hAnsi="Times New Roman"/>
          <w:sz w:val="24"/>
          <w:szCs w:val="24"/>
        </w:rPr>
        <w:t xml:space="preserve">: </w:t>
      </w:r>
      <w:r w:rsidR="00A57290" w:rsidRPr="00814901">
        <w:rPr>
          <w:rFonts w:ascii="Times New Roman" w:hAnsi="Times New Roman"/>
          <w:sz w:val="24"/>
          <w:szCs w:val="24"/>
        </w:rPr>
        <w:t xml:space="preserve">Several </w:t>
      </w:r>
      <w:r w:rsidR="005A4782" w:rsidRPr="00814901">
        <w:rPr>
          <w:rFonts w:ascii="Times New Roman" w:hAnsi="Times New Roman"/>
          <w:sz w:val="24"/>
          <w:szCs w:val="24"/>
        </w:rPr>
        <w:t xml:space="preserve">individuals submitted comments related to the requirement </w:t>
      </w:r>
      <w:r w:rsidR="004F00C4" w:rsidRPr="00814901">
        <w:rPr>
          <w:rFonts w:ascii="Times New Roman" w:hAnsi="Times New Roman"/>
          <w:sz w:val="24"/>
          <w:szCs w:val="24"/>
        </w:rPr>
        <w:t xml:space="preserve">described in the guidance </w:t>
      </w:r>
      <w:r w:rsidR="005A4782" w:rsidRPr="00814901">
        <w:rPr>
          <w:rFonts w:ascii="Times New Roman" w:hAnsi="Times New Roman"/>
          <w:sz w:val="24"/>
          <w:szCs w:val="24"/>
        </w:rPr>
        <w:t>that outsourcing facilities report adverse events that are both serious and unexpected</w:t>
      </w:r>
      <w:r w:rsidR="004F00C4" w:rsidRPr="00814901">
        <w:rPr>
          <w:rFonts w:ascii="Times New Roman" w:hAnsi="Times New Roman"/>
          <w:sz w:val="24"/>
          <w:szCs w:val="24"/>
        </w:rPr>
        <w:t xml:space="preserve"> and the recommendation in the guidance that outsourcing facilities report all serious adverse events, regardless of whether they are unexpected</w:t>
      </w:r>
      <w:r w:rsidR="005A4782" w:rsidRPr="00814901">
        <w:rPr>
          <w:rFonts w:ascii="Times New Roman" w:hAnsi="Times New Roman"/>
          <w:sz w:val="24"/>
          <w:szCs w:val="24"/>
        </w:rPr>
        <w:t>.  Specifically:</w:t>
      </w:r>
    </w:p>
    <w:p w:rsidR="0065645B" w:rsidRPr="00814901" w:rsidRDefault="00920878" w:rsidP="005A4782">
      <w:pPr>
        <w:pStyle w:val="ListParagraph"/>
        <w:numPr>
          <w:ilvl w:val="0"/>
          <w:numId w:val="15"/>
        </w:numPr>
        <w:spacing w:line="480" w:lineRule="auto"/>
        <w:rPr>
          <w:rFonts w:ascii="Times New Roman" w:hAnsi="Times New Roman"/>
          <w:sz w:val="24"/>
          <w:szCs w:val="24"/>
        </w:rPr>
      </w:pPr>
      <w:r w:rsidRPr="00814901">
        <w:rPr>
          <w:rFonts w:ascii="Times New Roman" w:hAnsi="Times New Roman"/>
          <w:sz w:val="24"/>
          <w:szCs w:val="24"/>
        </w:rPr>
        <w:t xml:space="preserve">One commenter noted that the applicable regulation, 21 CFR 310.305, defines an “unexpected” adverse drug experience as an adverse drug experience “that is not listed in </w:t>
      </w:r>
      <w:r w:rsidRPr="00814901">
        <w:rPr>
          <w:rFonts w:ascii="Times New Roman" w:hAnsi="Times New Roman"/>
          <w:sz w:val="24"/>
          <w:szCs w:val="24"/>
        </w:rPr>
        <w:lastRenderedPageBreak/>
        <w:t xml:space="preserve">the current labeling for the drug product.” The commenter indicated that this definition is not easily applied to unapproved drugs, as such products lack uniform FDA-reviewed language, meaning products with the same active ingredient may list different adverse events in the labeling, or no adverse events at all.  </w:t>
      </w:r>
    </w:p>
    <w:p w:rsidR="005A4782" w:rsidRPr="00814901" w:rsidRDefault="005A4782" w:rsidP="005A4782">
      <w:pPr>
        <w:pStyle w:val="ListParagraph"/>
        <w:numPr>
          <w:ilvl w:val="0"/>
          <w:numId w:val="15"/>
        </w:numPr>
        <w:spacing w:line="480" w:lineRule="auto"/>
        <w:rPr>
          <w:rFonts w:ascii="Times New Roman" w:hAnsi="Times New Roman"/>
          <w:sz w:val="24"/>
          <w:szCs w:val="24"/>
          <w:u w:val="single"/>
        </w:rPr>
      </w:pPr>
      <w:r w:rsidRPr="00814901">
        <w:rPr>
          <w:rFonts w:ascii="Times New Roman" w:hAnsi="Times New Roman"/>
          <w:sz w:val="24"/>
          <w:szCs w:val="24"/>
        </w:rPr>
        <w:t>One commenter indicated that instead of strongly recommending that outsourcing facilities report all serious adverse drug experiences to the FDA, the FDA should require such reporting.</w:t>
      </w:r>
    </w:p>
    <w:p w:rsidR="005A4782" w:rsidRPr="00814901" w:rsidRDefault="005A4782" w:rsidP="005A4782">
      <w:pPr>
        <w:pStyle w:val="ListParagraph"/>
        <w:numPr>
          <w:ilvl w:val="0"/>
          <w:numId w:val="15"/>
        </w:numPr>
        <w:spacing w:line="480" w:lineRule="auto"/>
        <w:rPr>
          <w:rFonts w:ascii="Times New Roman" w:hAnsi="Times New Roman"/>
          <w:sz w:val="24"/>
          <w:szCs w:val="24"/>
        </w:rPr>
      </w:pPr>
      <w:r w:rsidRPr="00814901">
        <w:rPr>
          <w:rFonts w:ascii="Times New Roman" w:hAnsi="Times New Roman"/>
          <w:sz w:val="24"/>
          <w:szCs w:val="24"/>
        </w:rPr>
        <w:t xml:space="preserve">One commenter stated that reporting all serious adverse drug experiences (not just those that are both serious and unexpected) should be required, rather than “strongly recommended,” </w:t>
      </w:r>
      <w:r w:rsidR="00B74B6B" w:rsidRPr="00814901">
        <w:rPr>
          <w:rFonts w:ascii="Times New Roman" w:hAnsi="Times New Roman"/>
          <w:sz w:val="24"/>
          <w:szCs w:val="24"/>
        </w:rPr>
        <w:t xml:space="preserve">and </w:t>
      </w:r>
      <w:r w:rsidRPr="00814901">
        <w:rPr>
          <w:rFonts w:ascii="Times New Roman" w:hAnsi="Times New Roman"/>
          <w:sz w:val="24"/>
          <w:szCs w:val="24"/>
        </w:rPr>
        <w:t>because reporting all serious adverse events is not currently required under 21 CFR 310.305, FDA should amend this regulation.</w:t>
      </w:r>
    </w:p>
    <w:p w:rsidR="004F00C4" w:rsidRPr="00814901" w:rsidRDefault="004F00C4" w:rsidP="005A4782">
      <w:pPr>
        <w:pStyle w:val="ListParagraph"/>
        <w:numPr>
          <w:ilvl w:val="0"/>
          <w:numId w:val="15"/>
        </w:numPr>
        <w:spacing w:line="480" w:lineRule="auto"/>
        <w:rPr>
          <w:rFonts w:ascii="Times New Roman" w:hAnsi="Times New Roman"/>
          <w:sz w:val="24"/>
          <w:szCs w:val="24"/>
        </w:rPr>
      </w:pPr>
      <w:r w:rsidRPr="00814901">
        <w:rPr>
          <w:rFonts w:ascii="Times New Roman" w:hAnsi="Times New Roman"/>
          <w:sz w:val="24"/>
          <w:szCs w:val="24"/>
        </w:rPr>
        <w:t>Several commenters noted that 21 CFR 310.305 only requires reporting of serious, unexpected adverse events, but the draft guidance suggests that outsourcing facilities should report all serious adverse events.  They stated that FDA is reaching beyond what the regulations allow, and this suggestion will lead to confusion to what must be reported and what is suggested.  FDA should narrow reporting to unexpected adverse events.</w:t>
      </w:r>
    </w:p>
    <w:p w:rsidR="005A4782" w:rsidRPr="00814901" w:rsidRDefault="0065645B" w:rsidP="004F00C4">
      <w:pPr>
        <w:spacing w:after="0" w:line="480" w:lineRule="auto"/>
        <w:rPr>
          <w:rFonts w:ascii="Times New Roman" w:hAnsi="Times New Roman"/>
          <w:sz w:val="24"/>
          <w:szCs w:val="24"/>
        </w:rPr>
      </w:pPr>
      <w:r w:rsidRPr="00814901">
        <w:rPr>
          <w:rFonts w:ascii="Times New Roman" w:hAnsi="Times New Roman"/>
          <w:sz w:val="24"/>
          <w:szCs w:val="24"/>
          <w:u w:val="single"/>
        </w:rPr>
        <w:t>FDA Response to Issue One</w:t>
      </w:r>
      <w:r w:rsidRPr="00814901">
        <w:rPr>
          <w:rFonts w:ascii="Times New Roman" w:hAnsi="Times New Roman"/>
          <w:sz w:val="24"/>
          <w:szCs w:val="24"/>
        </w:rPr>
        <w:t xml:space="preserve">:  </w:t>
      </w:r>
      <w:r w:rsidR="005A4782" w:rsidRPr="00814901">
        <w:rPr>
          <w:rFonts w:ascii="Times New Roman" w:hAnsi="Times New Roman"/>
          <w:sz w:val="24"/>
          <w:szCs w:val="24"/>
        </w:rPr>
        <w:t>FDA responds to Issue One as follows:</w:t>
      </w:r>
    </w:p>
    <w:p w:rsidR="005A4782" w:rsidRPr="00814901" w:rsidRDefault="0065645B" w:rsidP="004F00C4">
      <w:pPr>
        <w:pStyle w:val="ListParagraph"/>
        <w:numPr>
          <w:ilvl w:val="0"/>
          <w:numId w:val="16"/>
        </w:numPr>
        <w:spacing w:line="480" w:lineRule="auto"/>
        <w:ind w:left="720"/>
        <w:rPr>
          <w:rFonts w:ascii="Times New Roman" w:hAnsi="Times New Roman"/>
          <w:sz w:val="24"/>
          <w:szCs w:val="24"/>
        </w:rPr>
      </w:pPr>
      <w:r w:rsidRPr="00814901">
        <w:rPr>
          <w:rFonts w:ascii="Times New Roman" w:hAnsi="Times New Roman"/>
          <w:sz w:val="24"/>
          <w:szCs w:val="24"/>
        </w:rPr>
        <w:t>FDA has clarified the guidance</w:t>
      </w:r>
      <w:r w:rsidR="005A4782" w:rsidRPr="00814901">
        <w:rPr>
          <w:rFonts w:ascii="Times New Roman" w:hAnsi="Times New Roman"/>
          <w:sz w:val="24"/>
          <w:szCs w:val="24"/>
        </w:rPr>
        <w:t xml:space="preserve"> with regard to reporting adverse events that are considered “unexpected</w:t>
      </w:r>
      <w:r w:rsidRPr="00814901">
        <w:rPr>
          <w:rFonts w:ascii="Times New Roman" w:hAnsi="Times New Roman"/>
          <w:sz w:val="24"/>
          <w:szCs w:val="24"/>
        </w:rPr>
        <w:t>.</w:t>
      </w:r>
      <w:r w:rsidR="005A4782" w:rsidRPr="00814901">
        <w:rPr>
          <w:rFonts w:ascii="Times New Roman" w:hAnsi="Times New Roman"/>
          <w:sz w:val="24"/>
          <w:szCs w:val="24"/>
        </w:rPr>
        <w:t>”</w:t>
      </w:r>
      <w:r w:rsidRPr="00814901">
        <w:rPr>
          <w:rFonts w:ascii="Times New Roman" w:hAnsi="Times New Roman"/>
          <w:sz w:val="24"/>
          <w:szCs w:val="24"/>
        </w:rPr>
        <w:t xml:space="preserve">  Specifically, the guidance now </w:t>
      </w:r>
      <w:r w:rsidR="00920878" w:rsidRPr="00814901">
        <w:rPr>
          <w:rFonts w:ascii="Times New Roman" w:hAnsi="Times New Roman"/>
          <w:sz w:val="24"/>
          <w:szCs w:val="24"/>
        </w:rPr>
        <w:t>includes the following language</w:t>
      </w:r>
      <w:r w:rsidR="00F1006B" w:rsidRPr="00814901">
        <w:rPr>
          <w:rFonts w:ascii="Times New Roman" w:hAnsi="Times New Roman"/>
          <w:sz w:val="24"/>
          <w:szCs w:val="24"/>
        </w:rPr>
        <w:t xml:space="preserve"> to clarify the meaning of the term “unexpected” in the context of adverse events associated with compounded drugs</w:t>
      </w:r>
      <w:r w:rsidR="00920878" w:rsidRPr="00814901">
        <w:rPr>
          <w:rFonts w:ascii="Times New Roman" w:hAnsi="Times New Roman"/>
          <w:sz w:val="24"/>
          <w:szCs w:val="24"/>
        </w:rPr>
        <w:t xml:space="preserve">: “For example, if </w:t>
      </w:r>
      <w:r w:rsidR="00CC52E9" w:rsidRPr="00814901">
        <w:rPr>
          <w:rFonts w:ascii="Times New Roman" w:hAnsi="Times New Roman"/>
          <w:sz w:val="24"/>
          <w:szCs w:val="24"/>
        </w:rPr>
        <w:t xml:space="preserve">current labeling for a </w:t>
      </w:r>
      <w:r w:rsidR="00920878" w:rsidRPr="00814901">
        <w:rPr>
          <w:rFonts w:ascii="Times New Roman" w:hAnsi="Times New Roman"/>
          <w:sz w:val="24"/>
          <w:szCs w:val="24"/>
        </w:rPr>
        <w:t>compounded drug product does not list any adverse drug experiences, all adverse drug experiences associated with the compounded drug product would be considered ‘unexpected.’”</w:t>
      </w:r>
      <w:r w:rsidR="005A4782" w:rsidRPr="00814901">
        <w:rPr>
          <w:rFonts w:ascii="Times New Roman" w:hAnsi="Times New Roman"/>
          <w:sz w:val="24"/>
          <w:szCs w:val="24"/>
        </w:rPr>
        <w:t xml:space="preserve">  </w:t>
      </w:r>
    </w:p>
    <w:p w:rsidR="005A4782" w:rsidRPr="00814901" w:rsidRDefault="005A4782" w:rsidP="004F00C4">
      <w:pPr>
        <w:pStyle w:val="ListParagraph"/>
        <w:numPr>
          <w:ilvl w:val="0"/>
          <w:numId w:val="16"/>
        </w:numPr>
        <w:spacing w:line="480" w:lineRule="auto"/>
        <w:ind w:left="720"/>
        <w:rPr>
          <w:rFonts w:ascii="Times New Roman" w:hAnsi="Times New Roman"/>
          <w:sz w:val="24"/>
          <w:szCs w:val="24"/>
        </w:rPr>
      </w:pPr>
      <w:r w:rsidRPr="00814901">
        <w:rPr>
          <w:rFonts w:ascii="Times New Roman" w:hAnsi="Times New Roman"/>
          <w:sz w:val="24"/>
          <w:szCs w:val="24"/>
        </w:rPr>
        <w:lastRenderedPageBreak/>
        <w:t>With regard to the recommendation that outsourcing facilities</w:t>
      </w:r>
      <w:r w:rsidR="00B74B6B" w:rsidRPr="00814901">
        <w:rPr>
          <w:rFonts w:ascii="Times New Roman" w:hAnsi="Times New Roman"/>
          <w:sz w:val="24"/>
          <w:szCs w:val="24"/>
        </w:rPr>
        <w:t xml:space="preserve"> be required to</w:t>
      </w:r>
      <w:r w:rsidRPr="00814901">
        <w:rPr>
          <w:rFonts w:ascii="Times New Roman" w:hAnsi="Times New Roman"/>
          <w:sz w:val="24"/>
          <w:szCs w:val="24"/>
        </w:rPr>
        <w:t xml:space="preserve"> report all serious adverse events, rather than just those that are considered both serious and unexpected, </w:t>
      </w:r>
      <w:r w:rsidR="00F1006B" w:rsidRPr="00814901">
        <w:rPr>
          <w:rFonts w:ascii="Times New Roman" w:hAnsi="Times New Roman"/>
          <w:sz w:val="24"/>
          <w:szCs w:val="24"/>
        </w:rPr>
        <w:t xml:space="preserve">21 CFR 310.305, </w:t>
      </w:r>
      <w:r w:rsidR="003A1FA4" w:rsidRPr="00814901">
        <w:rPr>
          <w:rFonts w:ascii="Times New Roman" w:hAnsi="Times New Roman"/>
          <w:sz w:val="24"/>
          <w:szCs w:val="24"/>
        </w:rPr>
        <w:t xml:space="preserve">the regulation applicable to reporting of adverse events by all manufacturers of unapproved drugs, </w:t>
      </w:r>
      <w:r w:rsidR="00CC52E9" w:rsidRPr="00814901">
        <w:rPr>
          <w:rFonts w:ascii="Times New Roman" w:hAnsi="Times New Roman"/>
          <w:sz w:val="24"/>
          <w:szCs w:val="24"/>
        </w:rPr>
        <w:t xml:space="preserve">does not require reporting of all serious adverse drug experiences to FDA.  </w:t>
      </w:r>
      <w:r w:rsidR="00DA064D" w:rsidRPr="00814901">
        <w:rPr>
          <w:rFonts w:ascii="Times New Roman" w:hAnsi="Times New Roman"/>
          <w:sz w:val="24"/>
          <w:szCs w:val="24"/>
        </w:rPr>
        <w:t>Therefore, r</w:t>
      </w:r>
      <w:r w:rsidR="00B7418B" w:rsidRPr="00814901">
        <w:rPr>
          <w:rFonts w:ascii="Times New Roman" w:hAnsi="Times New Roman"/>
          <w:sz w:val="24"/>
          <w:szCs w:val="24"/>
        </w:rPr>
        <w:t xml:space="preserve">equiring outsourcing facilities to report all </w:t>
      </w:r>
      <w:r w:rsidR="0097141A" w:rsidRPr="00814901">
        <w:rPr>
          <w:rFonts w:ascii="Times New Roman" w:hAnsi="Times New Roman"/>
          <w:sz w:val="24"/>
          <w:szCs w:val="24"/>
        </w:rPr>
        <w:t xml:space="preserve">serious </w:t>
      </w:r>
      <w:r w:rsidR="00B7418B" w:rsidRPr="00814901">
        <w:rPr>
          <w:rFonts w:ascii="Times New Roman" w:hAnsi="Times New Roman"/>
          <w:sz w:val="24"/>
          <w:szCs w:val="24"/>
        </w:rPr>
        <w:t>adverse events would be inconsistent with 21 CFR 310.305.</w:t>
      </w:r>
      <w:r w:rsidRPr="00814901">
        <w:rPr>
          <w:rFonts w:ascii="Times New Roman" w:hAnsi="Times New Roman"/>
          <w:sz w:val="24"/>
          <w:szCs w:val="24"/>
        </w:rPr>
        <w:t xml:space="preserve">  </w:t>
      </w:r>
    </w:p>
    <w:p w:rsidR="00CC52E9" w:rsidRPr="00814901" w:rsidRDefault="00CC52E9" w:rsidP="004F00C4">
      <w:pPr>
        <w:pStyle w:val="ListParagraph"/>
        <w:numPr>
          <w:ilvl w:val="0"/>
          <w:numId w:val="16"/>
        </w:numPr>
        <w:spacing w:line="480" w:lineRule="auto"/>
        <w:ind w:left="720"/>
        <w:rPr>
          <w:rFonts w:ascii="Times New Roman" w:hAnsi="Times New Roman"/>
          <w:sz w:val="24"/>
          <w:szCs w:val="24"/>
        </w:rPr>
      </w:pPr>
      <w:r w:rsidRPr="00814901">
        <w:rPr>
          <w:rFonts w:ascii="Times New Roman" w:hAnsi="Times New Roman"/>
          <w:sz w:val="24"/>
          <w:szCs w:val="24"/>
        </w:rPr>
        <w:t xml:space="preserve">Amending the regulation 21 CFR 310.305 would </w:t>
      </w:r>
      <w:r w:rsidR="003A1FA4" w:rsidRPr="00814901">
        <w:rPr>
          <w:rFonts w:ascii="Times New Roman" w:hAnsi="Times New Roman"/>
          <w:sz w:val="24"/>
          <w:szCs w:val="24"/>
        </w:rPr>
        <w:t xml:space="preserve">require a separate rulemaking, </w:t>
      </w:r>
      <w:r w:rsidR="0097141A" w:rsidRPr="00814901">
        <w:rPr>
          <w:rFonts w:ascii="Times New Roman" w:hAnsi="Times New Roman"/>
          <w:sz w:val="24"/>
          <w:szCs w:val="24"/>
        </w:rPr>
        <w:t>which is</w:t>
      </w:r>
      <w:r w:rsidR="00B74B6B" w:rsidRPr="00814901">
        <w:rPr>
          <w:rFonts w:ascii="Times New Roman" w:hAnsi="Times New Roman"/>
          <w:sz w:val="24"/>
          <w:szCs w:val="24"/>
        </w:rPr>
        <w:t xml:space="preserve"> </w:t>
      </w:r>
      <w:r w:rsidRPr="00814901">
        <w:rPr>
          <w:rFonts w:ascii="Times New Roman" w:hAnsi="Times New Roman"/>
          <w:sz w:val="24"/>
          <w:szCs w:val="24"/>
        </w:rPr>
        <w:t>beyond the scope of this guidance document.</w:t>
      </w:r>
    </w:p>
    <w:p w:rsidR="0065645B" w:rsidRPr="00814901" w:rsidRDefault="00D617FD" w:rsidP="004F00C4">
      <w:pPr>
        <w:pStyle w:val="ListParagraph"/>
        <w:numPr>
          <w:ilvl w:val="0"/>
          <w:numId w:val="16"/>
        </w:numPr>
        <w:spacing w:line="480" w:lineRule="auto"/>
        <w:ind w:left="720"/>
        <w:rPr>
          <w:rFonts w:ascii="Times New Roman" w:hAnsi="Times New Roman"/>
          <w:sz w:val="24"/>
          <w:szCs w:val="24"/>
        </w:rPr>
      </w:pPr>
      <w:r w:rsidRPr="00814901">
        <w:rPr>
          <w:rFonts w:ascii="Times New Roman" w:hAnsi="Times New Roman"/>
          <w:sz w:val="24"/>
          <w:szCs w:val="24"/>
        </w:rPr>
        <w:t>With regard to the concern about possible confusion caused by FDA’s recommendation that outsourcing facilities report all serious adverse events, t</w:t>
      </w:r>
      <w:r w:rsidR="004F00C4" w:rsidRPr="00814901">
        <w:rPr>
          <w:rFonts w:ascii="Times New Roman" w:hAnsi="Times New Roman"/>
          <w:sz w:val="24"/>
          <w:szCs w:val="24"/>
        </w:rPr>
        <w:t xml:space="preserve">he draft guidance states the regulations require reporting of all adverse events that are both serious and unexpected, and that FDA is </w:t>
      </w:r>
      <w:r w:rsidR="004F00C4" w:rsidRPr="00814901">
        <w:rPr>
          <w:rFonts w:ascii="Times New Roman" w:hAnsi="Times New Roman"/>
          <w:i/>
          <w:sz w:val="24"/>
          <w:szCs w:val="24"/>
        </w:rPr>
        <w:t>recommending</w:t>
      </w:r>
      <w:r w:rsidR="004F00C4" w:rsidRPr="00814901">
        <w:rPr>
          <w:rFonts w:ascii="Times New Roman" w:hAnsi="Times New Roman"/>
          <w:sz w:val="24"/>
          <w:szCs w:val="24"/>
        </w:rPr>
        <w:t xml:space="preserve"> that outsourcing facilities report all serious adverse events.  Specifically, the draft guidance states that “FDA strongly recommends that outsourcing facilities submit all serious adverse drug experiences” (lines 128-131) and that “the regulations require reporting of each adverse drug experience received or otherwise obtained that is both serious and unexpected . . .” (lines 103-104).  FDA will further clarify this by adding the following italicized language: “In addition, </w:t>
      </w:r>
      <w:r w:rsidR="004F00C4" w:rsidRPr="00814901">
        <w:rPr>
          <w:rFonts w:ascii="Times New Roman" w:hAnsi="Times New Roman"/>
          <w:i/>
          <w:sz w:val="24"/>
          <w:szCs w:val="24"/>
        </w:rPr>
        <w:t>although they are not required to do so,</w:t>
      </w:r>
      <w:r w:rsidR="004F00C4" w:rsidRPr="00814901">
        <w:rPr>
          <w:rFonts w:ascii="Times New Roman" w:hAnsi="Times New Roman"/>
          <w:sz w:val="24"/>
          <w:szCs w:val="24"/>
        </w:rPr>
        <w:t xml:space="preserve"> FDA strongly recommends that outsourcing facilities report all serious adverse events . . .”</w:t>
      </w:r>
      <w:r w:rsidR="003A1FA4" w:rsidRPr="00814901">
        <w:rPr>
          <w:rFonts w:ascii="Times New Roman" w:hAnsi="Times New Roman"/>
          <w:sz w:val="24"/>
          <w:szCs w:val="24"/>
        </w:rPr>
        <w:t xml:space="preserve"> </w:t>
      </w:r>
    </w:p>
    <w:p w:rsidR="00013295" w:rsidRPr="00814901" w:rsidRDefault="00AE56C2" w:rsidP="00AE56C2">
      <w:pPr>
        <w:tabs>
          <w:tab w:val="left" w:pos="-720"/>
          <w:tab w:val="left" w:pos="0"/>
          <w:tab w:val="left" w:pos="378"/>
          <w:tab w:val="left" w:pos="720"/>
          <w:tab w:val="left" w:pos="1440"/>
        </w:tabs>
        <w:spacing w:line="480" w:lineRule="auto"/>
        <w:rPr>
          <w:rFonts w:ascii="Times New Roman" w:hAnsi="Times New Roman"/>
          <w:sz w:val="24"/>
          <w:szCs w:val="24"/>
        </w:rPr>
      </w:pPr>
      <w:r w:rsidRPr="00814901">
        <w:rPr>
          <w:rFonts w:ascii="Times New Roman" w:hAnsi="Times New Roman"/>
          <w:sz w:val="24"/>
          <w:szCs w:val="24"/>
        </w:rPr>
        <w:tab/>
      </w:r>
      <w:r w:rsidR="00F1006B"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Two</w:t>
      </w:r>
      <w:r w:rsidR="00F1006B" w:rsidRPr="00814901">
        <w:rPr>
          <w:rFonts w:ascii="Times New Roman" w:hAnsi="Times New Roman"/>
          <w:sz w:val="24"/>
          <w:szCs w:val="24"/>
        </w:rPr>
        <w:t xml:space="preserve">: </w:t>
      </w:r>
      <w:r w:rsidR="007C04F9" w:rsidRPr="00814901">
        <w:rPr>
          <w:rFonts w:ascii="Times New Roman" w:hAnsi="Times New Roman"/>
          <w:sz w:val="24"/>
          <w:szCs w:val="24"/>
        </w:rPr>
        <w:t xml:space="preserve">Several commenters noted that FDA </w:t>
      </w:r>
      <w:r w:rsidR="007C04F9" w:rsidRPr="00814901">
        <w:rPr>
          <w:rFonts w:ascii="Times New Roman" w:hAnsi="Times New Roman"/>
          <w:iCs/>
          <w:sz w:val="24"/>
          <w:szCs w:val="24"/>
        </w:rPr>
        <w:t>encourages</w:t>
      </w:r>
      <w:r w:rsidR="007C04F9" w:rsidRPr="00814901">
        <w:rPr>
          <w:rFonts w:ascii="Times New Roman" w:hAnsi="Times New Roman"/>
          <w:sz w:val="24"/>
          <w:szCs w:val="24"/>
        </w:rPr>
        <w:t xml:space="preserve">, as appropriate, the outsourcing facility to attach to the report (1) hospital discharge summaries, (2) autopsy reports/death certificates, (3) relevant laboratory data, and (4) other critical clinical </w:t>
      </w:r>
      <w:r w:rsidR="00336222" w:rsidRPr="00814901">
        <w:rPr>
          <w:rFonts w:ascii="Times New Roman" w:hAnsi="Times New Roman"/>
          <w:sz w:val="24"/>
          <w:szCs w:val="24"/>
        </w:rPr>
        <w:t>data, and that i</w:t>
      </w:r>
      <w:r w:rsidR="007C04F9" w:rsidRPr="00814901">
        <w:rPr>
          <w:rFonts w:ascii="Times New Roman" w:hAnsi="Times New Roman"/>
          <w:sz w:val="24"/>
          <w:szCs w:val="24"/>
        </w:rPr>
        <w:t xml:space="preserve">n case of a death, an </w:t>
      </w:r>
      <w:r w:rsidR="00336222" w:rsidRPr="00814901">
        <w:rPr>
          <w:rFonts w:ascii="Times New Roman" w:hAnsi="Times New Roman"/>
          <w:sz w:val="24"/>
          <w:szCs w:val="24"/>
        </w:rPr>
        <w:t>outsourcing facility</w:t>
      </w:r>
      <w:r w:rsidR="007C04F9" w:rsidRPr="00814901">
        <w:rPr>
          <w:rFonts w:ascii="Times New Roman" w:hAnsi="Times New Roman"/>
          <w:sz w:val="24"/>
          <w:szCs w:val="24"/>
        </w:rPr>
        <w:t xml:space="preserve"> </w:t>
      </w:r>
      <w:r w:rsidR="007C04F9" w:rsidRPr="00814901">
        <w:rPr>
          <w:rFonts w:ascii="Times New Roman" w:hAnsi="Times New Roman"/>
          <w:iCs/>
          <w:sz w:val="24"/>
          <w:szCs w:val="24"/>
        </w:rPr>
        <w:t>should</w:t>
      </w:r>
      <w:r w:rsidR="007C04F9" w:rsidRPr="00814901">
        <w:rPr>
          <w:rFonts w:ascii="Times New Roman" w:hAnsi="Times New Roman"/>
          <w:i/>
          <w:iCs/>
          <w:sz w:val="24"/>
          <w:szCs w:val="24"/>
        </w:rPr>
        <w:t xml:space="preserve"> </w:t>
      </w:r>
      <w:r w:rsidR="007C04F9" w:rsidRPr="00814901">
        <w:rPr>
          <w:rFonts w:ascii="Times New Roman" w:hAnsi="Times New Roman"/>
          <w:sz w:val="24"/>
          <w:szCs w:val="24"/>
        </w:rPr>
        <w:t xml:space="preserve">also provide any available information on the event(s) that </w:t>
      </w:r>
      <w:r w:rsidR="007C04F9" w:rsidRPr="00814901">
        <w:rPr>
          <w:rFonts w:ascii="Times New Roman" w:hAnsi="Times New Roman"/>
          <w:sz w:val="24"/>
          <w:szCs w:val="24"/>
        </w:rPr>
        <w:lastRenderedPageBreak/>
        <w:t>led to the death</w:t>
      </w:r>
      <w:r w:rsidR="00336222" w:rsidRPr="00814901">
        <w:rPr>
          <w:rFonts w:ascii="Times New Roman" w:hAnsi="Times New Roman"/>
          <w:sz w:val="24"/>
          <w:szCs w:val="24"/>
        </w:rPr>
        <w:t>.  The commenters stated it is unlikely that an outsourcing facility will be given access to the elements voluntarily by the health care facility where the serious adverse event occurred without being legally compelled to do so.</w:t>
      </w:r>
      <w:r w:rsidRPr="00814901">
        <w:rPr>
          <w:rFonts w:ascii="Times New Roman" w:hAnsi="Times New Roman"/>
          <w:sz w:val="24"/>
          <w:szCs w:val="24"/>
        </w:rPr>
        <w:t xml:space="preserve">  A commenter also asked how </w:t>
      </w:r>
      <w:r w:rsidR="00161388" w:rsidRPr="00814901">
        <w:rPr>
          <w:rFonts w:ascii="Times New Roman" w:hAnsi="Times New Roman"/>
          <w:sz w:val="24"/>
          <w:szCs w:val="24"/>
        </w:rPr>
        <w:t xml:space="preserve">a manufacturer, distributor, and/or supplier can obtain this information under </w:t>
      </w:r>
      <w:r w:rsidRPr="00814901">
        <w:rPr>
          <w:rFonts w:ascii="Times New Roman" w:hAnsi="Times New Roman"/>
          <w:sz w:val="24"/>
          <w:szCs w:val="24"/>
        </w:rPr>
        <w:t xml:space="preserve">the </w:t>
      </w:r>
      <w:r w:rsidRPr="00814901">
        <w:rPr>
          <w:rFonts w:ascii="Times New Roman" w:hAnsi="Times New Roman"/>
          <w:sz w:val="24"/>
          <w:szCs w:val="24"/>
          <w:lang w:val="en"/>
        </w:rPr>
        <w:t>Health Insurance Portability and Accountability Act (HIPAA)</w:t>
      </w:r>
      <w:r w:rsidRPr="00814901">
        <w:rPr>
          <w:rFonts w:ascii="Times New Roman" w:hAnsi="Times New Roman"/>
          <w:sz w:val="24"/>
          <w:szCs w:val="24"/>
        </w:rPr>
        <w:t>.</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Two</w:t>
      </w:r>
      <w:r w:rsidRPr="00814901">
        <w:rPr>
          <w:rFonts w:ascii="Times New Roman" w:hAnsi="Times New Roman"/>
          <w:sz w:val="24"/>
          <w:szCs w:val="24"/>
        </w:rPr>
        <w:t xml:space="preserve">: </w:t>
      </w:r>
      <w:r w:rsidR="00AE56C2" w:rsidRPr="00814901">
        <w:rPr>
          <w:rFonts w:ascii="Times New Roman" w:hAnsi="Times New Roman"/>
          <w:sz w:val="24"/>
          <w:szCs w:val="24"/>
        </w:rPr>
        <w:t xml:space="preserve">With regard to HIPAA, 45 CFR 164.512 describes situations under which “a covered entity [e.g., a health care provider], may use or disclose protected health information without the written authorization of the individual . . . or the opportunity for the individual to agree or object . . .” </w:t>
      </w:r>
      <w:r w:rsidR="00161388" w:rsidRPr="00814901">
        <w:rPr>
          <w:rFonts w:ascii="Times New Roman" w:hAnsi="Times New Roman"/>
          <w:sz w:val="24"/>
          <w:szCs w:val="24"/>
        </w:rPr>
        <w:t xml:space="preserve">One of these situations is “to collect or report adverse events” </w:t>
      </w:r>
      <w:r w:rsidR="007730DC" w:rsidRPr="00814901">
        <w:rPr>
          <w:rFonts w:ascii="Times New Roman" w:hAnsi="Times New Roman"/>
          <w:sz w:val="24"/>
          <w:szCs w:val="24"/>
        </w:rPr>
        <w:t xml:space="preserve">to FDA </w:t>
      </w:r>
      <w:r w:rsidR="00161388" w:rsidRPr="00814901">
        <w:rPr>
          <w:rFonts w:ascii="Times New Roman" w:hAnsi="Times New Roman"/>
          <w:sz w:val="24"/>
          <w:szCs w:val="24"/>
        </w:rPr>
        <w:t>(45 CFR 164.512(b)(1)(iii)(A)</w:t>
      </w:r>
      <w:r w:rsidR="001044FF" w:rsidRPr="00814901">
        <w:rPr>
          <w:rFonts w:ascii="Times New Roman" w:hAnsi="Times New Roman"/>
          <w:sz w:val="24"/>
          <w:szCs w:val="24"/>
        </w:rPr>
        <w:t>)</w:t>
      </w:r>
      <w:r w:rsidR="00161388" w:rsidRPr="00814901">
        <w:rPr>
          <w:rFonts w:ascii="Times New Roman" w:hAnsi="Times New Roman"/>
          <w:sz w:val="24"/>
          <w:szCs w:val="24"/>
        </w:rPr>
        <w:t>.  However, although information about adverse events can be obtained under HIPAA, t</w:t>
      </w:r>
      <w:r w:rsidRPr="00814901">
        <w:rPr>
          <w:rFonts w:ascii="Times New Roman" w:hAnsi="Times New Roman"/>
          <w:sz w:val="24"/>
          <w:szCs w:val="24"/>
        </w:rPr>
        <w:t xml:space="preserve">he guidance </w:t>
      </w:r>
      <w:r w:rsidR="00161388" w:rsidRPr="00814901">
        <w:rPr>
          <w:rFonts w:ascii="Times New Roman" w:hAnsi="Times New Roman"/>
          <w:sz w:val="24"/>
          <w:szCs w:val="24"/>
        </w:rPr>
        <w:t xml:space="preserve">does not state that an outsourcing facility must obtain this information.  Rather, the guidance </w:t>
      </w:r>
      <w:r w:rsidRPr="00814901">
        <w:rPr>
          <w:rFonts w:ascii="Times New Roman" w:hAnsi="Times New Roman"/>
          <w:sz w:val="24"/>
          <w:szCs w:val="24"/>
        </w:rPr>
        <w:t xml:space="preserve">states that attaching this information is encouraged.  It should be provided if the outsourcing facility has the information, but the outsourcing facility </w:t>
      </w:r>
      <w:r w:rsidR="00094F87">
        <w:rPr>
          <w:rFonts w:ascii="Times New Roman" w:hAnsi="Times New Roman"/>
          <w:sz w:val="24"/>
          <w:szCs w:val="24"/>
        </w:rPr>
        <w:t xml:space="preserve">is not specifically required to obtain </w:t>
      </w:r>
      <w:r w:rsidRPr="00814901">
        <w:rPr>
          <w:rFonts w:ascii="Times New Roman" w:hAnsi="Times New Roman"/>
          <w:sz w:val="24"/>
          <w:szCs w:val="24"/>
        </w:rPr>
        <w:t xml:space="preserve">this information.  FDA </w:t>
      </w:r>
      <w:r w:rsidR="00161388" w:rsidRPr="00814901">
        <w:rPr>
          <w:rFonts w:ascii="Times New Roman" w:hAnsi="Times New Roman"/>
          <w:sz w:val="24"/>
          <w:szCs w:val="24"/>
        </w:rPr>
        <w:t xml:space="preserve">has </w:t>
      </w:r>
      <w:r w:rsidRPr="00814901">
        <w:rPr>
          <w:rFonts w:ascii="Times New Roman" w:hAnsi="Times New Roman"/>
          <w:sz w:val="24"/>
          <w:szCs w:val="24"/>
        </w:rPr>
        <w:t>clarified in the guidance that the information should be provided</w:t>
      </w:r>
      <w:r w:rsidR="00B74B6B" w:rsidRPr="00814901">
        <w:rPr>
          <w:rFonts w:ascii="Times New Roman" w:hAnsi="Times New Roman"/>
          <w:sz w:val="24"/>
          <w:szCs w:val="24"/>
        </w:rPr>
        <w:t xml:space="preserve"> to FDA</w:t>
      </w:r>
      <w:r w:rsidRPr="00814901">
        <w:rPr>
          <w:rFonts w:ascii="Times New Roman" w:hAnsi="Times New Roman"/>
          <w:sz w:val="24"/>
          <w:szCs w:val="24"/>
        </w:rPr>
        <w:t xml:space="preserve"> if it is available.  Specifically, the guidance now reads: “In addition, as part of the adverse event report, we encourage, as appropriate, attachment of the following, </w:t>
      </w:r>
      <w:r w:rsidRPr="00814901">
        <w:rPr>
          <w:rFonts w:ascii="Times New Roman" w:hAnsi="Times New Roman"/>
          <w:i/>
          <w:sz w:val="24"/>
          <w:szCs w:val="24"/>
        </w:rPr>
        <w:t>if available</w:t>
      </w:r>
      <w:r w:rsidRPr="00814901">
        <w:rPr>
          <w:rFonts w:ascii="Times New Roman" w:hAnsi="Times New Roman"/>
          <w:sz w:val="24"/>
          <w:szCs w:val="24"/>
        </w:rPr>
        <w:t>: (1) hospital discharge summaries, (2) autopsy reports/death certificates, (3) relevant laboratory data, and (4) other critical clinical data.  In the case of a death, outsourcing facilities should also provide any available information on the event(s) that led to the death.”</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Three</w:t>
      </w:r>
      <w:r w:rsidRPr="00814901">
        <w:rPr>
          <w:rFonts w:ascii="Times New Roman" w:hAnsi="Times New Roman"/>
          <w:sz w:val="24"/>
          <w:szCs w:val="24"/>
        </w:rPr>
        <w:t xml:space="preserve">: </w:t>
      </w:r>
      <w:r w:rsidR="00921AFB" w:rsidRPr="00814901">
        <w:rPr>
          <w:rFonts w:ascii="Times New Roman" w:hAnsi="Times New Roman"/>
          <w:sz w:val="24"/>
          <w:szCs w:val="24"/>
        </w:rPr>
        <w:t xml:space="preserve">One commenter noted that the </w:t>
      </w:r>
      <w:r w:rsidR="00161388" w:rsidRPr="00814901">
        <w:rPr>
          <w:rFonts w:ascii="Times New Roman" w:hAnsi="Times New Roman"/>
          <w:sz w:val="24"/>
          <w:szCs w:val="24"/>
        </w:rPr>
        <w:t xml:space="preserve">period of </w:t>
      </w:r>
      <w:r w:rsidR="00921AFB" w:rsidRPr="00814901">
        <w:rPr>
          <w:rFonts w:ascii="Times New Roman" w:hAnsi="Times New Roman"/>
          <w:sz w:val="24"/>
          <w:szCs w:val="24"/>
        </w:rPr>
        <w:t xml:space="preserve">15 calendar days </w:t>
      </w:r>
      <w:r w:rsidR="00161388" w:rsidRPr="00814901">
        <w:rPr>
          <w:rFonts w:ascii="Times New Roman" w:hAnsi="Times New Roman"/>
          <w:sz w:val="24"/>
          <w:szCs w:val="24"/>
        </w:rPr>
        <w:t xml:space="preserve">to submit an initial report of an adverse event </w:t>
      </w:r>
      <w:r w:rsidR="00921AFB" w:rsidRPr="00814901">
        <w:rPr>
          <w:rFonts w:ascii="Times New Roman" w:hAnsi="Times New Roman"/>
          <w:sz w:val="24"/>
          <w:szCs w:val="24"/>
        </w:rPr>
        <w:t xml:space="preserve">and the 15 calendar days to submit a follow-up report is too long, that during this period illnesses, injuries, or deaths can result. The commenter also stated that this </w:t>
      </w:r>
      <w:r w:rsidR="00921AFB" w:rsidRPr="00814901">
        <w:rPr>
          <w:rFonts w:ascii="Times New Roman" w:hAnsi="Times New Roman"/>
          <w:sz w:val="24"/>
          <w:szCs w:val="24"/>
        </w:rPr>
        <w:lastRenderedPageBreak/>
        <w:t xml:space="preserve">would likely also delay initiation of recall procedures, and that the time period for reporting should be no more than 48 or 72 hours, </w:t>
      </w:r>
      <w:r w:rsidR="00161388" w:rsidRPr="00814901">
        <w:rPr>
          <w:rFonts w:ascii="Times New Roman" w:hAnsi="Times New Roman"/>
          <w:sz w:val="24"/>
          <w:szCs w:val="24"/>
        </w:rPr>
        <w:t>followed by</w:t>
      </w:r>
      <w:r w:rsidR="00921AFB" w:rsidRPr="00814901">
        <w:rPr>
          <w:rFonts w:ascii="Times New Roman" w:hAnsi="Times New Roman"/>
          <w:sz w:val="24"/>
          <w:szCs w:val="24"/>
        </w:rPr>
        <w:t xml:space="preserve"> an equally prompt follow-up and investigation period, and an immediate decision on a recall.</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Three</w:t>
      </w:r>
      <w:r w:rsidRPr="00814901">
        <w:rPr>
          <w:rFonts w:ascii="Times New Roman" w:hAnsi="Times New Roman"/>
          <w:sz w:val="24"/>
          <w:szCs w:val="24"/>
        </w:rPr>
        <w:t xml:space="preserve">: </w:t>
      </w:r>
      <w:r w:rsidR="00921AFB" w:rsidRPr="00814901">
        <w:rPr>
          <w:rFonts w:ascii="Times New Roman" w:hAnsi="Times New Roman"/>
          <w:sz w:val="24"/>
          <w:szCs w:val="24"/>
        </w:rPr>
        <w:t>The applicable regulation, 21 CFR 310.305, provides a 15-day timeframe for reporting an adverse event and an additional 15-day timeframe to submit a follow-up report.  This is the maximum amount of time</w:t>
      </w:r>
      <w:r w:rsidR="00161388" w:rsidRPr="00814901">
        <w:rPr>
          <w:rFonts w:ascii="Times New Roman" w:hAnsi="Times New Roman"/>
          <w:sz w:val="24"/>
          <w:szCs w:val="24"/>
        </w:rPr>
        <w:t xml:space="preserve"> permitted.  T</w:t>
      </w:r>
      <w:r w:rsidR="00921AFB" w:rsidRPr="00814901">
        <w:rPr>
          <w:rFonts w:ascii="Times New Roman" w:hAnsi="Times New Roman"/>
          <w:sz w:val="24"/>
          <w:szCs w:val="24"/>
        </w:rPr>
        <w:t>he guidance states that the regulations require reporting “as soon as possible, but in no case later than 15 calendar days . . .”</w:t>
      </w:r>
      <w:r w:rsidR="00D617FD" w:rsidRPr="00814901">
        <w:rPr>
          <w:rFonts w:ascii="Times New Roman" w:hAnsi="Times New Roman"/>
          <w:sz w:val="24"/>
          <w:szCs w:val="24"/>
        </w:rPr>
        <w:t xml:space="preserve"> The preamble to 21 CFR 310.305 </w:t>
      </w:r>
      <w:r w:rsidR="00B0784D" w:rsidRPr="00814901">
        <w:rPr>
          <w:rFonts w:ascii="Times New Roman" w:hAnsi="Times New Roman"/>
          <w:sz w:val="24"/>
          <w:szCs w:val="24"/>
        </w:rPr>
        <w:t>notes that the manufacturer must usually obtain additional information about the product (e.g., followup with the reporting physician or patient)</w:t>
      </w:r>
      <w:r w:rsidR="00D617FD" w:rsidRPr="00814901">
        <w:rPr>
          <w:rFonts w:ascii="Times New Roman" w:hAnsi="Times New Roman"/>
          <w:sz w:val="24"/>
          <w:szCs w:val="24"/>
        </w:rPr>
        <w:t xml:space="preserve">, and that reducing the time for submitting these reports would increase the number of incomplete reports.  </w:t>
      </w:r>
      <w:r w:rsidR="00B0784D" w:rsidRPr="00814901">
        <w:rPr>
          <w:rFonts w:ascii="Times New Roman" w:hAnsi="Times New Roman"/>
          <w:sz w:val="24"/>
          <w:szCs w:val="24"/>
        </w:rPr>
        <w:t>(51 FR 24478).</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Four</w:t>
      </w:r>
      <w:r w:rsidRPr="00814901">
        <w:rPr>
          <w:rFonts w:ascii="Times New Roman" w:hAnsi="Times New Roman"/>
          <w:sz w:val="24"/>
          <w:szCs w:val="24"/>
        </w:rPr>
        <w:t xml:space="preserve">: </w:t>
      </w:r>
      <w:r w:rsidR="00CD4587" w:rsidRPr="00814901">
        <w:rPr>
          <w:rFonts w:ascii="Times New Roman" w:hAnsi="Times New Roman"/>
          <w:sz w:val="24"/>
          <w:szCs w:val="24"/>
        </w:rPr>
        <w:t xml:space="preserve">FDA should immediately share all adverse events reported with the home state regulator, so </w:t>
      </w:r>
      <w:r w:rsidR="00411F9A" w:rsidRPr="00814901">
        <w:rPr>
          <w:rFonts w:ascii="Times New Roman" w:hAnsi="Times New Roman"/>
          <w:sz w:val="24"/>
          <w:szCs w:val="24"/>
        </w:rPr>
        <w:t xml:space="preserve">the </w:t>
      </w:r>
      <w:r w:rsidR="00CD4587" w:rsidRPr="00814901">
        <w:rPr>
          <w:rFonts w:ascii="Times New Roman" w:hAnsi="Times New Roman"/>
          <w:sz w:val="24"/>
          <w:szCs w:val="24"/>
        </w:rPr>
        <w:t>state agency is also aware of potential problems at one of its licensee’s facilities.</w:t>
      </w:r>
    </w:p>
    <w:p w:rsidR="00CD4587" w:rsidRPr="00814901" w:rsidRDefault="00336222" w:rsidP="00CD4587">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Four</w:t>
      </w:r>
      <w:r w:rsidRPr="00814901">
        <w:rPr>
          <w:rFonts w:ascii="Times New Roman" w:hAnsi="Times New Roman"/>
          <w:sz w:val="24"/>
          <w:szCs w:val="24"/>
        </w:rPr>
        <w:t xml:space="preserve">: </w:t>
      </w:r>
      <w:r w:rsidR="00CD4587" w:rsidRPr="00814901">
        <w:rPr>
          <w:rFonts w:ascii="Times New Roman" w:hAnsi="Times New Roman"/>
          <w:sz w:val="24"/>
          <w:szCs w:val="24"/>
        </w:rPr>
        <w:t xml:space="preserve">FDA intends to continue to work closely with </w:t>
      </w:r>
      <w:r w:rsidR="00161388" w:rsidRPr="00814901">
        <w:rPr>
          <w:rFonts w:ascii="Times New Roman" w:hAnsi="Times New Roman"/>
          <w:sz w:val="24"/>
          <w:szCs w:val="24"/>
        </w:rPr>
        <w:t>its</w:t>
      </w:r>
      <w:r w:rsidR="00CD4587" w:rsidRPr="00814901">
        <w:rPr>
          <w:rFonts w:ascii="Times New Roman" w:hAnsi="Times New Roman"/>
          <w:sz w:val="24"/>
          <w:szCs w:val="24"/>
        </w:rPr>
        <w:t xml:space="preserve"> state partners on oversight of compounding, including improving and streamlining information sharing as much as possible.  However, this</w:t>
      </w:r>
      <w:r w:rsidR="007B3605" w:rsidRPr="00814901">
        <w:rPr>
          <w:rFonts w:ascii="Times New Roman" w:hAnsi="Times New Roman"/>
          <w:sz w:val="24"/>
          <w:szCs w:val="24"/>
        </w:rPr>
        <w:t xml:space="preserve"> recommendation</w:t>
      </w:r>
      <w:r w:rsidR="00CD4587" w:rsidRPr="00814901">
        <w:rPr>
          <w:rFonts w:ascii="Times New Roman" w:hAnsi="Times New Roman"/>
          <w:sz w:val="24"/>
          <w:szCs w:val="24"/>
        </w:rPr>
        <w:t xml:space="preserve"> is not relevant to this guidance document, which focuses on how outsourcing facilities should submit adverse event reports to FDA.</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Five</w:t>
      </w:r>
      <w:r w:rsidRPr="00814901">
        <w:rPr>
          <w:rFonts w:ascii="Times New Roman" w:hAnsi="Times New Roman"/>
          <w:sz w:val="24"/>
          <w:szCs w:val="24"/>
        </w:rPr>
        <w:t xml:space="preserve">: </w:t>
      </w:r>
      <w:r w:rsidR="00CD4587" w:rsidRPr="00814901">
        <w:rPr>
          <w:rFonts w:ascii="Times New Roman" w:hAnsi="Times New Roman"/>
          <w:sz w:val="24"/>
          <w:szCs w:val="24"/>
        </w:rPr>
        <w:t xml:space="preserve">Two commenters asked how the reporting requirements proposed by the draft guidance interplay with reporting requirements imposed by state boards of pharmacy. The commenters asked whether, in the event a state board of pharmacy has adverse event reporting requirements that apply to an outsourcing facility, satisfying the adverse event reporting </w:t>
      </w:r>
      <w:r w:rsidR="00CD4587" w:rsidRPr="00814901">
        <w:rPr>
          <w:rFonts w:ascii="Times New Roman" w:hAnsi="Times New Roman"/>
          <w:sz w:val="24"/>
          <w:szCs w:val="24"/>
        </w:rPr>
        <w:lastRenderedPageBreak/>
        <w:t>requirements described by the draft guidance “preempt” the requirement to comply with a state reporting requirement.  They asked whether an outsourcing facility must report to both federal and state regulators and noted that this could r</w:t>
      </w:r>
      <w:r w:rsidR="00161388" w:rsidRPr="00814901">
        <w:rPr>
          <w:rFonts w:ascii="Times New Roman" w:hAnsi="Times New Roman"/>
          <w:sz w:val="24"/>
          <w:szCs w:val="24"/>
        </w:rPr>
        <w:t>esult in duplicate reporting</w:t>
      </w:r>
      <w:r w:rsidR="00CD4587" w:rsidRPr="00814901">
        <w:rPr>
          <w:rFonts w:ascii="Times New Roman" w:hAnsi="Times New Roman"/>
          <w:sz w:val="24"/>
          <w:szCs w:val="24"/>
        </w:rPr>
        <w:t xml:space="preserve">.  </w:t>
      </w:r>
    </w:p>
    <w:p w:rsidR="00CD4587" w:rsidRPr="00814901" w:rsidRDefault="00336222" w:rsidP="00CD4587">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Five</w:t>
      </w:r>
      <w:r w:rsidRPr="00814901">
        <w:rPr>
          <w:rFonts w:ascii="Times New Roman" w:hAnsi="Times New Roman"/>
          <w:sz w:val="24"/>
          <w:szCs w:val="24"/>
        </w:rPr>
        <w:t>:</w:t>
      </w:r>
      <w:r w:rsidR="00161388" w:rsidRPr="00814901">
        <w:rPr>
          <w:rFonts w:ascii="Times New Roman" w:hAnsi="Times New Roman"/>
          <w:sz w:val="24"/>
          <w:szCs w:val="24"/>
        </w:rPr>
        <w:t xml:space="preserve">  T</w:t>
      </w:r>
      <w:r w:rsidR="00CD4587" w:rsidRPr="00814901">
        <w:rPr>
          <w:rFonts w:ascii="Times New Roman" w:hAnsi="Times New Roman"/>
          <w:sz w:val="24"/>
          <w:szCs w:val="24"/>
        </w:rPr>
        <w:t xml:space="preserve">his guidance addresses requirements under the FD&amp;C Act and </w:t>
      </w:r>
      <w:r w:rsidR="007B3605" w:rsidRPr="00814901">
        <w:rPr>
          <w:rFonts w:ascii="Times New Roman" w:hAnsi="Times New Roman"/>
          <w:sz w:val="24"/>
          <w:szCs w:val="24"/>
        </w:rPr>
        <w:t xml:space="preserve">FDA </w:t>
      </w:r>
      <w:r w:rsidR="00CD4587" w:rsidRPr="00814901">
        <w:rPr>
          <w:rFonts w:ascii="Times New Roman" w:hAnsi="Times New Roman"/>
          <w:sz w:val="24"/>
          <w:szCs w:val="24"/>
        </w:rPr>
        <w:t xml:space="preserve">regulations.  </w:t>
      </w:r>
      <w:r w:rsidR="007730DC" w:rsidRPr="00814901">
        <w:rPr>
          <w:rFonts w:ascii="Times New Roman" w:hAnsi="Times New Roman"/>
          <w:sz w:val="24"/>
          <w:szCs w:val="24"/>
        </w:rPr>
        <w:t xml:space="preserve">Outsourcing facilities may have independent responsibilities to report to </w:t>
      </w:r>
      <w:r w:rsidR="00B03432" w:rsidRPr="00814901">
        <w:rPr>
          <w:rFonts w:ascii="Times New Roman" w:hAnsi="Times New Roman"/>
          <w:sz w:val="24"/>
          <w:szCs w:val="24"/>
        </w:rPr>
        <w:t xml:space="preserve">State boards of pharmacy.  </w:t>
      </w:r>
      <w:r w:rsidR="00CD4587" w:rsidRPr="00814901">
        <w:rPr>
          <w:rFonts w:ascii="Times New Roman" w:hAnsi="Times New Roman"/>
          <w:sz w:val="24"/>
          <w:szCs w:val="24"/>
        </w:rPr>
        <w:t xml:space="preserve">FDA will clarify in the guidance that in addition to complying with federal adverse event reporting requirements, outsourcing facilities must comply with any applicable state adverse event reporting requirements.  Specifically, FDA will add the following language: “Certain state boards of pharmacy may also require outsourcing facilities licensed in their states to report adverse events.  Outsourcing facilities must comply with any </w:t>
      </w:r>
      <w:r w:rsidR="007730DC" w:rsidRPr="00814901">
        <w:rPr>
          <w:rFonts w:ascii="Times New Roman" w:hAnsi="Times New Roman"/>
          <w:sz w:val="24"/>
          <w:szCs w:val="24"/>
        </w:rPr>
        <w:t xml:space="preserve">applicable </w:t>
      </w:r>
      <w:r w:rsidR="00CD4587" w:rsidRPr="00814901">
        <w:rPr>
          <w:rFonts w:ascii="Times New Roman" w:hAnsi="Times New Roman"/>
          <w:sz w:val="24"/>
          <w:szCs w:val="24"/>
        </w:rPr>
        <w:t>state reporting requirements independent of and in addition to reporting adverse events as described in this guidance.”</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Six</w:t>
      </w:r>
      <w:r w:rsidRPr="00814901">
        <w:rPr>
          <w:rFonts w:ascii="Times New Roman" w:hAnsi="Times New Roman"/>
          <w:sz w:val="24"/>
          <w:szCs w:val="24"/>
        </w:rPr>
        <w:t xml:space="preserve">: </w:t>
      </w:r>
      <w:r w:rsidR="0083074D" w:rsidRPr="00814901">
        <w:rPr>
          <w:rFonts w:ascii="Times New Roman" w:hAnsi="Times New Roman"/>
          <w:sz w:val="24"/>
          <w:szCs w:val="24"/>
        </w:rPr>
        <w:t>One commenter proposed language clarifying that the regulations described in the guidance apply to products without an approved new drug application.</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Six</w:t>
      </w:r>
      <w:r w:rsidRPr="00814901">
        <w:rPr>
          <w:rFonts w:ascii="Times New Roman" w:hAnsi="Times New Roman"/>
          <w:sz w:val="24"/>
          <w:szCs w:val="24"/>
        </w:rPr>
        <w:t>:</w:t>
      </w:r>
      <w:r w:rsidR="0083074D" w:rsidRPr="00814901">
        <w:rPr>
          <w:rFonts w:ascii="Times New Roman" w:hAnsi="Times New Roman"/>
          <w:sz w:val="24"/>
          <w:szCs w:val="24"/>
        </w:rPr>
        <w:t xml:space="preserve">  </w:t>
      </w:r>
      <w:r w:rsidR="00161388" w:rsidRPr="00814901">
        <w:rPr>
          <w:rFonts w:ascii="Times New Roman" w:hAnsi="Times New Roman"/>
          <w:sz w:val="24"/>
          <w:szCs w:val="24"/>
        </w:rPr>
        <w:t xml:space="preserve">This additional language is unnecessary because the </w:t>
      </w:r>
      <w:r w:rsidR="00700EB6" w:rsidRPr="00814901">
        <w:rPr>
          <w:rFonts w:ascii="Times New Roman" w:hAnsi="Times New Roman"/>
          <w:sz w:val="24"/>
          <w:szCs w:val="24"/>
        </w:rPr>
        <w:t xml:space="preserve">guidance cites the regulation </w:t>
      </w:r>
      <w:r w:rsidR="00161388" w:rsidRPr="00814901">
        <w:rPr>
          <w:rFonts w:ascii="Times New Roman" w:hAnsi="Times New Roman"/>
          <w:sz w:val="24"/>
          <w:szCs w:val="24"/>
        </w:rPr>
        <w:t>21 CFR 310.305</w:t>
      </w:r>
      <w:r w:rsidR="00700EB6" w:rsidRPr="00814901">
        <w:rPr>
          <w:rFonts w:ascii="Times New Roman" w:hAnsi="Times New Roman"/>
          <w:sz w:val="24"/>
          <w:szCs w:val="24"/>
        </w:rPr>
        <w:t xml:space="preserve"> and </w:t>
      </w:r>
      <w:r w:rsidR="00161388" w:rsidRPr="00814901">
        <w:rPr>
          <w:rFonts w:ascii="Times New Roman" w:hAnsi="Times New Roman"/>
          <w:sz w:val="24"/>
          <w:szCs w:val="24"/>
        </w:rPr>
        <w:t xml:space="preserve">makes clear </w:t>
      </w:r>
      <w:r w:rsidR="00700EB6" w:rsidRPr="00814901">
        <w:rPr>
          <w:rFonts w:ascii="Times New Roman" w:hAnsi="Times New Roman"/>
          <w:sz w:val="24"/>
          <w:szCs w:val="24"/>
        </w:rPr>
        <w:t xml:space="preserve">that it </w:t>
      </w:r>
      <w:r w:rsidR="00161388" w:rsidRPr="00814901">
        <w:rPr>
          <w:rFonts w:ascii="Times New Roman" w:hAnsi="Times New Roman"/>
          <w:sz w:val="24"/>
          <w:szCs w:val="24"/>
        </w:rPr>
        <w:t xml:space="preserve">applies to manufacturers of prescription drug products that are not the subject of an approved drug application.  </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Seven</w:t>
      </w:r>
      <w:r w:rsidRPr="00814901">
        <w:rPr>
          <w:rFonts w:ascii="Times New Roman" w:hAnsi="Times New Roman"/>
          <w:sz w:val="24"/>
          <w:szCs w:val="24"/>
        </w:rPr>
        <w:t xml:space="preserve">: </w:t>
      </w:r>
      <w:r w:rsidR="00CE1F68" w:rsidRPr="00814901">
        <w:rPr>
          <w:rFonts w:ascii="Times New Roman" w:hAnsi="Times New Roman"/>
          <w:sz w:val="24"/>
          <w:szCs w:val="24"/>
        </w:rPr>
        <w:t xml:space="preserve">With regard to the following statement in the draft guidance: “Reports should be submitted as long as the outsourcing facility has information on at least the suspect drug and the adverse event,” one commenter recommended that FDA clarify that if a report lacks the four minimum data elements, the outsourcing facility should review the report for any potential safety issue.  </w:t>
      </w:r>
    </w:p>
    <w:p w:rsidR="00CE1F68" w:rsidRPr="00814901" w:rsidRDefault="00336222" w:rsidP="00CE1F68">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lastRenderedPageBreak/>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Seven</w:t>
      </w:r>
      <w:r w:rsidRPr="00814901">
        <w:rPr>
          <w:rFonts w:ascii="Times New Roman" w:hAnsi="Times New Roman"/>
          <w:sz w:val="24"/>
          <w:szCs w:val="24"/>
        </w:rPr>
        <w:t xml:space="preserve">: </w:t>
      </w:r>
      <w:r w:rsidR="00CE1F68" w:rsidRPr="00814901">
        <w:rPr>
          <w:rFonts w:ascii="Times New Roman" w:hAnsi="Times New Roman"/>
          <w:sz w:val="24"/>
          <w:szCs w:val="24"/>
        </w:rPr>
        <w:t>FDA believes that the draft guidance is clear that if the report lacks the four data elements, the outsourcing facility should continue investigating.  The guidance states, “If the outsourcing facility was not able to include all four of the data elements in its initial report, it should exercise due diligence to obtain information about any of the remaining elements.”</w:t>
      </w:r>
      <w:r w:rsidR="00700EB6" w:rsidRPr="00814901">
        <w:rPr>
          <w:rFonts w:ascii="Times New Roman" w:hAnsi="Times New Roman"/>
          <w:sz w:val="24"/>
          <w:szCs w:val="24"/>
        </w:rPr>
        <w:t xml:space="preserve">  </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Eight</w:t>
      </w:r>
      <w:r w:rsidRPr="00814901">
        <w:rPr>
          <w:rFonts w:ascii="Times New Roman" w:hAnsi="Times New Roman"/>
          <w:sz w:val="24"/>
          <w:szCs w:val="24"/>
        </w:rPr>
        <w:t xml:space="preserve">: </w:t>
      </w:r>
      <w:r w:rsidR="00CE1F68" w:rsidRPr="00814901">
        <w:rPr>
          <w:rFonts w:ascii="Times New Roman" w:hAnsi="Times New Roman"/>
          <w:sz w:val="24"/>
          <w:szCs w:val="24"/>
        </w:rPr>
        <w:t>One commenter suggested that FDA clarify that if an adverse event reporter does not identify a suspect drug, the outsourcing facility should submit a report that lists all drugs that the patient was taking as suspect.</w:t>
      </w:r>
    </w:p>
    <w:p w:rsidR="00CE1F68" w:rsidRPr="00814901" w:rsidRDefault="00336222" w:rsidP="00CE1F68">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Eight</w:t>
      </w:r>
      <w:r w:rsidRPr="00814901">
        <w:rPr>
          <w:rFonts w:ascii="Times New Roman" w:hAnsi="Times New Roman"/>
          <w:sz w:val="24"/>
          <w:szCs w:val="24"/>
        </w:rPr>
        <w:t>:</w:t>
      </w:r>
      <w:r w:rsidR="00CE1F68" w:rsidRPr="00814901">
        <w:rPr>
          <w:rFonts w:ascii="Times New Roman" w:hAnsi="Times New Roman"/>
          <w:sz w:val="24"/>
          <w:szCs w:val="24"/>
        </w:rPr>
        <w:t xml:space="preserve">  FDA does not agree with this suggestion.  The guidance states that for an adverse event to be reportable to FDA, the outsourcing facility must have information on at least two data elements: an adverse event, and a suspect drug. </w:t>
      </w:r>
      <w:r w:rsidR="007B3605" w:rsidRPr="00814901">
        <w:rPr>
          <w:rFonts w:ascii="Times New Roman" w:hAnsi="Times New Roman"/>
          <w:sz w:val="24"/>
          <w:szCs w:val="24"/>
        </w:rPr>
        <w:t xml:space="preserve"> A suspect drug product is one that the initial reporter suspected was associated with the adverse event. </w:t>
      </w:r>
      <w:r w:rsidR="00CE1F68" w:rsidRPr="00814901">
        <w:rPr>
          <w:rFonts w:ascii="Times New Roman" w:hAnsi="Times New Roman"/>
          <w:sz w:val="24"/>
          <w:szCs w:val="24"/>
        </w:rPr>
        <w:t xml:space="preserve"> If the reporter does not identify a suspect drug, the adverse event</w:t>
      </w:r>
      <w:r w:rsidR="007B3605" w:rsidRPr="00814901">
        <w:rPr>
          <w:rFonts w:ascii="Times New Roman" w:hAnsi="Times New Roman"/>
          <w:sz w:val="24"/>
          <w:szCs w:val="24"/>
        </w:rPr>
        <w:t xml:space="preserve"> is</w:t>
      </w:r>
      <w:r w:rsidR="00CE1F68" w:rsidRPr="00814901">
        <w:rPr>
          <w:rFonts w:ascii="Times New Roman" w:hAnsi="Times New Roman"/>
          <w:sz w:val="24"/>
          <w:szCs w:val="24"/>
        </w:rPr>
        <w:t xml:space="preserve"> not reportable.</w:t>
      </w:r>
      <w:r w:rsidR="00B031E0" w:rsidRPr="00814901">
        <w:rPr>
          <w:rFonts w:ascii="Times New Roman" w:hAnsi="Times New Roman"/>
          <w:sz w:val="24"/>
          <w:szCs w:val="24"/>
        </w:rPr>
        <w:t xml:space="preserve">  </w:t>
      </w:r>
      <w:r w:rsidR="0016161F" w:rsidRPr="00814901">
        <w:rPr>
          <w:rFonts w:ascii="Times New Roman" w:hAnsi="Times New Roman"/>
          <w:sz w:val="24"/>
          <w:szCs w:val="24"/>
        </w:rPr>
        <w:t>The outsourcing facility should not submit a report that lists each of the drugs the patient was taking as suspect drugs</w:t>
      </w:r>
      <w:r w:rsidR="00536EF0" w:rsidRPr="00814901">
        <w:rPr>
          <w:rFonts w:ascii="Times New Roman" w:hAnsi="Times New Roman"/>
          <w:sz w:val="24"/>
          <w:szCs w:val="24"/>
        </w:rPr>
        <w:t>, as the comment suggests, if none of the drugs was identified as suspect by the reporter.</w:t>
      </w:r>
      <w:r w:rsidR="0016161F" w:rsidRPr="00814901">
        <w:rPr>
          <w:rFonts w:ascii="Times New Roman" w:hAnsi="Times New Roman"/>
          <w:sz w:val="24"/>
          <w:szCs w:val="24"/>
        </w:rPr>
        <w:t xml:space="preserve"> In most</w:t>
      </w:r>
      <w:r w:rsidR="00AA3D0F" w:rsidRPr="00814901">
        <w:rPr>
          <w:rFonts w:ascii="Times New Roman" w:hAnsi="Times New Roman"/>
          <w:sz w:val="24"/>
          <w:szCs w:val="24"/>
        </w:rPr>
        <w:t xml:space="preserve"> cases</w:t>
      </w:r>
      <w:r w:rsidR="00536EF0" w:rsidRPr="00814901">
        <w:rPr>
          <w:rFonts w:ascii="Times New Roman" w:hAnsi="Times New Roman"/>
          <w:sz w:val="24"/>
          <w:szCs w:val="24"/>
        </w:rPr>
        <w:t>, we believe that a reporter that contacts an outsourcing facility will</w:t>
      </w:r>
      <w:r w:rsidR="0016161F" w:rsidRPr="00814901">
        <w:rPr>
          <w:rFonts w:ascii="Times New Roman" w:hAnsi="Times New Roman"/>
          <w:sz w:val="24"/>
          <w:szCs w:val="24"/>
        </w:rPr>
        <w:t xml:space="preserve"> </w:t>
      </w:r>
      <w:r w:rsidR="00536EF0" w:rsidRPr="00814901">
        <w:rPr>
          <w:rFonts w:ascii="Times New Roman" w:hAnsi="Times New Roman"/>
          <w:sz w:val="24"/>
          <w:szCs w:val="24"/>
        </w:rPr>
        <w:t xml:space="preserve">be able to </w:t>
      </w:r>
      <w:r w:rsidR="0016161F" w:rsidRPr="00814901">
        <w:rPr>
          <w:rFonts w:ascii="Times New Roman" w:hAnsi="Times New Roman"/>
          <w:sz w:val="24"/>
          <w:szCs w:val="24"/>
        </w:rPr>
        <w:t>identify the suspect drug</w:t>
      </w:r>
      <w:r w:rsidR="00C628D0" w:rsidRPr="00814901">
        <w:rPr>
          <w:rFonts w:ascii="Times New Roman" w:hAnsi="Times New Roman"/>
          <w:sz w:val="24"/>
          <w:szCs w:val="24"/>
        </w:rPr>
        <w:t xml:space="preserve">.  It is unlikely that </w:t>
      </w:r>
      <w:r w:rsidR="00AA3D0F" w:rsidRPr="00814901">
        <w:rPr>
          <w:rFonts w:ascii="Times New Roman" w:hAnsi="Times New Roman"/>
          <w:sz w:val="24"/>
          <w:szCs w:val="24"/>
        </w:rPr>
        <w:t>the reporter would have notif</w:t>
      </w:r>
      <w:r w:rsidR="0016161F" w:rsidRPr="00814901">
        <w:rPr>
          <w:rFonts w:ascii="Times New Roman" w:hAnsi="Times New Roman"/>
          <w:sz w:val="24"/>
          <w:szCs w:val="24"/>
        </w:rPr>
        <w:t>ied</w:t>
      </w:r>
      <w:r w:rsidR="00AA3D0F" w:rsidRPr="00814901">
        <w:rPr>
          <w:rFonts w:ascii="Times New Roman" w:hAnsi="Times New Roman"/>
          <w:sz w:val="24"/>
          <w:szCs w:val="24"/>
        </w:rPr>
        <w:t xml:space="preserve"> the outsourcing facility of the adverse event</w:t>
      </w:r>
      <w:r w:rsidR="0016161F" w:rsidRPr="00814901">
        <w:rPr>
          <w:rFonts w:ascii="Times New Roman" w:hAnsi="Times New Roman"/>
          <w:sz w:val="24"/>
          <w:szCs w:val="24"/>
        </w:rPr>
        <w:t xml:space="preserve"> if it did not believe th</w:t>
      </w:r>
      <w:r w:rsidR="00C628D0" w:rsidRPr="00814901">
        <w:rPr>
          <w:rFonts w:ascii="Times New Roman" w:hAnsi="Times New Roman"/>
          <w:sz w:val="24"/>
          <w:szCs w:val="24"/>
        </w:rPr>
        <w:t>e compounded drug</w:t>
      </w:r>
      <w:r w:rsidR="0016161F" w:rsidRPr="00814901">
        <w:rPr>
          <w:rFonts w:ascii="Times New Roman" w:hAnsi="Times New Roman"/>
          <w:sz w:val="24"/>
          <w:szCs w:val="24"/>
        </w:rPr>
        <w:t xml:space="preserve"> manufactured by the outsourcing facility caused the adverse event</w:t>
      </w:r>
      <w:r w:rsidR="00AA3D0F" w:rsidRPr="00814901">
        <w:rPr>
          <w:rFonts w:ascii="Times New Roman" w:hAnsi="Times New Roman"/>
          <w:sz w:val="24"/>
          <w:szCs w:val="24"/>
        </w:rPr>
        <w:t xml:space="preserve"> </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Nine</w:t>
      </w:r>
      <w:r w:rsidRPr="00814901">
        <w:rPr>
          <w:rFonts w:ascii="Times New Roman" w:hAnsi="Times New Roman"/>
          <w:sz w:val="24"/>
          <w:szCs w:val="24"/>
        </w:rPr>
        <w:t xml:space="preserve">: </w:t>
      </w:r>
      <w:r w:rsidR="00CE1F68" w:rsidRPr="00814901">
        <w:rPr>
          <w:rFonts w:ascii="Times New Roman" w:hAnsi="Times New Roman"/>
          <w:sz w:val="24"/>
          <w:szCs w:val="24"/>
        </w:rPr>
        <w:t>Several commenter</w:t>
      </w:r>
      <w:r w:rsidR="00305E3F" w:rsidRPr="00814901">
        <w:rPr>
          <w:rFonts w:ascii="Times New Roman" w:hAnsi="Times New Roman"/>
          <w:sz w:val="24"/>
          <w:szCs w:val="24"/>
        </w:rPr>
        <w:t xml:space="preserve">s noted that under the draft guidance, when an adverse event cannot be directly determined to be associated with a specific drug, the outsourcing </w:t>
      </w:r>
      <w:r w:rsidR="00700EB6" w:rsidRPr="00814901">
        <w:rPr>
          <w:rFonts w:ascii="Times New Roman" w:hAnsi="Times New Roman"/>
          <w:sz w:val="24"/>
          <w:szCs w:val="24"/>
        </w:rPr>
        <w:t xml:space="preserve">facility </w:t>
      </w:r>
      <w:r w:rsidR="00305E3F" w:rsidRPr="00814901">
        <w:rPr>
          <w:rFonts w:ascii="Times New Roman" w:hAnsi="Times New Roman"/>
          <w:sz w:val="24"/>
          <w:szCs w:val="24"/>
        </w:rPr>
        <w:t xml:space="preserve">should identify and list all other medications to which the identified patient may have been exposed including information related to </w:t>
      </w:r>
      <w:r w:rsidR="00305E3F" w:rsidRPr="00814901">
        <w:rPr>
          <w:rFonts w:ascii="Times New Roman" w:hAnsi="Times New Roman"/>
          <w:iCs/>
          <w:sz w:val="24"/>
          <w:szCs w:val="24"/>
        </w:rPr>
        <w:t>all</w:t>
      </w:r>
      <w:r w:rsidR="00305E3F" w:rsidRPr="00814901">
        <w:rPr>
          <w:rFonts w:ascii="Times New Roman" w:hAnsi="Times New Roman"/>
          <w:i/>
          <w:iCs/>
          <w:sz w:val="24"/>
          <w:szCs w:val="24"/>
        </w:rPr>
        <w:t xml:space="preserve"> </w:t>
      </w:r>
      <w:r w:rsidR="00305E3F" w:rsidRPr="00814901">
        <w:rPr>
          <w:rFonts w:ascii="Times New Roman" w:hAnsi="Times New Roman"/>
          <w:sz w:val="24"/>
          <w:szCs w:val="24"/>
        </w:rPr>
        <w:t xml:space="preserve">compounded prescription preparations, brand and </w:t>
      </w:r>
      <w:r w:rsidR="00305E3F" w:rsidRPr="00814901">
        <w:rPr>
          <w:rFonts w:ascii="Times New Roman" w:hAnsi="Times New Roman"/>
          <w:sz w:val="24"/>
          <w:szCs w:val="24"/>
        </w:rPr>
        <w:lastRenderedPageBreak/>
        <w:t xml:space="preserve">generic manufactured drug products, dietary supplements, and over-the counter medications that may have been taken by the patient.  The commenters stated that requiring information on all drug products taken by a patient that may be “suspect” is unduly burdensome, especially when a compounded preparation is distributed to a medical center where multiple treatments and therapies are provided at any given time to an individual. </w:t>
      </w:r>
      <w:r w:rsidR="00CE1F68" w:rsidRPr="00814901">
        <w:rPr>
          <w:rFonts w:ascii="Times New Roman" w:hAnsi="Times New Roman"/>
          <w:sz w:val="24"/>
          <w:szCs w:val="24"/>
        </w:rPr>
        <w:t xml:space="preserve"> </w:t>
      </w:r>
      <w:r w:rsidR="00305E3F" w:rsidRPr="00814901">
        <w:rPr>
          <w:rFonts w:ascii="Times New Roman" w:hAnsi="Times New Roman"/>
          <w:sz w:val="24"/>
          <w:szCs w:val="24"/>
        </w:rPr>
        <w:t xml:space="preserve">An </w:t>
      </w:r>
      <w:r w:rsidR="00CE1F68" w:rsidRPr="00814901">
        <w:rPr>
          <w:rFonts w:ascii="Times New Roman" w:hAnsi="Times New Roman"/>
          <w:sz w:val="24"/>
          <w:szCs w:val="24"/>
        </w:rPr>
        <w:t xml:space="preserve">outsourcing facility may </w:t>
      </w:r>
      <w:r w:rsidR="00305E3F" w:rsidRPr="00814901">
        <w:rPr>
          <w:rFonts w:ascii="Times New Roman" w:hAnsi="Times New Roman"/>
          <w:sz w:val="24"/>
          <w:szCs w:val="24"/>
        </w:rPr>
        <w:t xml:space="preserve">therefore </w:t>
      </w:r>
      <w:r w:rsidR="00CE1F68" w:rsidRPr="00814901">
        <w:rPr>
          <w:rFonts w:ascii="Times New Roman" w:hAnsi="Times New Roman"/>
          <w:sz w:val="24"/>
          <w:szCs w:val="24"/>
        </w:rPr>
        <w:t xml:space="preserve">have an incomplete picture of the circumstances under which the drug was administered. </w:t>
      </w:r>
      <w:r w:rsidR="00305E3F" w:rsidRPr="00814901">
        <w:rPr>
          <w:rFonts w:ascii="Times New Roman" w:hAnsi="Times New Roman"/>
          <w:sz w:val="24"/>
          <w:szCs w:val="24"/>
        </w:rPr>
        <w:t xml:space="preserve"> In addition</w:t>
      </w:r>
      <w:r w:rsidR="002D755F" w:rsidRPr="00814901">
        <w:rPr>
          <w:rFonts w:ascii="Times New Roman" w:hAnsi="Times New Roman"/>
          <w:sz w:val="24"/>
          <w:szCs w:val="24"/>
        </w:rPr>
        <w:t>,</w:t>
      </w:r>
      <w:r w:rsidR="00305E3F" w:rsidRPr="00814901">
        <w:rPr>
          <w:rFonts w:ascii="Times New Roman" w:hAnsi="Times New Roman"/>
          <w:sz w:val="24"/>
          <w:szCs w:val="24"/>
        </w:rPr>
        <w:t xml:space="preserve"> the outsourcing facility would also have no control over how a drug is administered, and improper administration may be material to the cause of the adverse event.</w:t>
      </w:r>
    </w:p>
    <w:p w:rsidR="00CE1F68" w:rsidRPr="00814901" w:rsidRDefault="00336222" w:rsidP="00CE1F68">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Nine</w:t>
      </w:r>
      <w:r w:rsidRPr="00814901">
        <w:rPr>
          <w:rFonts w:ascii="Times New Roman" w:hAnsi="Times New Roman"/>
          <w:sz w:val="24"/>
          <w:szCs w:val="24"/>
        </w:rPr>
        <w:t xml:space="preserve">: </w:t>
      </w:r>
      <w:r w:rsidR="00CE1F68" w:rsidRPr="00814901">
        <w:rPr>
          <w:rFonts w:ascii="Times New Roman" w:hAnsi="Times New Roman"/>
          <w:sz w:val="24"/>
          <w:szCs w:val="24"/>
        </w:rPr>
        <w:t xml:space="preserve">FDA will clarify that the outsourcing facility </w:t>
      </w:r>
      <w:r w:rsidR="00094F87">
        <w:rPr>
          <w:rFonts w:ascii="Times New Roman" w:hAnsi="Times New Roman"/>
          <w:sz w:val="24"/>
          <w:szCs w:val="24"/>
        </w:rPr>
        <w:t xml:space="preserve">should </w:t>
      </w:r>
      <w:r w:rsidR="00CE1F68" w:rsidRPr="00814901">
        <w:rPr>
          <w:rFonts w:ascii="Times New Roman" w:hAnsi="Times New Roman"/>
          <w:sz w:val="24"/>
          <w:szCs w:val="24"/>
        </w:rPr>
        <w:t>only include information on suspect drug products that the outsourcing facility is aware of</w:t>
      </w:r>
      <w:r w:rsidR="002F4318" w:rsidRPr="00814901">
        <w:rPr>
          <w:rFonts w:ascii="Times New Roman" w:hAnsi="Times New Roman"/>
          <w:sz w:val="24"/>
          <w:szCs w:val="24"/>
        </w:rPr>
        <w:t xml:space="preserve"> from the reporter and the outsourcing facility’s due diligence to obtain additional information</w:t>
      </w:r>
      <w:r w:rsidR="00CE1F68" w:rsidRPr="00814901">
        <w:rPr>
          <w:rFonts w:ascii="Times New Roman" w:hAnsi="Times New Roman"/>
          <w:sz w:val="24"/>
          <w:szCs w:val="24"/>
        </w:rPr>
        <w:t xml:space="preserve">.  </w:t>
      </w:r>
      <w:r w:rsidR="00364B4E" w:rsidRPr="00814901">
        <w:rPr>
          <w:rFonts w:ascii="Times New Roman" w:hAnsi="Times New Roman"/>
          <w:sz w:val="24"/>
          <w:szCs w:val="24"/>
        </w:rPr>
        <w:t xml:space="preserve">The outsourcing facility is not expected to report information that it does not have.  </w:t>
      </w:r>
      <w:r w:rsidR="00CE1F68" w:rsidRPr="00814901">
        <w:rPr>
          <w:rFonts w:ascii="Times New Roman" w:hAnsi="Times New Roman"/>
          <w:sz w:val="24"/>
          <w:szCs w:val="24"/>
        </w:rPr>
        <w:t xml:space="preserve">Specifically, FDA will add the italicized language: “In all cases, including those where not all of the drug products were made by the outsourcing facility, the report </w:t>
      </w:r>
      <w:r w:rsidR="0098598E" w:rsidRPr="00814901">
        <w:rPr>
          <w:rFonts w:ascii="Times New Roman" w:hAnsi="Times New Roman"/>
          <w:sz w:val="24"/>
          <w:szCs w:val="24"/>
        </w:rPr>
        <w:t xml:space="preserve">should </w:t>
      </w:r>
      <w:r w:rsidR="00CE1F68" w:rsidRPr="00814901">
        <w:rPr>
          <w:rFonts w:ascii="Times New Roman" w:hAnsi="Times New Roman"/>
          <w:sz w:val="24"/>
          <w:szCs w:val="24"/>
        </w:rPr>
        <w:t xml:space="preserve">include information on all suspect drug products </w:t>
      </w:r>
      <w:r w:rsidR="00CE1F68" w:rsidRPr="00814901">
        <w:rPr>
          <w:rFonts w:ascii="Times New Roman" w:hAnsi="Times New Roman"/>
          <w:i/>
          <w:sz w:val="24"/>
          <w:szCs w:val="24"/>
        </w:rPr>
        <w:t>of which the outsourcing facility is aware</w:t>
      </w:r>
      <w:r w:rsidR="00CE1F68" w:rsidRPr="00814901">
        <w:rPr>
          <w:rFonts w:ascii="Times New Roman" w:hAnsi="Times New Roman"/>
          <w:sz w:val="24"/>
          <w:szCs w:val="24"/>
        </w:rPr>
        <w:t>.”</w:t>
      </w:r>
    </w:p>
    <w:p w:rsidR="00305E3F" w:rsidRPr="00814901" w:rsidRDefault="00305E3F" w:rsidP="00305E3F">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t>FDA will also clarify that FDA will consider how the drug was administered, the patient’s medical history, and any other relevant facts when investigating the adverse event.  Specifically, FDA will add the following language: “</w:t>
      </w:r>
      <w:r w:rsidRPr="00814901">
        <w:rPr>
          <w:rFonts w:ascii="Times New Roman" w:hAnsi="Times New Roman"/>
          <w:i/>
          <w:sz w:val="24"/>
          <w:szCs w:val="24"/>
        </w:rPr>
        <w:t xml:space="preserve">The outsourcing facility should </w:t>
      </w:r>
      <w:r w:rsidR="00700EB6" w:rsidRPr="00814901">
        <w:rPr>
          <w:rFonts w:ascii="Times New Roman" w:hAnsi="Times New Roman"/>
          <w:i/>
          <w:sz w:val="24"/>
          <w:szCs w:val="24"/>
        </w:rPr>
        <w:t xml:space="preserve">include the </w:t>
      </w:r>
      <w:r w:rsidRPr="00814901">
        <w:rPr>
          <w:rFonts w:ascii="Times New Roman" w:hAnsi="Times New Roman"/>
          <w:i/>
          <w:sz w:val="24"/>
          <w:szCs w:val="24"/>
        </w:rPr>
        <w:t xml:space="preserve">information </w:t>
      </w:r>
      <w:r w:rsidR="00700EB6" w:rsidRPr="00814901">
        <w:rPr>
          <w:rFonts w:ascii="Times New Roman" w:hAnsi="Times New Roman"/>
          <w:i/>
          <w:sz w:val="24"/>
          <w:szCs w:val="24"/>
        </w:rPr>
        <w:t xml:space="preserve">described in this guidance </w:t>
      </w:r>
      <w:r w:rsidRPr="00814901">
        <w:rPr>
          <w:rFonts w:ascii="Times New Roman" w:hAnsi="Times New Roman"/>
          <w:i/>
          <w:sz w:val="24"/>
          <w:szCs w:val="24"/>
        </w:rPr>
        <w:t>on suspect drug products and concomitant medications of which it is aware</w:t>
      </w:r>
      <w:r w:rsidR="007730DC" w:rsidRPr="00814901">
        <w:rPr>
          <w:rFonts w:ascii="Times New Roman" w:hAnsi="Times New Roman"/>
          <w:i/>
          <w:sz w:val="24"/>
          <w:szCs w:val="24"/>
        </w:rPr>
        <w:t xml:space="preserve"> after exercising due diligence</w:t>
      </w:r>
      <w:r w:rsidRPr="00814901">
        <w:rPr>
          <w:rFonts w:ascii="Times New Roman" w:hAnsi="Times New Roman"/>
          <w:i/>
          <w:sz w:val="24"/>
          <w:szCs w:val="24"/>
        </w:rPr>
        <w:t xml:space="preserve">.  For example, although an outsourcing facility should exercise due diligence to determine any concomitant medical products, FDA only expects that it report information about concomitant products that it is able to obtain from the reporter. Furthermore, as noted previously, the report or information submitted by an outsourcing facility </w:t>
      </w:r>
      <w:r w:rsidRPr="00814901">
        <w:rPr>
          <w:rFonts w:ascii="Times New Roman" w:hAnsi="Times New Roman"/>
          <w:i/>
          <w:sz w:val="24"/>
          <w:szCs w:val="24"/>
        </w:rPr>
        <w:lastRenderedPageBreak/>
        <w:t>pursuant to section 310.305 (and any release by FDA of that report or information) does not necessarily reflect a conclusion that the report or information constitutes an admission that the drug caused or contributed to an adverse effect.</w:t>
      </w:r>
      <w:r w:rsidRPr="00814901">
        <w:rPr>
          <w:rFonts w:ascii="Times New Roman" w:hAnsi="Times New Roman"/>
          <w:i/>
          <w:sz w:val="24"/>
          <w:szCs w:val="24"/>
          <w:vertAlign w:val="superscript"/>
        </w:rPr>
        <w:footnoteReference w:id="1"/>
      </w:r>
      <w:r w:rsidRPr="00814901">
        <w:rPr>
          <w:rFonts w:ascii="Times New Roman" w:hAnsi="Times New Roman"/>
          <w:i/>
          <w:sz w:val="24"/>
          <w:szCs w:val="24"/>
        </w:rPr>
        <w:t xml:space="preserve"> When investigating the adverse event, FDA consider</w:t>
      </w:r>
      <w:r w:rsidR="007730DC" w:rsidRPr="00814901">
        <w:rPr>
          <w:rFonts w:ascii="Times New Roman" w:hAnsi="Times New Roman"/>
          <w:i/>
          <w:sz w:val="24"/>
          <w:szCs w:val="24"/>
        </w:rPr>
        <w:t>s</w:t>
      </w:r>
      <w:r w:rsidRPr="00814901">
        <w:rPr>
          <w:rFonts w:ascii="Times New Roman" w:hAnsi="Times New Roman"/>
          <w:i/>
          <w:sz w:val="24"/>
          <w:szCs w:val="24"/>
        </w:rPr>
        <w:t xml:space="preserve"> how the drug was administered, the patient’s medical history, and any other relevant information</w:t>
      </w:r>
      <w:r w:rsidRPr="00814901">
        <w:rPr>
          <w:rFonts w:ascii="Times New Roman" w:hAnsi="Times New Roman"/>
          <w:sz w:val="24"/>
          <w:szCs w:val="24"/>
        </w:rPr>
        <w:t>.”</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Ten</w:t>
      </w:r>
      <w:r w:rsidRPr="00814901">
        <w:rPr>
          <w:rFonts w:ascii="Times New Roman" w:hAnsi="Times New Roman"/>
          <w:sz w:val="24"/>
          <w:szCs w:val="24"/>
        </w:rPr>
        <w:t xml:space="preserve">: </w:t>
      </w:r>
      <w:r w:rsidR="006A7B0A" w:rsidRPr="00814901">
        <w:rPr>
          <w:rFonts w:ascii="Times New Roman" w:hAnsi="Times New Roman"/>
          <w:sz w:val="24"/>
          <w:szCs w:val="24"/>
        </w:rPr>
        <w:t>Two commenters asked how, given that a compounded product contains more than one component, could an outsourcing facility or the healthcare provider know which component of the compounded product, or which component of which product, is suspect.  Compounded products have a number of components and active pharmaceutical ingredients (API), so it may be difficult for an outsourcing facility to tie a serious, unexpected adverse event to a specific component or API.</w:t>
      </w:r>
      <w:r w:rsidR="003C079F" w:rsidRPr="00814901">
        <w:rPr>
          <w:rFonts w:ascii="Times New Roman" w:hAnsi="Times New Roman"/>
          <w:sz w:val="24"/>
          <w:szCs w:val="24"/>
        </w:rPr>
        <w:t xml:space="preserve">  A commenter also noted that FDA should require that an adverse event report identify all the APIs contained in a compounded drug and the APIs’ manufacturer(s).</w:t>
      </w:r>
    </w:p>
    <w:p w:rsidR="003C079F" w:rsidRPr="00814901" w:rsidRDefault="00336222" w:rsidP="003C079F">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Ten</w:t>
      </w:r>
      <w:r w:rsidRPr="00814901">
        <w:rPr>
          <w:rFonts w:ascii="Times New Roman" w:hAnsi="Times New Roman"/>
          <w:sz w:val="24"/>
          <w:szCs w:val="24"/>
        </w:rPr>
        <w:t>:</w:t>
      </w:r>
      <w:r w:rsidR="006A7B0A" w:rsidRPr="00814901">
        <w:rPr>
          <w:rFonts w:ascii="Times New Roman" w:hAnsi="Times New Roman"/>
          <w:sz w:val="24"/>
          <w:szCs w:val="24"/>
        </w:rPr>
        <w:t xml:space="preserve"> The </w:t>
      </w:r>
      <w:r w:rsidR="00700EB6" w:rsidRPr="00814901">
        <w:rPr>
          <w:rFonts w:ascii="Times New Roman" w:hAnsi="Times New Roman"/>
          <w:sz w:val="24"/>
          <w:szCs w:val="24"/>
        </w:rPr>
        <w:t xml:space="preserve">guidance makes clear that the </w:t>
      </w:r>
      <w:r w:rsidR="00072C3A" w:rsidRPr="00814901">
        <w:rPr>
          <w:rFonts w:ascii="Times New Roman" w:hAnsi="Times New Roman"/>
          <w:sz w:val="24"/>
          <w:szCs w:val="24"/>
        </w:rPr>
        <w:t xml:space="preserve">minimum data element for reporting is the </w:t>
      </w:r>
      <w:r w:rsidR="006A7B0A" w:rsidRPr="00814901">
        <w:rPr>
          <w:rFonts w:ascii="Times New Roman" w:hAnsi="Times New Roman"/>
          <w:sz w:val="24"/>
          <w:szCs w:val="24"/>
        </w:rPr>
        <w:t xml:space="preserve">suspect </w:t>
      </w:r>
      <w:r w:rsidR="00072C3A" w:rsidRPr="00814901">
        <w:rPr>
          <w:rFonts w:ascii="Times New Roman" w:hAnsi="Times New Roman"/>
          <w:sz w:val="24"/>
          <w:szCs w:val="24"/>
        </w:rPr>
        <w:t xml:space="preserve">drug </w:t>
      </w:r>
      <w:r w:rsidR="006A7B0A" w:rsidRPr="00814901">
        <w:rPr>
          <w:rFonts w:ascii="Times New Roman" w:hAnsi="Times New Roman"/>
          <w:b/>
          <w:sz w:val="24"/>
          <w:szCs w:val="24"/>
        </w:rPr>
        <w:t>product</w:t>
      </w:r>
      <w:r w:rsidR="006A7B0A" w:rsidRPr="00814901">
        <w:rPr>
          <w:rFonts w:ascii="Times New Roman" w:hAnsi="Times New Roman"/>
          <w:sz w:val="24"/>
          <w:szCs w:val="24"/>
        </w:rPr>
        <w:t xml:space="preserve">, </w:t>
      </w:r>
      <w:r w:rsidR="00072C3A" w:rsidRPr="00814901">
        <w:rPr>
          <w:rFonts w:ascii="Times New Roman" w:hAnsi="Times New Roman"/>
          <w:sz w:val="24"/>
          <w:szCs w:val="24"/>
        </w:rPr>
        <w:t>and not a suspect</w:t>
      </w:r>
      <w:r w:rsidR="00792923" w:rsidRPr="00814901">
        <w:rPr>
          <w:rFonts w:ascii="Times New Roman" w:hAnsi="Times New Roman"/>
          <w:sz w:val="24"/>
          <w:szCs w:val="24"/>
        </w:rPr>
        <w:t xml:space="preserve"> </w:t>
      </w:r>
      <w:r w:rsidR="006A7B0A" w:rsidRPr="00814901">
        <w:rPr>
          <w:rFonts w:ascii="Times New Roman" w:hAnsi="Times New Roman"/>
          <w:sz w:val="24"/>
          <w:szCs w:val="24"/>
        </w:rPr>
        <w:t xml:space="preserve">component.  </w:t>
      </w:r>
      <w:r w:rsidR="00072C3A" w:rsidRPr="00814901">
        <w:rPr>
          <w:rFonts w:ascii="Times New Roman" w:hAnsi="Times New Roman"/>
          <w:sz w:val="24"/>
          <w:szCs w:val="24"/>
        </w:rPr>
        <w:t xml:space="preserve">(see </w:t>
      </w:r>
      <w:r w:rsidR="006A7B0A" w:rsidRPr="00814901">
        <w:rPr>
          <w:rFonts w:ascii="Times New Roman" w:hAnsi="Times New Roman"/>
          <w:sz w:val="24"/>
          <w:szCs w:val="24"/>
        </w:rPr>
        <w:t>section III.B.3 of the draft guidance</w:t>
      </w:r>
      <w:r w:rsidR="00072C3A" w:rsidRPr="00814901">
        <w:rPr>
          <w:rFonts w:ascii="Times New Roman" w:hAnsi="Times New Roman"/>
          <w:sz w:val="24"/>
          <w:szCs w:val="24"/>
        </w:rPr>
        <w:t>).</w:t>
      </w:r>
      <w:r w:rsidR="006A7B0A" w:rsidRPr="00814901">
        <w:rPr>
          <w:rFonts w:ascii="Times New Roman" w:hAnsi="Times New Roman"/>
          <w:sz w:val="24"/>
          <w:szCs w:val="24"/>
        </w:rPr>
        <w:t xml:space="preserve">  </w:t>
      </w:r>
      <w:r w:rsidR="003C079F" w:rsidRPr="00814901">
        <w:rPr>
          <w:rFonts w:ascii="Times New Roman" w:hAnsi="Times New Roman"/>
          <w:sz w:val="24"/>
          <w:szCs w:val="24"/>
        </w:rPr>
        <w:t xml:space="preserve"> </w:t>
      </w:r>
      <w:r w:rsidR="00332FC5" w:rsidRPr="00814901">
        <w:rPr>
          <w:rFonts w:ascii="Times New Roman" w:hAnsi="Times New Roman"/>
          <w:sz w:val="24"/>
          <w:szCs w:val="24"/>
        </w:rPr>
        <w:t xml:space="preserve">We agree with the suggestion that the outsourcing facility should identify in its adverse event report all of the APIs contained in a compounded drug and the API’s manufacturer. </w:t>
      </w:r>
      <w:r w:rsidR="003C079F" w:rsidRPr="00814901">
        <w:rPr>
          <w:rFonts w:ascii="Times New Roman" w:hAnsi="Times New Roman"/>
          <w:sz w:val="24"/>
          <w:szCs w:val="24"/>
        </w:rPr>
        <w:t xml:space="preserve"> </w:t>
      </w:r>
      <w:r w:rsidR="00332FC5" w:rsidRPr="00814901">
        <w:rPr>
          <w:rFonts w:ascii="Times New Roman" w:hAnsi="Times New Roman"/>
          <w:sz w:val="24"/>
          <w:szCs w:val="24"/>
        </w:rPr>
        <w:t>T</w:t>
      </w:r>
      <w:r w:rsidR="003C079F" w:rsidRPr="00814901">
        <w:rPr>
          <w:rFonts w:ascii="Times New Roman" w:hAnsi="Times New Roman"/>
          <w:sz w:val="24"/>
          <w:szCs w:val="24"/>
        </w:rPr>
        <w:t>he guidance states that all known components of a suspect drug product should be reported.  It states that</w:t>
      </w:r>
      <w:r w:rsidR="00C64065" w:rsidRPr="00814901">
        <w:rPr>
          <w:rFonts w:ascii="Times New Roman" w:hAnsi="Times New Roman"/>
          <w:sz w:val="24"/>
          <w:szCs w:val="24"/>
        </w:rPr>
        <w:t>,</w:t>
      </w:r>
      <w:r w:rsidR="003C079F" w:rsidRPr="00814901">
        <w:rPr>
          <w:rFonts w:ascii="Times New Roman" w:hAnsi="Times New Roman"/>
          <w:sz w:val="24"/>
          <w:szCs w:val="24"/>
        </w:rPr>
        <w:t xml:space="preserve"> “</w:t>
      </w:r>
      <w:r w:rsidR="00C64065" w:rsidRPr="00814901">
        <w:rPr>
          <w:rFonts w:ascii="Times New Roman" w:hAnsi="Times New Roman"/>
          <w:sz w:val="24"/>
          <w:szCs w:val="24"/>
        </w:rPr>
        <w:t>[</w:t>
      </w:r>
      <w:r w:rsidR="003C079F" w:rsidRPr="00814901">
        <w:rPr>
          <w:rFonts w:ascii="Times New Roman" w:hAnsi="Times New Roman"/>
          <w:sz w:val="24"/>
          <w:szCs w:val="24"/>
        </w:rPr>
        <w:t>i</w:t>
      </w:r>
      <w:r w:rsidR="00C64065" w:rsidRPr="00814901">
        <w:rPr>
          <w:rFonts w:ascii="Times New Roman" w:hAnsi="Times New Roman"/>
          <w:sz w:val="24"/>
          <w:szCs w:val="24"/>
        </w:rPr>
        <w:t>]</w:t>
      </w:r>
      <w:r w:rsidR="003C079F" w:rsidRPr="00814901">
        <w:rPr>
          <w:rFonts w:ascii="Times New Roman" w:hAnsi="Times New Roman"/>
          <w:sz w:val="24"/>
          <w:szCs w:val="24"/>
        </w:rPr>
        <w:t>f the compounded drug product contains multiple components (e.g., excipients, drug substances, finished dosage forms), the outsourcing facility should list each component and its manufacturer</w:t>
      </w:r>
      <w:r w:rsidR="006D4FC7" w:rsidRPr="00814901">
        <w:rPr>
          <w:rFonts w:ascii="Times New Roman" w:hAnsi="Times New Roman"/>
          <w:sz w:val="24"/>
          <w:szCs w:val="24"/>
        </w:rPr>
        <w:t>.</w:t>
      </w:r>
      <w:r w:rsidR="003C079F" w:rsidRPr="00814901">
        <w:rPr>
          <w:rFonts w:ascii="Times New Roman" w:hAnsi="Times New Roman"/>
          <w:sz w:val="24"/>
          <w:szCs w:val="24"/>
        </w:rPr>
        <w:t xml:space="preserve"> . . .”</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lastRenderedPageBreak/>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Eleven</w:t>
      </w:r>
      <w:r w:rsidRPr="00814901">
        <w:rPr>
          <w:rFonts w:ascii="Times New Roman" w:hAnsi="Times New Roman"/>
          <w:sz w:val="24"/>
          <w:szCs w:val="24"/>
        </w:rPr>
        <w:t xml:space="preserve">: </w:t>
      </w:r>
      <w:r w:rsidR="006A7B0A" w:rsidRPr="00814901">
        <w:rPr>
          <w:rFonts w:ascii="Times New Roman" w:hAnsi="Times New Roman"/>
          <w:sz w:val="24"/>
          <w:szCs w:val="24"/>
        </w:rPr>
        <w:t xml:space="preserve">One commenter noted that as indicated within the guidance document, FDA is not prepared </w:t>
      </w:r>
      <w:r w:rsidR="0012212C" w:rsidRPr="00814901">
        <w:rPr>
          <w:rFonts w:ascii="Times New Roman" w:hAnsi="Times New Roman"/>
          <w:sz w:val="24"/>
          <w:szCs w:val="24"/>
        </w:rPr>
        <w:t>n</w:t>
      </w:r>
      <w:r w:rsidR="006A7B0A" w:rsidRPr="00814901">
        <w:rPr>
          <w:rFonts w:ascii="Times New Roman" w:hAnsi="Times New Roman"/>
          <w:sz w:val="24"/>
          <w:szCs w:val="24"/>
        </w:rPr>
        <w:t>or has the necessary infrastructure in place to receive electronic reports of adverse events despite having such a system already available for other registered entities including manufacturers.  The commenter asked that the FDA provide an implementation schedule to all currently registered outsourcing facilities outlining the anticipated date of an electronic adverse event reporting system as soon as possible.</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Eleven</w:t>
      </w:r>
      <w:r w:rsidRPr="00814901">
        <w:rPr>
          <w:rFonts w:ascii="Times New Roman" w:hAnsi="Times New Roman"/>
          <w:sz w:val="24"/>
          <w:szCs w:val="24"/>
        </w:rPr>
        <w:t xml:space="preserve">: </w:t>
      </w:r>
      <w:r w:rsidR="006A7B0A" w:rsidRPr="00814901">
        <w:rPr>
          <w:rFonts w:ascii="Times New Roman" w:hAnsi="Times New Roman"/>
          <w:sz w:val="24"/>
          <w:szCs w:val="24"/>
        </w:rPr>
        <w:t>This final guidance describes the process for outsourcing facilities to report adverse events to FDA electronically.  The electronic reporting system is  ready for outsourcing facilities</w:t>
      </w:r>
      <w:r w:rsidR="00663F4E" w:rsidRPr="00814901">
        <w:rPr>
          <w:rFonts w:ascii="Times New Roman" w:hAnsi="Times New Roman"/>
          <w:sz w:val="24"/>
          <w:szCs w:val="24"/>
        </w:rPr>
        <w:t xml:space="preserve"> to use</w:t>
      </w:r>
      <w:r w:rsidR="006A7B0A" w:rsidRPr="00814901">
        <w:rPr>
          <w:rFonts w:ascii="Times New Roman" w:hAnsi="Times New Roman"/>
          <w:sz w:val="24"/>
          <w:szCs w:val="24"/>
        </w:rPr>
        <w:t>, and</w:t>
      </w:r>
      <w:r w:rsidR="00EE1D24" w:rsidRPr="00814901">
        <w:rPr>
          <w:rFonts w:ascii="Times New Roman" w:hAnsi="Times New Roman"/>
          <w:sz w:val="24"/>
          <w:szCs w:val="24"/>
        </w:rPr>
        <w:t>, therefore,</w:t>
      </w:r>
      <w:r w:rsidR="006A7B0A" w:rsidRPr="00814901">
        <w:rPr>
          <w:rFonts w:ascii="Times New Roman" w:hAnsi="Times New Roman"/>
          <w:sz w:val="24"/>
          <w:szCs w:val="24"/>
        </w:rPr>
        <w:t xml:space="preserve"> the issue raised by this comment is now moot.</w:t>
      </w:r>
    </w:p>
    <w:p w:rsidR="00336222" w:rsidRPr="00814901" w:rsidRDefault="00336222" w:rsidP="0038231D">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Twelve</w:t>
      </w:r>
      <w:r w:rsidRPr="00814901">
        <w:rPr>
          <w:rFonts w:ascii="Times New Roman" w:hAnsi="Times New Roman"/>
          <w:sz w:val="24"/>
          <w:szCs w:val="24"/>
        </w:rPr>
        <w:t xml:space="preserve">: </w:t>
      </w:r>
      <w:r w:rsidR="0038231D" w:rsidRPr="00814901">
        <w:rPr>
          <w:rFonts w:ascii="Times New Roman" w:hAnsi="Times New Roman"/>
          <w:sz w:val="24"/>
          <w:szCs w:val="24"/>
        </w:rPr>
        <w:t xml:space="preserve">Two commenters stated that this draft guidance imposes uneven reporting requirements on similarly-situated facilities (i.e., outsourcing facilities operating under section 503B and pharmacies operating under section 503A of the FD&amp;C Act) engaging in the same activities. Because outsourcing facilities can compound drugs pursuant to individual prescriptions, they are permitted to do the same kind of activities as facilities compounding under section 503A. Holding facilities that engage in the same conduct to different standards is </w:t>
      </w:r>
      <w:r w:rsidR="00EE1D24" w:rsidRPr="00814901">
        <w:rPr>
          <w:rFonts w:ascii="Times New Roman" w:hAnsi="Times New Roman"/>
          <w:sz w:val="24"/>
          <w:szCs w:val="24"/>
        </w:rPr>
        <w:t>“</w:t>
      </w:r>
      <w:r w:rsidR="0038231D" w:rsidRPr="00814901">
        <w:rPr>
          <w:rFonts w:ascii="Times New Roman" w:hAnsi="Times New Roman"/>
          <w:sz w:val="24"/>
          <w:szCs w:val="24"/>
        </w:rPr>
        <w:t>illogical and arbitrary and capricious.</w:t>
      </w:r>
      <w:r w:rsidR="00EE1D24" w:rsidRPr="00814901">
        <w:rPr>
          <w:rFonts w:ascii="Times New Roman" w:hAnsi="Times New Roman"/>
          <w:sz w:val="24"/>
          <w:szCs w:val="24"/>
        </w:rPr>
        <w:t>”</w:t>
      </w:r>
      <w:r w:rsidR="0038231D" w:rsidRPr="00814901">
        <w:rPr>
          <w:rFonts w:ascii="Times New Roman" w:hAnsi="Times New Roman"/>
          <w:sz w:val="24"/>
          <w:szCs w:val="24"/>
        </w:rPr>
        <w:t xml:space="preserve"> If FDA determines that 503A facilities should not be required to adhere to the same adverse event reporting requirements as outsourcing facilities, an outsourcing facility that compounds pursuant to individual prescriptions should not have to report adverse events associated with individual preparations.</w:t>
      </w:r>
    </w:p>
    <w:p w:rsidR="0038231D" w:rsidRPr="00814901" w:rsidRDefault="00336222" w:rsidP="003400EE">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Twelve</w:t>
      </w:r>
      <w:r w:rsidRPr="00814901">
        <w:rPr>
          <w:rFonts w:ascii="Times New Roman" w:hAnsi="Times New Roman"/>
          <w:sz w:val="24"/>
          <w:szCs w:val="24"/>
        </w:rPr>
        <w:t>:</w:t>
      </w:r>
      <w:r w:rsidR="0038231D" w:rsidRPr="00814901">
        <w:rPr>
          <w:rFonts w:ascii="Times New Roman" w:hAnsi="Times New Roman"/>
          <w:sz w:val="24"/>
          <w:szCs w:val="24"/>
        </w:rPr>
        <w:t xml:space="preserve">  </w:t>
      </w:r>
      <w:r w:rsidR="003400EE" w:rsidRPr="00814901">
        <w:rPr>
          <w:rFonts w:ascii="Times New Roman" w:hAnsi="Times New Roman"/>
          <w:sz w:val="24"/>
          <w:szCs w:val="24"/>
        </w:rPr>
        <w:t xml:space="preserve">FDA does not agree with this comment.  </w:t>
      </w:r>
      <w:r w:rsidR="00F83393" w:rsidRPr="00814901">
        <w:rPr>
          <w:rFonts w:ascii="Times New Roman" w:hAnsi="Times New Roman"/>
          <w:sz w:val="24"/>
          <w:szCs w:val="24"/>
        </w:rPr>
        <w:t xml:space="preserve">The purpose of this guidance is to </w:t>
      </w:r>
      <w:r w:rsidR="007730DC" w:rsidRPr="00814901">
        <w:rPr>
          <w:rFonts w:ascii="Times New Roman" w:hAnsi="Times New Roman"/>
          <w:sz w:val="24"/>
          <w:szCs w:val="24"/>
        </w:rPr>
        <w:t xml:space="preserve">implement section 503B(b)(5) of the FD&amp;C Act, which requires </w:t>
      </w:r>
      <w:r w:rsidR="00F83393" w:rsidRPr="00814901">
        <w:rPr>
          <w:rFonts w:ascii="Times New Roman" w:hAnsi="Times New Roman"/>
          <w:sz w:val="24"/>
          <w:szCs w:val="24"/>
        </w:rPr>
        <w:t>adverse event reporting for outsourcing facilities</w:t>
      </w:r>
      <w:r w:rsidR="007730DC" w:rsidRPr="00814901">
        <w:rPr>
          <w:rFonts w:ascii="Times New Roman" w:hAnsi="Times New Roman"/>
          <w:sz w:val="24"/>
          <w:szCs w:val="24"/>
        </w:rPr>
        <w:t xml:space="preserve"> </w:t>
      </w:r>
      <w:r w:rsidR="00715F40" w:rsidRPr="00814901">
        <w:rPr>
          <w:rFonts w:ascii="Times New Roman" w:hAnsi="Times New Roman"/>
          <w:sz w:val="24"/>
          <w:szCs w:val="24"/>
        </w:rPr>
        <w:t>and</w:t>
      </w:r>
      <w:r w:rsidR="007730DC" w:rsidRPr="00814901">
        <w:rPr>
          <w:rFonts w:ascii="Times New Roman" w:hAnsi="Times New Roman"/>
          <w:sz w:val="24"/>
          <w:szCs w:val="24"/>
        </w:rPr>
        <w:t xml:space="preserve"> does not address adverse reporting for compounding </w:t>
      </w:r>
      <w:r w:rsidR="007730DC" w:rsidRPr="00814901">
        <w:rPr>
          <w:rFonts w:ascii="Times New Roman" w:hAnsi="Times New Roman"/>
          <w:sz w:val="24"/>
          <w:szCs w:val="24"/>
        </w:rPr>
        <w:lastRenderedPageBreak/>
        <w:t>conducted under section 503A. A</w:t>
      </w:r>
      <w:r w:rsidR="00F83393" w:rsidRPr="00814901">
        <w:rPr>
          <w:rFonts w:ascii="Times New Roman" w:hAnsi="Times New Roman"/>
          <w:sz w:val="24"/>
          <w:szCs w:val="24"/>
        </w:rPr>
        <w:t xml:space="preserve">dverse event reporting for entities operating under section 503A is </w:t>
      </w:r>
      <w:r w:rsidR="007730DC" w:rsidRPr="00814901">
        <w:rPr>
          <w:rFonts w:ascii="Times New Roman" w:hAnsi="Times New Roman"/>
          <w:sz w:val="24"/>
          <w:szCs w:val="24"/>
        </w:rPr>
        <w:t>beyond the scope of</w:t>
      </w:r>
      <w:r w:rsidR="00F83393" w:rsidRPr="00814901">
        <w:rPr>
          <w:rFonts w:ascii="Times New Roman" w:hAnsi="Times New Roman"/>
          <w:sz w:val="24"/>
          <w:szCs w:val="24"/>
        </w:rPr>
        <w:t xml:space="preserve"> this guidance.  </w:t>
      </w:r>
      <w:r w:rsidR="007730DC" w:rsidRPr="00814901">
        <w:rPr>
          <w:rFonts w:ascii="Times New Roman" w:hAnsi="Times New Roman"/>
          <w:sz w:val="24"/>
          <w:szCs w:val="24"/>
        </w:rPr>
        <w:t xml:space="preserve">We also note that </w:t>
      </w:r>
      <w:r w:rsidR="0038231D" w:rsidRPr="00814901">
        <w:rPr>
          <w:rFonts w:ascii="Times New Roman" w:hAnsi="Times New Roman"/>
          <w:sz w:val="24"/>
          <w:szCs w:val="24"/>
        </w:rPr>
        <w:t xml:space="preserve">section 503B </w:t>
      </w:r>
      <w:r w:rsidR="003400EE" w:rsidRPr="00814901">
        <w:rPr>
          <w:rFonts w:ascii="Times New Roman" w:hAnsi="Times New Roman"/>
          <w:sz w:val="24"/>
          <w:szCs w:val="24"/>
        </w:rPr>
        <w:t xml:space="preserve">of the FD&amp;C Act </w:t>
      </w:r>
      <w:r w:rsidR="0038231D" w:rsidRPr="00814901">
        <w:rPr>
          <w:rFonts w:ascii="Times New Roman" w:hAnsi="Times New Roman"/>
          <w:sz w:val="24"/>
          <w:szCs w:val="24"/>
        </w:rPr>
        <w:t xml:space="preserve">requires outsourcing facilities to report adverse events </w:t>
      </w:r>
      <w:r w:rsidR="00F83393" w:rsidRPr="00814901">
        <w:rPr>
          <w:rFonts w:ascii="Times New Roman" w:hAnsi="Times New Roman"/>
          <w:sz w:val="24"/>
          <w:szCs w:val="24"/>
        </w:rPr>
        <w:t xml:space="preserve">associated with all of their compounded drugs </w:t>
      </w:r>
      <w:r w:rsidR="005324E4" w:rsidRPr="00814901">
        <w:rPr>
          <w:rFonts w:ascii="Times New Roman" w:hAnsi="Times New Roman"/>
          <w:sz w:val="24"/>
          <w:szCs w:val="24"/>
        </w:rPr>
        <w:t xml:space="preserve">to FDA </w:t>
      </w:r>
      <w:r w:rsidR="00F83393" w:rsidRPr="00814901">
        <w:rPr>
          <w:rFonts w:ascii="Times New Roman" w:hAnsi="Times New Roman"/>
          <w:sz w:val="24"/>
          <w:szCs w:val="24"/>
        </w:rPr>
        <w:t xml:space="preserve">and </w:t>
      </w:r>
      <w:r w:rsidR="0038231D" w:rsidRPr="00814901">
        <w:rPr>
          <w:rFonts w:ascii="Times New Roman" w:hAnsi="Times New Roman"/>
          <w:sz w:val="24"/>
          <w:szCs w:val="24"/>
        </w:rPr>
        <w:t xml:space="preserve">does not distinguish between patient specific and non-patient specific compounded products.  </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Thirteen</w:t>
      </w:r>
      <w:r w:rsidRPr="00814901">
        <w:rPr>
          <w:rFonts w:ascii="Times New Roman" w:hAnsi="Times New Roman"/>
          <w:sz w:val="24"/>
          <w:szCs w:val="24"/>
        </w:rPr>
        <w:t xml:space="preserve">: </w:t>
      </w:r>
      <w:r w:rsidR="003400EE" w:rsidRPr="00814901">
        <w:rPr>
          <w:rFonts w:ascii="Times New Roman" w:hAnsi="Times New Roman"/>
          <w:sz w:val="24"/>
          <w:szCs w:val="24"/>
        </w:rPr>
        <w:t xml:space="preserve">One commenter noted that FDA may have written this guidance because it may be interested in knowing the sheer number of adverse events that occurred at each </w:t>
      </w:r>
      <w:r w:rsidR="00EE1D24" w:rsidRPr="00814901">
        <w:rPr>
          <w:rFonts w:ascii="Times New Roman" w:hAnsi="Times New Roman"/>
          <w:sz w:val="24"/>
          <w:szCs w:val="24"/>
        </w:rPr>
        <w:t>outsourcing facility</w:t>
      </w:r>
      <w:r w:rsidR="003400EE" w:rsidRPr="00814901">
        <w:rPr>
          <w:rFonts w:ascii="Times New Roman" w:hAnsi="Times New Roman"/>
          <w:sz w:val="24"/>
          <w:szCs w:val="24"/>
        </w:rPr>
        <w:t xml:space="preserve">. If this is the case, this kind of information could be collected by reporting the number of adverse events without the need for extensive detail about the affected patient or the components of the compounded product. This information could be collected through the recordkeeping and facility inspections that are already required of </w:t>
      </w:r>
      <w:r w:rsidR="00EE1D24" w:rsidRPr="00814901">
        <w:rPr>
          <w:rFonts w:ascii="Times New Roman" w:hAnsi="Times New Roman"/>
          <w:sz w:val="24"/>
          <w:szCs w:val="24"/>
        </w:rPr>
        <w:t>outsourcing facilities</w:t>
      </w:r>
      <w:r w:rsidR="003400EE" w:rsidRPr="00814901">
        <w:rPr>
          <w:rFonts w:ascii="Times New Roman" w:hAnsi="Times New Roman"/>
          <w:sz w:val="24"/>
          <w:szCs w:val="24"/>
        </w:rPr>
        <w:t xml:space="preserve">. Further, it may be more efficient to collect this information at regular intervals </w:t>
      </w:r>
      <w:r w:rsidR="003400EE" w:rsidRPr="00814901">
        <w:rPr>
          <w:rFonts w:ascii="Times New Roman" w:hAnsi="Times New Roman"/>
          <w:i/>
          <w:iCs/>
          <w:sz w:val="24"/>
          <w:szCs w:val="24"/>
        </w:rPr>
        <w:t>(</w:t>
      </w:r>
      <w:r w:rsidR="003400EE" w:rsidRPr="00814901">
        <w:rPr>
          <w:rFonts w:ascii="Times New Roman" w:hAnsi="Times New Roman"/>
          <w:iCs/>
          <w:sz w:val="24"/>
          <w:szCs w:val="24"/>
        </w:rPr>
        <w:t>e.g.,</w:t>
      </w:r>
      <w:r w:rsidR="003400EE" w:rsidRPr="00814901">
        <w:rPr>
          <w:rFonts w:ascii="Times New Roman" w:hAnsi="Times New Roman"/>
          <w:i/>
          <w:iCs/>
          <w:sz w:val="24"/>
          <w:szCs w:val="24"/>
        </w:rPr>
        <w:t xml:space="preserve"> </w:t>
      </w:r>
      <w:r w:rsidR="003400EE" w:rsidRPr="00814901">
        <w:rPr>
          <w:rFonts w:ascii="Times New Roman" w:hAnsi="Times New Roman"/>
          <w:sz w:val="24"/>
          <w:szCs w:val="24"/>
        </w:rPr>
        <w:t>quarterly or biannually) rather than in relation to when the adverse event occurred.</w:t>
      </w:r>
    </w:p>
    <w:p w:rsidR="003400EE" w:rsidRPr="00814901" w:rsidRDefault="00336222" w:rsidP="003400EE">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Thirteen</w:t>
      </w:r>
      <w:r w:rsidRPr="00814901">
        <w:rPr>
          <w:rFonts w:ascii="Times New Roman" w:hAnsi="Times New Roman"/>
          <w:sz w:val="24"/>
          <w:szCs w:val="24"/>
        </w:rPr>
        <w:t xml:space="preserve">: </w:t>
      </w:r>
      <w:r w:rsidR="00D56CB0" w:rsidRPr="00814901">
        <w:rPr>
          <w:rFonts w:ascii="Times New Roman" w:hAnsi="Times New Roman"/>
          <w:sz w:val="24"/>
          <w:szCs w:val="24"/>
        </w:rPr>
        <w:t xml:space="preserve">FDA is not interested </w:t>
      </w:r>
      <w:r w:rsidR="00715F40" w:rsidRPr="00814901">
        <w:rPr>
          <w:rFonts w:ascii="Times New Roman" w:hAnsi="Times New Roman"/>
          <w:sz w:val="24"/>
          <w:szCs w:val="24"/>
        </w:rPr>
        <w:t xml:space="preserve">only </w:t>
      </w:r>
      <w:r w:rsidR="00D56CB0" w:rsidRPr="00814901">
        <w:rPr>
          <w:rFonts w:ascii="Times New Roman" w:hAnsi="Times New Roman"/>
          <w:sz w:val="24"/>
          <w:szCs w:val="24"/>
        </w:rPr>
        <w:t>in the number of adverse events associated with compounded drug products from a particular outsourcing facility</w:t>
      </w:r>
      <w:r w:rsidR="00715F40" w:rsidRPr="00814901">
        <w:rPr>
          <w:rFonts w:ascii="Times New Roman" w:hAnsi="Times New Roman"/>
          <w:sz w:val="24"/>
          <w:szCs w:val="24"/>
        </w:rPr>
        <w:t>,</w:t>
      </w:r>
      <w:r w:rsidR="00D56CB0" w:rsidRPr="00814901">
        <w:rPr>
          <w:rFonts w:ascii="Times New Roman" w:hAnsi="Times New Roman"/>
          <w:sz w:val="24"/>
          <w:szCs w:val="24"/>
        </w:rPr>
        <w:t xml:space="preserve"> as the comment suggests.  A s</w:t>
      </w:r>
      <w:r w:rsidR="003400EE" w:rsidRPr="00814901">
        <w:rPr>
          <w:rFonts w:ascii="Times New Roman" w:hAnsi="Times New Roman"/>
          <w:sz w:val="24"/>
          <w:szCs w:val="24"/>
        </w:rPr>
        <w:t>ingle</w:t>
      </w:r>
      <w:r w:rsidR="00D56CB0" w:rsidRPr="00814901">
        <w:rPr>
          <w:rFonts w:ascii="Times New Roman" w:hAnsi="Times New Roman"/>
          <w:sz w:val="24"/>
          <w:szCs w:val="24"/>
        </w:rPr>
        <w:t xml:space="preserve"> report of an</w:t>
      </w:r>
      <w:r w:rsidR="003400EE" w:rsidRPr="00814901">
        <w:rPr>
          <w:rFonts w:ascii="Times New Roman" w:hAnsi="Times New Roman"/>
          <w:sz w:val="24"/>
          <w:szCs w:val="24"/>
        </w:rPr>
        <w:t xml:space="preserve"> adverse event can signal</w:t>
      </w:r>
      <w:r w:rsidR="00D56CB0" w:rsidRPr="00814901">
        <w:rPr>
          <w:rFonts w:ascii="Times New Roman" w:hAnsi="Times New Roman"/>
          <w:sz w:val="24"/>
          <w:szCs w:val="24"/>
        </w:rPr>
        <w:t xml:space="preserve"> a</w:t>
      </w:r>
      <w:r w:rsidR="003400EE" w:rsidRPr="00814901">
        <w:rPr>
          <w:rFonts w:ascii="Times New Roman" w:hAnsi="Times New Roman"/>
          <w:sz w:val="24"/>
          <w:szCs w:val="24"/>
        </w:rPr>
        <w:t xml:space="preserve"> serious public health concern, such as </w:t>
      </w:r>
      <w:r w:rsidR="00D56CB0" w:rsidRPr="00814901">
        <w:rPr>
          <w:rFonts w:ascii="Times New Roman" w:hAnsi="Times New Roman"/>
          <w:sz w:val="24"/>
          <w:szCs w:val="24"/>
        </w:rPr>
        <w:t xml:space="preserve">an </w:t>
      </w:r>
      <w:r w:rsidR="003400EE" w:rsidRPr="00814901">
        <w:rPr>
          <w:rFonts w:ascii="Times New Roman" w:hAnsi="Times New Roman"/>
          <w:sz w:val="24"/>
          <w:szCs w:val="24"/>
        </w:rPr>
        <w:t xml:space="preserve">outbreak resulting from drug contamination, or could signal serious quality problems at the </w:t>
      </w:r>
      <w:r w:rsidR="00D56CB0" w:rsidRPr="00814901">
        <w:rPr>
          <w:rFonts w:ascii="Times New Roman" w:hAnsi="Times New Roman"/>
          <w:sz w:val="24"/>
          <w:szCs w:val="24"/>
        </w:rPr>
        <w:t>outsourcing facility</w:t>
      </w:r>
      <w:r w:rsidR="003400EE" w:rsidRPr="00814901">
        <w:rPr>
          <w:rFonts w:ascii="Times New Roman" w:hAnsi="Times New Roman"/>
          <w:sz w:val="24"/>
          <w:szCs w:val="24"/>
        </w:rPr>
        <w:t xml:space="preserve"> that if corrected promptly could prevent an outbreak.  </w:t>
      </w:r>
      <w:r w:rsidR="00AD07FF" w:rsidRPr="00814901">
        <w:rPr>
          <w:rFonts w:ascii="Times New Roman" w:hAnsi="Times New Roman"/>
          <w:sz w:val="24"/>
          <w:szCs w:val="24"/>
        </w:rPr>
        <w:t xml:space="preserve">FDA evaluates each adverse event </w:t>
      </w:r>
      <w:r w:rsidR="00D56CB0" w:rsidRPr="00814901">
        <w:rPr>
          <w:rFonts w:ascii="Times New Roman" w:hAnsi="Times New Roman"/>
          <w:sz w:val="24"/>
          <w:szCs w:val="24"/>
        </w:rPr>
        <w:t xml:space="preserve">report </w:t>
      </w:r>
      <w:r w:rsidR="00AD07FF" w:rsidRPr="00814901">
        <w:rPr>
          <w:rFonts w:ascii="Times New Roman" w:hAnsi="Times New Roman"/>
          <w:sz w:val="24"/>
          <w:szCs w:val="24"/>
        </w:rPr>
        <w:t xml:space="preserve">to determine what follow-up action is appropriate.  </w:t>
      </w:r>
      <w:r w:rsidR="003400EE" w:rsidRPr="00814901">
        <w:rPr>
          <w:rFonts w:ascii="Times New Roman" w:hAnsi="Times New Roman"/>
          <w:sz w:val="24"/>
          <w:szCs w:val="24"/>
        </w:rPr>
        <w:t xml:space="preserve">Collecting adverse events at longer intervals would conflict with </w:t>
      </w:r>
      <w:r w:rsidR="00D56CB0" w:rsidRPr="00814901">
        <w:rPr>
          <w:rFonts w:ascii="Times New Roman" w:hAnsi="Times New Roman"/>
          <w:sz w:val="24"/>
          <w:szCs w:val="24"/>
        </w:rPr>
        <w:t xml:space="preserve">the 15 calendar day submission timeline required under </w:t>
      </w:r>
      <w:r w:rsidR="003400EE" w:rsidRPr="00814901">
        <w:rPr>
          <w:rFonts w:ascii="Times New Roman" w:hAnsi="Times New Roman"/>
          <w:sz w:val="24"/>
          <w:szCs w:val="24"/>
        </w:rPr>
        <w:t>21 CFR 310.305 and would not be sufficient for FDA’s need to evaluate adverse event report</w:t>
      </w:r>
      <w:r w:rsidR="00715F40" w:rsidRPr="00814901">
        <w:rPr>
          <w:rFonts w:ascii="Times New Roman" w:hAnsi="Times New Roman"/>
          <w:sz w:val="24"/>
          <w:szCs w:val="24"/>
        </w:rPr>
        <w:t>s</w:t>
      </w:r>
      <w:r w:rsidR="003400EE" w:rsidRPr="00814901">
        <w:rPr>
          <w:rFonts w:ascii="Times New Roman" w:hAnsi="Times New Roman"/>
          <w:sz w:val="24"/>
          <w:szCs w:val="24"/>
        </w:rPr>
        <w:t xml:space="preserve"> </w:t>
      </w:r>
      <w:r w:rsidR="00715F40" w:rsidRPr="00814901">
        <w:rPr>
          <w:rFonts w:ascii="Times New Roman" w:hAnsi="Times New Roman"/>
          <w:sz w:val="24"/>
          <w:szCs w:val="24"/>
        </w:rPr>
        <w:t>in a timely way</w:t>
      </w:r>
      <w:r w:rsidR="003400EE" w:rsidRPr="00814901">
        <w:rPr>
          <w:rFonts w:ascii="Times New Roman" w:hAnsi="Times New Roman"/>
          <w:sz w:val="24"/>
          <w:szCs w:val="24"/>
        </w:rPr>
        <w:t>.</w:t>
      </w:r>
      <w:r w:rsidR="00715F40" w:rsidRPr="00814901">
        <w:rPr>
          <w:rFonts w:ascii="Times New Roman" w:hAnsi="Times New Roman"/>
          <w:sz w:val="24"/>
          <w:szCs w:val="24"/>
        </w:rPr>
        <w:t xml:space="preserve"> Whether to require additional reporting </w:t>
      </w:r>
      <w:r w:rsidR="00715F40" w:rsidRPr="00643081">
        <w:rPr>
          <w:rFonts w:ascii="Times New Roman" w:hAnsi="Times New Roman"/>
          <w:sz w:val="24"/>
          <w:szCs w:val="24"/>
        </w:rPr>
        <w:t xml:space="preserve">or collect additional information </w:t>
      </w:r>
      <w:r w:rsidR="00715F40" w:rsidRPr="00814901">
        <w:rPr>
          <w:rFonts w:ascii="Times New Roman" w:hAnsi="Times New Roman"/>
          <w:sz w:val="24"/>
          <w:szCs w:val="24"/>
        </w:rPr>
        <w:t>is beyond the scope of the current guidance.</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lastRenderedPageBreak/>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Fourteen</w:t>
      </w:r>
      <w:r w:rsidRPr="00814901">
        <w:rPr>
          <w:rFonts w:ascii="Times New Roman" w:hAnsi="Times New Roman"/>
          <w:sz w:val="24"/>
          <w:szCs w:val="24"/>
        </w:rPr>
        <w:t xml:space="preserve">: </w:t>
      </w:r>
      <w:r w:rsidR="003400EE" w:rsidRPr="00814901">
        <w:rPr>
          <w:rFonts w:ascii="Times New Roman" w:hAnsi="Times New Roman"/>
          <w:sz w:val="24"/>
          <w:szCs w:val="24"/>
        </w:rPr>
        <w:t xml:space="preserve">One commenter noted that an </w:t>
      </w:r>
      <w:r w:rsidR="00EE1D24" w:rsidRPr="00814901">
        <w:rPr>
          <w:rFonts w:ascii="Times New Roman" w:hAnsi="Times New Roman"/>
          <w:sz w:val="24"/>
          <w:szCs w:val="24"/>
        </w:rPr>
        <w:t>outsourcing facility</w:t>
      </w:r>
      <w:r w:rsidR="003400EE" w:rsidRPr="00814901">
        <w:rPr>
          <w:rFonts w:ascii="Times New Roman" w:hAnsi="Times New Roman"/>
          <w:sz w:val="24"/>
          <w:szCs w:val="24"/>
        </w:rPr>
        <w:t xml:space="preserve"> would not necessarily know which patient received which drug, unless it was compounded pursuant to an individual prescription. Most </w:t>
      </w:r>
      <w:r w:rsidR="00EE1D24" w:rsidRPr="00814901">
        <w:rPr>
          <w:rFonts w:ascii="Times New Roman" w:hAnsi="Times New Roman"/>
          <w:sz w:val="24"/>
          <w:szCs w:val="24"/>
        </w:rPr>
        <w:t>outsourcing facilities</w:t>
      </w:r>
      <w:r w:rsidR="003400EE" w:rsidRPr="00814901">
        <w:rPr>
          <w:rFonts w:ascii="Times New Roman" w:hAnsi="Times New Roman"/>
          <w:sz w:val="24"/>
          <w:szCs w:val="24"/>
        </w:rPr>
        <w:t xml:space="preserve"> make the majority of their preparations to be supplied to healthcare providers rather than pursuant to a prescription, so the only way an </w:t>
      </w:r>
      <w:r w:rsidR="00EE1D24" w:rsidRPr="00814901">
        <w:rPr>
          <w:rFonts w:ascii="Times New Roman" w:hAnsi="Times New Roman"/>
          <w:sz w:val="24"/>
          <w:szCs w:val="24"/>
        </w:rPr>
        <w:t xml:space="preserve">outsourcing facility </w:t>
      </w:r>
      <w:r w:rsidR="003400EE" w:rsidRPr="00814901">
        <w:rPr>
          <w:rFonts w:ascii="Times New Roman" w:hAnsi="Times New Roman"/>
          <w:sz w:val="24"/>
          <w:szCs w:val="24"/>
        </w:rPr>
        <w:t xml:space="preserve">would learn of the adverse event is if it is reported to the </w:t>
      </w:r>
      <w:r w:rsidR="00EE1D24" w:rsidRPr="00814901">
        <w:rPr>
          <w:rFonts w:ascii="Times New Roman" w:hAnsi="Times New Roman"/>
          <w:sz w:val="24"/>
          <w:szCs w:val="24"/>
        </w:rPr>
        <w:t xml:space="preserve">outsourcing facility </w:t>
      </w:r>
      <w:r w:rsidR="003400EE" w:rsidRPr="00814901">
        <w:rPr>
          <w:rFonts w:ascii="Times New Roman" w:hAnsi="Times New Roman"/>
          <w:sz w:val="24"/>
          <w:szCs w:val="24"/>
        </w:rPr>
        <w:t xml:space="preserve">by a patient or a healthcare provider. Healthcare providers are in a better position to know about the occurrence of adverse events. </w:t>
      </w:r>
      <w:r w:rsidR="00EE1D24" w:rsidRPr="00814901">
        <w:rPr>
          <w:rFonts w:ascii="Times New Roman" w:hAnsi="Times New Roman"/>
          <w:sz w:val="24"/>
          <w:szCs w:val="24"/>
        </w:rPr>
        <w:t>Therefore, i</w:t>
      </w:r>
      <w:r w:rsidR="003400EE" w:rsidRPr="00814901">
        <w:rPr>
          <w:rFonts w:ascii="Times New Roman" w:hAnsi="Times New Roman"/>
          <w:sz w:val="24"/>
          <w:szCs w:val="24"/>
        </w:rPr>
        <w:t xml:space="preserve">t may be advantageous </w:t>
      </w:r>
      <w:r w:rsidR="00EE1D24" w:rsidRPr="00814901">
        <w:rPr>
          <w:rFonts w:ascii="Times New Roman" w:hAnsi="Times New Roman"/>
          <w:sz w:val="24"/>
          <w:szCs w:val="24"/>
        </w:rPr>
        <w:t xml:space="preserve">for FDA </w:t>
      </w:r>
      <w:r w:rsidR="003400EE" w:rsidRPr="00814901">
        <w:rPr>
          <w:rFonts w:ascii="Times New Roman" w:hAnsi="Times New Roman"/>
          <w:sz w:val="24"/>
          <w:szCs w:val="24"/>
        </w:rPr>
        <w:t xml:space="preserve">to seek to collect this information from </w:t>
      </w:r>
      <w:r w:rsidR="00EE1D24" w:rsidRPr="00814901">
        <w:rPr>
          <w:rFonts w:ascii="Times New Roman" w:hAnsi="Times New Roman"/>
          <w:sz w:val="24"/>
          <w:szCs w:val="24"/>
        </w:rPr>
        <w:t xml:space="preserve">healthcare providers </w:t>
      </w:r>
      <w:r w:rsidR="003400EE" w:rsidRPr="00814901">
        <w:rPr>
          <w:rFonts w:ascii="Times New Roman" w:hAnsi="Times New Roman"/>
          <w:sz w:val="24"/>
          <w:szCs w:val="24"/>
        </w:rPr>
        <w:t xml:space="preserve">with better access to the information, through submitting reports to </w:t>
      </w:r>
      <w:r w:rsidR="00EE1D24" w:rsidRPr="00814901">
        <w:rPr>
          <w:rFonts w:ascii="Times New Roman" w:hAnsi="Times New Roman"/>
          <w:sz w:val="24"/>
          <w:szCs w:val="24"/>
        </w:rPr>
        <w:t xml:space="preserve">FDA </w:t>
      </w:r>
      <w:r w:rsidR="003400EE" w:rsidRPr="00814901">
        <w:rPr>
          <w:rFonts w:ascii="Times New Roman" w:hAnsi="Times New Roman"/>
          <w:sz w:val="24"/>
          <w:szCs w:val="24"/>
        </w:rPr>
        <w:t xml:space="preserve">and supplying copies of those reports to the </w:t>
      </w:r>
      <w:r w:rsidR="00EE1D24" w:rsidRPr="00814901">
        <w:rPr>
          <w:rFonts w:ascii="Times New Roman" w:hAnsi="Times New Roman"/>
          <w:sz w:val="24"/>
          <w:szCs w:val="24"/>
        </w:rPr>
        <w:t>outsourcing facility</w:t>
      </w:r>
      <w:r w:rsidR="003400EE" w:rsidRPr="00814901">
        <w:rPr>
          <w:rFonts w:ascii="Times New Roman" w:hAnsi="Times New Roman"/>
          <w:sz w:val="24"/>
          <w:szCs w:val="24"/>
        </w:rPr>
        <w:t xml:space="preserve">. The </w:t>
      </w:r>
      <w:r w:rsidR="00EE1D24" w:rsidRPr="00814901">
        <w:rPr>
          <w:rFonts w:ascii="Times New Roman" w:hAnsi="Times New Roman"/>
          <w:sz w:val="24"/>
          <w:szCs w:val="24"/>
        </w:rPr>
        <w:t xml:space="preserve">outsourcing facility </w:t>
      </w:r>
      <w:r w:rsidR="003400EE" w:rsidRPr="00814901">
        <w:rPr>
          <w:rFonts w:ascii="Times New Roman" w:hAnsi="Times New Roman"/>
          <w:sz w:val="24"/>
          <w:szCs w:val="24"/>
        </w:rPr>
        <w:t>could then submit the adverse event report to FDA, reference the fact that the occurrence was already reported, and provide additional information about the product.</w:t>
      </w:r>
    </w:p>
    <w:p w:rsidR="003400EE" w:rsidRPr="00814901" w:rsidRDefault="00336222" w:rsidP="003400EE">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Fourteen</w:t>
      </w:r>
      <w:r w:rsidRPr="00814901">
        <w:rPr>
          <w:rFonts w:ascii="Times New Roman" w:hAnsi="Times New Roman"/>
          <w:sz w:val="24"/>
          <w:szCs w:val="24"/>
        </w:rPr>
        <w:t>:</w:t>
      </w:r>
      <w:r w:rsidR="003400EE" w:rsidRPr="00814901">
        <w:rPr>
          <w:rFonts w:asciiTheme="minorHAnsi" w:hAnsiTheme="minorHAnsi" w:cs="Calibri"/>
          <w:sz w:val="20"/>
          <w:szCs w:val="20"/>
        </w:rPr>
        <w:t xml:space="preserve"> </w:t>
      </w:r>
      <w:r w:rsidR="00710602" w:rsidRPr="00814901">
        <w:rPr>
          <w:rFonts w:ascii="Times New Roman" w:hAnsi="Times New Roman"/>
          <w:sz w:val="24"/>
          <w:szCs w:val="24"/>
        </w:rPr>
        <w:t xml:space="preserve"> Reporting by healthcare providers is not mandatory under the FD&amp;C Act or its </w:t>
      </w:r>
      <w:r w:rsidR="00715F40" w:rsidRPr="00814901">
        <w:rPr>
          <w:rFonts w:ascii="Times New Roman" w:hAnsi="Times New Roman"/>
          <w:sz w:val="24"/>
          <w:szCs w:val="24"/>
        </w:rPr>
        <w:t xml:space="preserve">implementing </w:t>
      </w:r>
      <w:r w:rsidR="00710602" w:rsidRPr="00814901">
        <w:rPr>
          <w:rFonts w:ascii="Times New Roman" w:hAnsi="Times New Roman"/>
          <w:sz w:val="24"/>
          <w:szCs w:val="24"/>
        </w:rPr>
        <w:t xml:space="preserve">regulations.  </w:t>
      </w:r>
      <w:r w:rsidR="003400EE" w:rsidRPr="00814901">
        <w:rPr>
          <w:rFonts w:ascii="Times New Roman" w:hAnsi="Times New Roman"/>
          <w:sz w:val="24"/>
          <w:szCs w:val="24"/>
        </w:rPr>
        <w:t xml:space="preserve">Section 503B of the FD&amp;C Act requires </w:t>
      </w:r>
      <w:r w:rsidR="00EE1D24" w:rsidRPr="00814901">
        <w:rPr>
          <w:rFonts w:ascii="Times New Roman" w:hAnsi="Times New Roman"/>
          <w:sz w:val="24"/>
          <w:szCs w:val="24"/>
        </w:rPr>
        <w:t>outsourcing facilities</w:t>
      </w:r>
      <w:r w:rsidR="001166D7" w:rsidRPr="00814901">
        <w:rPr>
          <w:rFonts w:ascii="Times New Roman" w:hAnsi="Times New Roman"/>
          <w:sz w:val="24"/>
          <w:szCs w:val="24"/>
        </w:rPr>
        <w:t>, and not healthcare providers,</w:t>
      </w:r>
      <w:r w:rsidR="00EE1D24" w:rsidRPr="00814901">
        <w:rPr>
          <w:rFonts w:ascii="Times New Roman" w:hAnsi="Times New Roman"/>
          <w:sz w:val="24"/>
          <w:szCs w:val="24"/>
        </w:rPr>
        <w:t xml:space="preserve"> </w:t>
      </w:r>
      <w:r w:rsidR="003400EE" w:rsidRPr="00814901">
        <w:rPr>
          <w:rFonts w:ascii="Times New Roman" w:hAnsi="Times New Roman"/>
          <w:sz w:val="24"/>
          <w:szCs w:val="24"/>
        </w:rPr>
        <w:t xml:space="preserve">to report adverse events to FDA.  </w:t>
      </w:r>
      <w:r w:rsidR="001166D7" w:rsidRPr="00814901">
        <w:rPr>
          <w:rFonts w:ascii="Times New Roman" w:hAnsi="Times New Roman"/>
          <w:sz w:val="24"/>
          <w:szCs w:val="24"/>
        </w:rPr>
        <w:t xml:space="preserve">We agree with the comment that </w:t>
      </w:r>
      <w:r w:rsidR="003A6FC6" w:rsidRPr="00814901">
        <w:rPr>
          <w:rFonts w:ascii="Times New Roman" w:hAnsi="Times New Roman"/>
          <w:sz w:val="24"/>
          <w:szCs w:val="24"/>
        </w:rPr>
        <w:t>healthcare providers have useful</w:t>
      </w:r>
      <w:r w:rsidR="001166D7" w:rsidRPr="00814901">
        <w:rPr>
          <w:rFonts w:ascii="Times New Roman" w:hAnsi="Times New Roman"/>
          <w:sz w:val="24"/>
          <w:szCs w:val="24"/>
        </w:rPr>
        <w:t xml:space="preserve"> information on a patient</w:t>
      </w:r>
      <w:r w:rsidR="003A6FC6" w:rsidRPr="00814901">
        <w:rPr>
          <w:rFonts w:ascii="Times New Roman" w:hAnsi="Times New Roman"/>
          <w:sz w:val="24"/>
          <w:szCs w:val="24"/>
        </w:rPr>
        <w:t>,</w:t>
      </w:r>
      <w:r w:rsidR="001166D7" w:rsidRPr="00814901">
        <w:rPr>
          <w:rFonts w:ascii="Times New Roman" w:hAnsi="Times New Roman"/>
          <w:sz w:val="24"/>
          <w:szCs w:val="24"/>
        </w:rPr>
        <w:t xml:space="preserve"> and for this reason encourage outsourcing facilities to contact the health care provider to obtain additional information on the patient.  </w:t>
      </w:r>
      <w:r w:rsidR="003400EE" w:rsidRPr="00814901">
        <w:rPr>
          <w:rFonts w:ascii="Times New Roman" w:hAnsi="Times New Roman"/>
          <w:sz w:val="24"/>
          <w:szCs w:val="24"/>
        </w:rPr>
        <w:t xml:space="preserve">The guidance makes clear that </w:t>
      </w:r>
      <w:r w:rsidR="00EE1D24" w:rsidRPr="00814901">
        <w:rPr>
          <w:rFonts w:ascii="Times New Roman" w:hAnsi="Times New Roman"/>
          <w:sz w:val="24"/>
          <w:szCs w:val="24"/>
        </w:rPr>
        <w:t xml:space="preserve">outsourcing facilities </w:t>
      </w:r>
      <w:r w:rsidR="003400EE" w:rsidRPr="00814901">
        <w:rPr>
          <w:rFonts w:ascii="Times New Roman" w:hAnsi="Times New Roman"/>
          <w:sz w:val="24"/>
          <w:szCs w:val="24"/>
        </w:rPr>
        <w:t>must report adverse events that they are aware of; if they do not learn of an adverse event, there would be nothing for them to report.</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Fifteen</w:t>
      </w:r>
      <w:r w:rsidRPr="00814901">
        <w:rPr>
          <w:rFonts w:ascii="Times New Roman" w:hAnsi="Times New Roman"/>
          <w:sz w:val="24"/>
          <w:szCs w:val="24"/>
        </w:rPr>
        <w:t xml:space="preserve">: </w:t>
      </w:r>
      <w:r w:rsidR="00A54C8B" w:rsidRPr="00814901">
        <w:rPr>
          <w:rFonts w:ascii="Times New Roman" w:hAnsi="Times New Roman"/>
          <w:sz w:val="24"/>
          <w:szCs w:val="24"/>
        </w:rPr>
        <w:t xml:space="preserve">Two commenters asked what the consequences </w:t>
      </w:r>
      <w:r w:rsidR="00EE1D24" w:rsidRPr="00814901">
        <w:rPr>
          <w:rFonts w:ascii="Times New Roman" w:hAnsi="Times New Roman"/>
          <w:sz w:val="24"/>
          <w:szCs w:val="24"/>
        </w:rPr>
        <w:t xml:space="preserve">are </w:t>
      </w:r>
      <w:r w:rsidR="00A54C8B" w:rsidRPr="00814901">
        <w:rPr>
          <w:rFonts w:ascii="Times New Roman" w:hAnsi="Times New Roman"/>
          <w:sz w:val="24"/>
          <w:szCs w:val="24"/>
        </w:rPr>
        <w:t xml:space="preserve">if a practitioner </w:t>
      </w:r>
      <w:r w:rsidR="00EE1D24" w:rsidRPr="00814901">
        <w:rPr>
          <w:rFonts w:ascii="Times New Roman" w:hAnsi="Times New Roman"/>
          <w:sz w:val="24"/>
          <w:szCs w:val="24"/>
        </w:rPr>
        <w:t xml:space="preserve">reports </w:t>
      </w:r>
      <w:r w:rsidR="00A54C8B" w:rsidRPr="00814901">
        <w:rPr>
          <w:rFonts w:ascii="Times New Roman" w:hAnsi="Times New Roman"/>
          <w:sz w:val="24"/>
          <w:szCs w:val="24"/>
        </w:rPr>
        <w:t xml:space="preserve">a serious, unexpected adverse event </w:t>
      </w:r>
      <w:r w:rsidR="00EE1D24" w:rsidRPr="00814901">
        <w:rPr>
          <w:rFonts w:ascii="Times New Roman" w:hAnsi="Times New Roman"/>
          <w:sz w:val="24"/>
          <w:szCs w:val="24"/>
        </w:rPr>
        <w:t xml:space="preserve">but </w:t>
      </w:r>
      <w:r w:rsidR="00A54C8B" w:rsidRPr="00814901">
        <w:rPr>
          <w:rFonts w:ascii="Times New Roman" w:hAnsi="Times New Roman"/>
          <w:sz w:val="24"/>
          <w:szCs w:val="24"/>
        </w:rPr>
        <w:t xml:space="preserve">the </w:t>
      </w:r>
      <w:r w:rsidR="00EE1D24" w:rsidRPr="00814901">
        <w:rPr>
          <w:rFonts w:ascii="Times New Roman" w:hAnsi="Times New Roman"/>
          <w:sz w:val="24"/>
          <w:szCs w:val="24"/>
        </w:rPr>
        <w:t>outsourcing facility</w:t>
      </w:r>
      <w:r w:rsidR="00A54C8B" w:rsidRPr="00814901">
        <w:rPr>
          <w:rFonts w:ascii="Times New Roman" w:hAnsi="Times New Roman"/>
          <w:sz w:val="24"/>
          <w:szCs w:val="24"/>
        </w:rPr>
        <w:t xml:space="preserve"> did not because it was</w:t>
      </w:r>
      <w:r w:rsidR="00EE1D24" w:rsidRPr="00814901">
        <w:rPr>
          <w:rFonts w:ascii="Times New Roman" w:hAnsi="Times New Roman"/>
          <w:sz w:val="24"/>
          <w:szCs w:val="24"/>
        </w:rPr>
        <w:t xml:space="preserve"> not aware of the adverse event.  The commenters indicated that an outsourcing facility </w:t>
      </w:r>
      <w:r w:rsidR="00A54C8B" w:rsidRPr="00814901">
        <w:rPr>
          <w:rFonts w:ascii="Times New Roman" w:hAnsi="Times New Roman"/>
          <w:sz w:val="24"/>
          <w:szCs w:val="24"/>
        </w:rPr>
        <w:t xml:space="preserve">should be permitted </w:t>
      </w:r>
      <w:r w:rsidR="00A54C8B" w:rsidRPr="00814901">
        <w:rPr>
          <w:rFonts w:ascii="Times New Roman" w:hAnsi="Times New Roman"/>
          <w:sz w:val="24"/>
          <w:szCs w:val="24"/>
        </w:rPr>
        <w:lastRenderedPageBreak/>
        <w:t xml:space="preserve">to refer to a previously-submitted </w:t>
      </w:r>
      <w:r w:rsidR="00EE1D24" w:rsidRPr="00814901">
        <w:rPr>
          <w:rFonts w:ascii="Times New Roman" w:hAnsi="Times New Roman"/>
          <w:sz w:val="24"/>
          <w:szCs w:val="24"/>
        </w:rPr>
        <w:t xml:space="preserve">adverse event </w:t>
      </w:r>
      <w:r w:rsidR="00A54C8B" w:rsidRPr="00814901">
        <w:rPr>
          <w:rFonts w:ascii="Times New Roman" w:hAnsi="Times New Roman"/>
          <w:sz w:val="24"/>
          <w:szCs w:val="24"/>
        </w:rPr>
        <w:t>report instead of being required to prepare a separate, duplicative report.</w:t>
      </w:r>
    </w:p>
    <w:p w:rsidR="00A54C8B" w:rsidRPr="00814901" w:rsidRDefault="00336222" w:rsidP="00A54C8B">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Fifteen</w:t>
      </w:r>
      <w:r w:rsidRPr="00814901">
        <w:rPr>
          <w:rFonts w:ascii="Times New Roman" w:hAnsi="Times New Roman"/>
          <w:sz w:val="24"/>
          <w:szCs w:val="24"/>
        </w:rPr>
        <w:t xml:space="preserve">: </w:t>
      </w:r>
      <w:r w:rsidR="00EE1D24" w:rsidRPr="00814901">
        <w:rPr>
          <w:rFonts w:ascii="Times New Roman" w:hAnsi="Times New Roman"/>
          <w:sz w:val="24"/>
          <w:szCs w:val="24"/>
        </w:rPr>
        <w:t xml:space="preserve">Outsourcing facilities </w:t>
      </w:r>
      <w:r w:rsidR="00A54C8B" w:rsidRPr="00814901">
        <w:rPr>
          <w:rFonts w:ascii="Times New Roman" w:hAnsi="Times New Roman"/>
          <w:sz w:val="24"/>
          <w:szCs w:val="24"/>
        </w:rPr>
        <w:t xml:space="preserve">are required to report </w:t>
      </w:r>
      <w:r w:rsidR="00715F40" w:rsidRPr="00814901">
        <w:rPr>
          <w:rFonts w:ascii="Times New Roman" w:hAnsi="Times New Roman"/>
          <w:sz w:val="24"/>
          <w:szCs w:val="24"/>
        </w:rPr>
        <w:t xml:space="preserve">serious unexpected </w:t>
      </w:r>
      <w:r w:rsidR="00A54C8B" w:rsidRPr="00814901">
        <w:rPr>
          <w:rFonts w:ascii="Times New Roman" w:hAnsi="Times New Roman"/>
          <w:sz w:val="24"/>
          <w:szCs w:val="24"/>
        </w:rPr>
        <w:t>adverse events that they are aware of</w:t>
      </w:r>
      <w:r w:rsidR="00792894" w:rsidRPr="00814901">
        <w:rPr>
          <w:rFonts w:ascii="Times New Roman" w:hAnsi="Times New Roman"/>
          <w:sz w:val="24"/>
          <w:szCs w:val="24"/>
        </w:rPr>
        <w:t xml:space="preserve">, regardless of whether anyone else voluntarily reported </w:t>
      </w:r>
      <w:r w:rsidR="00715F40" w:rsidRPr="00814901">
        <w:rPr>
          <w:rFonts w:ascii="Times New Roman" w:hAnsi="Times New Roman"/>
          <w:sz w:val="24"/>
          <w:szCs w:val="24"/>
        </w:rPr>
        <w:t>them</w:t>
      </w:r>
      <w:r w:rsidR="00A54C8B" w:rsidRPr="00814901">
        <w:rPr>
          <w:rFonts w:ascii="Times New Roman" w:hAnsi="Times New Roman"/>
          <w:sz w:val="24"/>
          <w:szCs w:val="24"/>
        </w:rPr>
        <w:t xml:space="preserve">.  </w:t>
      </w:r>
      <w:r w:rsidR="00792894" w:rsidRPr="00814901">
        <w:rPr>
          <w:rFonts w:ascii="Times New Roman" w:hAnsi="Times New Roman"/>
          <w:sz w:val="24"/>
          <w:szCs w:val="24"/>
        </w:rPr>
        <w:t xml:space="preserve">The guidance states that “failure to report adverse events by an entity that is registered in accordance with section 503B(b) is a prohibited act under section 301(ccc)(3) of the FD&amp;C Act.  Violations relating to this provision are subject to regulatory and enforcement action.”  </w:t>
      </w:r>
      <w:r w:rsidR="00A54C8B" w:rsidRPr="00814901">
        <w:rPr>
          <w:rFonts w:ascii="Times New Roman" w:hAnsi="Times New Roman"/>
          <w:sz w:val="24"/>
          <w:szCs w:val="24"/>
        </w:rPr>
        <w:t xml:space="preserve">If an adverse event </w:t>
      </w:r>
      <w:r w:rsidR="00EE1D24" w:rsidRPr="00814901">
        <w:rPr>
          <w:rFonts w:ascii="Times New Roman" w:hAnsi="Times New Roman"/>
          <w:sz w:val="24"/>
          <w:szCs w:val="24"/>
        </w:rPr>
        <w:t xml:space="preserve">associated with </w:t>
      </w:r>
      <w:r w:rsidR="00A54C8B" w:rsidRPr="00814901">
        <w:rPr>
          <w:rFonts w:ascii="Times New Roman" w:hAnsi="Times New Roman"/>
          <w:sz w:val="24"/>
          <w:szCs w:val="24"/>
        </w:rPr>
        <w:t xml:space="preserve">an </w:t>
      </w:r>
      <w:r w:rsidR="00EE1D24" w:rsidRPr="00814901">
        <w:rPr>
          <w:rFonts w:ascii="Times New Roman" w:hAnsi="Times New Roman"/>
          <w:sz w:val="24"/>
          <w:szCs w:val="24"/>
        </w:rPr>
        <w:t xml:space="preserve">outsourcing facility’s </w:t>
      </w:r>
      <w:r w:rsidR="00A54C8B" w:rsidRPr="00814901">
        <w:rPr>
          <w:rFonts w:ascii="Times New Roman" w:hAnsi="Times New Roman"/>
          <w:sz w:val="24"/>
          <w:szCs w:val="24"/>
        </w:rPr>
        <w:t xml:space="preserve">product is submitted to the FDA </w:t>
      </w:r>
      <w:r w:rsidR="003A6FC6" w:rsidRPr="00814901">
        <w:rPr>
          <w:rFonts w:ascii="Times New Roman" w:hAnsi="Times New Roman"/>
          <w:sz w:val="24"/>
          <w:szCs w:val="24"/>
        </w:rPr>
        <w:t xml:space="preserve">voluntarily </w:t>
      </w:r>
      <w:r w:rsidR="00A54C8B" w:rsidRPr="00814901">
        <w:rPr>
          <w:rFonts w:ascii="Times New Roman" w:hAnsi="Times New Roman"/>
          <w:sz w:val="24"/>
          <w:szCs w:val="24"/>
        </w:rPr>
        <w:t xml:space="preserve">by an entity other than the </w:t>
      </w:r>
      <w:r w:rsidR="00EE1D24" w:rsidRPr="00814901">
        <w:rPr>
          <w:rFonts w:ascii="Times New Roman" w:hAnsi="Times New Roman"/>
          <w:sz w:val="24"/>
          <w:szCs w:val="24"/>
        </w:rPr>
        <w:t>outsourcing facility</w:t>
      </w:r>
      <w:r w:rsidR="00A54C8B" w:rsidRPr="00814901">
        <w:rPr>
          <w:rFonts w:ascii="Times New Roman" w:hAnsi="Times New Roman"/>
          <w:sz w:val="24"/>
          <w:szCs w:val="24"/>
        </w:rPr>
        <w:t xml:space="preserve"> (a health care provider)</w:t>
      </w:r>
      <w:r w:rsidR="00EE1D24" w:rsidRPr="00814901">
        <w:rPr>
          <w:rFonts w:ascii="Times New Roman" w:hAnsi="Times New Roman"/>
          <w:sz w:val="24"/>
          <w:szCs w:val="24"/>
        </w:rPr>
        <w:t>, the</w:t>
      </w:r>
      <w:r w:rsidR="00A54C8B" w:rsidRPr="00814901">
        <w:rPr>
          <w:rFonts w:ascii="Times New Roman" w:hAnsi="Times New Roman"/>
          <w:sz w:val="24"/>
          <w:szCs w:val="24"/>
        </w:rPr>
        <w:t xml:space="preserve"> </w:t>
      </w:r>
      <w:r w:rsidR="00EE1D24" w:rsidRPr="00814901">
        <w:rPr>
          <w:rFonts w:ascii="Times New Roman" w:hAnsi="Times New Roman"/>
          <w:sz w:val="24"/>
          <w:szCs w:val="24"/>
        </w:rPr>
        <w:t>outsourcing facility</w:t>
      </w:r>
      <w:r w:rsidR="007B0568" w:rsidRPr="00814901">
        <w:rPr>
          <w:rFonts w:ascii="Times New Roman" w:hAnsi="Times New Roman"/>
          <w:sz w:val="24"/>
          <w:szCs w:val="24"/>
        </w:rPr>
        <w:t>,</w:t>
      </w:r>
      <w:r w:rsidR="009F6BDA" w:rsidRPr="00814901">
        <w:rPr>
          <w:rFonts w:ascii="Times New Roman" w:hAnsi="Times New Roman"/>
          <w:sz w:val="24"/>
          <w:szCs w:val="24"/>
        </w:rPr>
        <w:t xml:space="preserve"> under section 503B of the FD&amp;C Act</w:t>
      </w:r>
      <w:r w:rsidR="007B0568" w:rsidRPr="00814901">
        <w:rPr>
          <w:rFonts w:ascii="Times New Roman" w:hAnsi="Times New Roman"/>
          <w:sz w:val="24"/>
          <w:szCs w:val="24"/>
        </w:rPr>
        <w:t>,</w:t>
      </w:r>
      <w:r w:rsidR="00EE1D24" w:rsidRPr="00814901">
        <w:rPr>
          <w:rFonts w:ascii="Times New Roman" w:hAnsi="Times New Roman"/>
          <w:sz w:val="24"/>
          <w:szCs w:val="24"/>
        </w:rPr>
        <w:t xml:space="preserve"> </w:t>
      </w:r>
      <w:r w:rsidR="00A54C8B" w:rsidRPr="00814901">
        <w:rPr>
          <w:rFonts w:ascii="Times New Roman" w:hAnsi="Times New Roman"/>
          <w:sz w:val="24"/>
          <w:szCs w:val="24"/>
        </w:rPr>
        <w:t xml:space="preserve">is still required to submit an adverse event report if it also became aware of the same adverse event report and it is reportable.  During the review and analysis of case reports from </w:t>
      </w:r>
      <w:r w:rsidR="00DF1918" w:rsidRPr="00814901">
        <w:rPr>
          <w:rFonts w:ascii="Times New Roman" w:hAnsi="Times New Roman"/>
          <w:sz w:val="24"/>
          <w:szCs w:val="24"/>
        </w:rPr>
        <w:t>the FDA Adverse Event Reporting System</w:t>
      </w:r>
      <w:r w:rsidR="00A54C8B" w:rsidRPr="00814901">
        <w:rPr>
          <w:rFonts w:ascii="Times New Roman" w:hAnsi="Times New Roman"/>
          <w:sz w:val="24"/>
          <w:szCs w:val="24"/>
        </w:rPr>
        <w:t xml:space="preserve">, FDA reviewers identify duplicate cases and treat them as one case report in their evaluation.   </w:t>
      </w:r>
    </w:p>
    <w:p w:rsidR="00336222" w:rsidRPr="00814901" w:rsidRDefault="00336222" w:rsidP="00792894">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Sixteen</w:t>
      </w:r>
      <w:r w:rsidRPr="00814901">
        <w:rPr>
          <w:rFonts w:ascii="Times New Roman" w:hAnsi="Times New Roman"/>
          <w:sz w:val="24"/>
          <w:szCs w:val="24"/>
        </w:rPr>
        <w:t xml:space="preserve">: </w:t>
      </w:r>
      <w:r w:rsidR="00A54C8B" w:rsidRPr="00814901">
        <w:rPr>
          <w:rFonts w:ascii="Times New Roman" w:hAnsi="Times New Roman"/>
          <w:sz w:val="24"/>
          <w:szCs w:val="24"/>
        </w:rPr>
        <w:t xml:space="preserve">One commenter asked if there would be a consequence to an </w:t>
      </w:r>
      <w:r w:rsidR="00EE1D24" w:rsidRPr="00814901">
        <w:rPr>
          <w:rFonts w:ascii="Times New Roman" w:hAnsi="Times New Roman"/>
          <w:sz w:val="24"/>
          <w:szCs w:val="24"/>
        </w:rPr>
        <w:t>outsourcing facility</w:t>
      </w:r>
      <w:r w:rsidR="00A54C8B" w:rsidRPr="00814901">
        <w:rPr>
          <w:rFonts w:ascii="Times New Roman" w:hAnsi="Times New Roman"/>
          <w:sz w:val="24"/>
          <w:szCs w:val="24"/>
        </w:rPr>
        <w:t xml:space="preserve"> that does not report an adverse event because another individual or entity reported it directly to </w:t>
      </w:r>
      <w:r w:rsidR="00EE1D24" w:rsidRPr="00814901">
        <w:rPr>
          <w:rFonts w:ascii="Times New Roman" w:hAnsi="Times New Roman"/>
          <w:sz w:val="24"/>
          <w:szCs w:val="24"/>
        </w:rPr>
        <w:t>FDA</w:t>
      </w:r>
      <w:r w:rsidR="00A54C8B" w:rsidRPr="00814901">
        <w:rPr>
          <w:rFonts w:ascii="Times New Roman" w:hAnsi="Times New Roman"/>
          <w:sz w:val="24"/>
          <w:szCs w:val="24"/>
        </w:rPr>
        <w:t>.</w:t>
      </w:r>
    </w:p>
    <w:p w:rsidR="00336222" w:rsidRPr="00814901" w:rsidRDefault="00336222" w:rsidP="00064690">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Sixteen</w:t>
      </w:r>
      <w:r w:rsidRPr="00814901">
        <w:rPr>
          <w:rFonts w:ascii="Times New Roman" w:hAnsi="Times New Roman"/>
          <w:sz w:val="24"/>
          <w:szCs w:val="24"/>
        </w:rPr>
        <w:t>:</w:t>
      </w:r>
      <w:r w:rsidR="00A54C8B" w:rsidRPr="00814901">
        <w:rPr>
          <w:rFonts w:ascii="Times New Roman" w:hAnsi="Times New Roman"/>
          <w:sz w:val="24"/>
          <w:szCs w:val="24"/>
        </w:rPr>
        <w:t xml:space="preserve"> The </w:t>
      </w:r>
      <w:r w:rsidR="00DF1918" w:rsidRPr="00814901">
        <w:rPr>
          <w:rFonts w:ascii="Times New Roman" w:hAnsi="Times New Roman"/>
          <w:sz w:val="24"/>
          <w:szCs w:val="24"/>
        </w:rPr>
        <w:t>outsourcing facility</w:t>
      </w:r>
      <w:r w:rsidR="00A54C8B" w:rsidRPr="00814901">
        <w:rPr>
          <w:rFonts w:ascii="Times New Roman" w:hAnsi="Times New Roman"/>
          <w:sz w:val="24"/>
          <w:szCs w:val="24"/>
        </w:rPr>
        <w:t xml:space="preserve"> is required to report any </w:t>
      </w:r>
      <w:r w:rsidR="00DF1918" w:rsidRPr="00814901">
        <w:rPr>
          <w:rFonts w:ascii="Times New Roman" w:hAnsi="Times New Roman"/>
          <w:sz w:val="24"/>
          <w:szCs w:val="24"/>
        </w:rPr>
        <w:t>adverse events</w:t>
      </w:r>
      <w:r w:rsidR="00A54C8B" w:rsidRPr="00814901">
        <w:rPr>
          <w:rFonts w:ascii="Times New Roman" w:hAnsi="Times New Roman"/>
          <w:sz w:val="24"/>
          <w:szCs w:val="24"/>
        </w:rPr>
        <w:t xml:space="preserve"> of which </w:t>
      </w:r>
      <w:r w:rsidR="00F45FDD" w:rsidRPr="00814901">
        <w:rPr>
          <w:rFonts w:ascii="Times New Roman" w:hAnsi="Times New Roman"/>
          <w:sz w:val="24"/>
          <w:szCs w:val="24"/>
        </w:rPr>
        <w:t xml:space="preserve">it </w:t>
      </w:r>
      <w:r w:rsidR="00A54C8B" w:rsidRPr="00814901">
        <w:rPr>
          <w:rFonts w:ascii="Times New Roman" w:hAnsi="Times New Roman"/>
          <w:sz w:val="24"/>
          <w:szCs w:val="24"/>
        </w:rPr>
        <w:t>become</w:t>
      </w:r>
      <w:r w:rsidR="00F45FDD" w:rsidRPr="00814901">
        <w:rPr>
          <w:rFonts w:ascii="Times New Roman" w:hAnsi="Times New Roman"/>
          <w:sz w:val="24"/>
          <w:szCs w:val="24"/>
        </w:rPr>
        <w:t>s</w:t>
      </w:r>
      <w:r w:rsidR="00A54C8B" w:rsidRPr="00814901">
        <w:rPr>
          <w:rFonts w:ascii="Times New Roman" w:hAnsi="Times New Roman"/>
          <w:sz w:val="24"/>
          <w:szCs w:val="24"/>
        </w:rPr>
        <w:t xml:space="preserve"> aware, regardless of whether anyone else voluntarily reported it.  The guidance states that “failure to report adverse events by an entity that is registered in accordance with section 503B(b) is a prohibited act under section 301(ccc)(3) of the FD&amp;C Act.  Violations relating to this provision are subject to regulatory and enforcement action</w:t>
      </w:r>
      <w:r w:rsidR="00EE1D24" w:rsidRPr="00814901">
        <w:rPr>
          <w:rFonts w:ascii="Times New Roman" w:hAnsi="Times New Roman"/>
          <w:sz w:val="24"/>
          <w:szCs w:val="24"/>
        </w:rPr>
        <w:t>.</w:t>
      </w:r>
      <w:r w:rsidR="00A54C8B" w:rsidRPr="00814901">
        <w:rPr>
          <w:rFonts w:ascii="Times New Roman" w:hAnsi="Times New Roman"/>
          <w:sz w:val="24"/>
          <w:szCs w:val="24"/>
        </w:rPr>
        <w:t>”</w:t>
      </w:r>
    </w:p>
    <w:p w:rsidR="00A54C8B" w:rsidRPr="00814901" w:rsidRDefault="00336222" w:rsidP="00A54C8B">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lastRenderedPageBreak/>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Seventeen</w:t>
      </w:r>
      <w:r w:rsidRPr="00814901">
        <w:rPr>
          <w:rFonts w:ascii="Times New Roman" w:hAnsi="Times New Roman"/>
          <w:sz w:val="24"/>
          <w:szCs w:val="24"/>
        </w:rPr>
        <w:t xml:space="preserve">: </w:t>
      </w:r>
      <w:r w:rsidR="00A54C8B" w:rsidRPr="00814901">
        <w:rPr>
          <w:rFonts w:ascii="Times New Roman" w:hAnsi="Times New Roman"/>
          <w:sz w:val="24"/>
          <w:szCs w:val="24"/>
        </w:rPr>
        <w:t>Two commenters stated that the draft guidance fails to account for compounded drug products being used for off-label treatment. By failing to address this issue, the reporting requirements detailed in the draft guidance may not provide FDA with the informat</w:t>
      </w:r>
      <w:r w:rsidR="00DF1918" w:rsidRPr="00814901">
        <w:rPr>
          <w:rFonts w:ascii="Times New Roman" w:hAnsi="Times New Roman"/>
          <w:sz w:val="24"/>
          <w:szCs w:val="24"/>
        </w:rPr>
        <w:t>ion it seeks. Additionally, an outsourcing facility</w:t>
      </w:r>
      <w:r w:rsidR="00A54C8B" w:rsidRPr="00814901">
        <w:rPr>
          <w:rFonts w:ascii="Times New Roman" w:hAnsi="Times New Roman"/>
          <w:sz w:val="24"/>
          <w:szCs w:val="24"/>
        </w:rPr>
        <w:t xml:space="preserve"> may not know how the compounded drug is to be used, thereby limiting its ability to provide a full and accurate accounting of the adverse event. The patient's healthcare provider may be in a better position to provide this information.</w:t>
      </w:r>
    </w:p>
    <w:p w:rsidR="00A54C8B" w:rsidRPr="00814901" w:rsidRDefault="00336222" w:rsidP="00A54C8B">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Seventeen</w:t>
      </w:r>
      <w:r w:rsidRPr="00814901">
        <w:rPr>
          <w:rFonts w:ascii="Times New Roman" w:hAnsi="Times New Roman"/>
          <w:sz w:val="24"/>
          <w:szCs w:val="24"/>
        </w:rPr>
        <w:t>:</w:t>
      </w:r>
      <w:r w:rsidR="00A54C8B" w:rsidRPr="00814901">
        <w:rPr>
          <w:rFonts w:ascii="Times New Roman" w:hAnsi="Times New Roman"/>
          <w:sz w:val="24"/>
          <w:szCs w:val="24"/>
        </w:rPr>
        <w:t xml:space="preserve"> </w:t>
      </w:r>
      <w:r w:rsidR="0059077D" w:rsidRPr="00814901">
        <w:rPr>
          <w:rFonts w:ascii="Times New Roman" w:hAnsi="Times New Roman"/>
          <w:sz w:val="24"/>
          <w:szCs w:val="24"/>
        </w:rPr>
        <w:t xml:space="preserve">FDA disagrees with this comment.  The concept of </w:t>
      </w:r>
      <w:r w:rsidR="00A54C8B" w:rsidRPr="00814901">
        <w:rPr>
          <w:rFonts w:ascii="Times New Roman" w:hAnsi="Times New Roman"/>
          <w:sz w:val="24"/>
          <w:szCs w:val="24"/>
        </w:rPr>
        <w:t xml:space="preserve">“off-label treatment” </w:t>
      </w:r>
      <w:r w:rsidR="0059077D" w:rsidRPr="00814901">
        <w:rPr>
          <w:rFonts w:ascii="Times New Roman" w:hAnsi="Times New Roman"/>
          <w:sz w:val="24"/>
          <w:szCs w:val="24"/>
        </w:rPr>
        <w:t xml:space="preserve">is not applicable to </w:t>
      </w:r>
      <w:r w:rsidR="00A54C8B" w:rsidRPr="00814901">
        <w:rPr>
          <w:rFonts w:ascii="Times New Roman" w:hAnsi="Times New Roman"/>
          <w:sz w:val="24"/>
          <w:szCs w:val="24"/>
        </w:rPr>
        <w:t xml:space="preserve">compounded drugs because compounded drugs are not approved and do not have approved labeling.  FDA evaluates adverse event reports </w:t>
      </w:r>
      <w:r w:rsidR="0059077D" w:rsidRPr="00814901">
        <w:rPr>
          <w:rFonts w:ascii="Times New Roman" w:hAnsi="Times New Roman"/>
          <w:sz w:val="24"/>
          <w:szCs w:val="24"/>
        </w:rPr>
        <w:t xml:space="preserve">associated with </w:t>
      </w:r>
      <w:r w:rsidR="00A54C8B" w:rsidRPr="00814901">
        <w:rPr>
          <w:rFonts w:ascii="Times New Roman" w:hAnsi="Times New Roman"/>
          <w:sz w:val="24"/>
          <w:szCs w:val="24"/>
        </w:rPr>
        <w:t xml:space="preserve">compounded </w:t>
      </w:r>
      <w:r w:rsidR="0059077D" w:rsidRPr="00814901">
        <w:rPr>
          <w:rFonts w:ascii="Times New Roman" w:hAnsi="Times New Roman"/>
          <w:sz w:val="24"/>
          <w:szCs w:val="24"/>
        </w:rPr>
        <w:t xml:space="preserve">drug </w:t>
      </w:r>
      <w:r w:rsidR="00A54C8B" w:rsidRPr="00814901">
        <w:rPr>
          <w:rFonts w:ascii="Times New Roman" w:hAnsi="Times New Roman"/>
          <w:sz w:val="24"/>
          <w:szCs w:val="24"/>
        </w:rPr>
        <w:t xml:space="preserve">products for quality issues.  Furthermore, section 503B requires </w:t>
      </w:r>
      <w:r w:rsidR="00DF1918" w:rsidRPr="00814901">
        <w:rPr>
          <w:rFonts w:ascii="Times New Roman" w:hAnsi="Times New Roman"/>
          <w:sz w:val="24"/>
          <w:szCs w:val="24"/>
        </w:rPr>
        <w:t xml:space="preserve">outsourcing facilities </w:t>
      </w:r>
      <w:r w:rsidR="00A54C8B" w:rsidRPr="00814901">
        <w:rPr>
          <w:rFonts w:ascii="Times New Roman" w:hAnsi="Times New Roman"/>
          <w:sz w:val="24"/>
          <w:szCs w:val="24"/>
        </w:rPr>
        <w:t>to report adverse events.  Reporting by healthcare providers is voluntary and not the subject of this guidance.</w:t>
      </w:r>
    </w:p>
    <w:p w:rsidR="000C2BFB" w:rsidRPr="00814901" w:rsidRDefault="000C2BFB" w:rsidP="000C2BFB">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Eighteen</w:t>
      </w:r>
      <w:r w:rsidRPr="00814901">
        <w:rPr>
          <w:rFonts w:ascii="Times New Roman" w:hAnsi="Times New Roman"/>
          <w:sz w:val="24"/>
          <w:szCs w:val="24"/>
        </w:rPr>
        <w:t xml:space="preserve">: </w:t>
      </w:r>
      <w:r w:rsidR="00A54C8B" w:rsidRPr="00814901">
        <w:rPr>
          <w:rFonts w:ascii="Times New Roman" w:hAnsi="Times New Roman"/>
          <w:sz w:val="24"/>
          <w:szCs w:val="24"/>
        </w:rPr>
        <w:t xml:space="preserve">Two commenters asked if, after complying with the reporting requirement, FDA will require any additional information or follow-up activity by the </w:t>
      </w:r>
      <w:r w:rsidR="00347A33" w:rsidRPr="00814901">
        <w:rPr>
          <w:rFonts w:ascii="Times New Roman" w:hAnsi="Times New Roman"/>
          <w:sz w:val="24"/>
          <w:szCs w:val="24"/>
        </w:rPr>
        <w:t>outsourcing facility</w:t>
      </w:r>
      <w:r w:rsidR="00A54C8B" w:rsidRPr="00814901">
        <w:rPr>
          <w:rFonts w:ascii="Times New Roman" w:hAnsi="Times New Roman"/>
          <w:sz w:val="24"/>
          <w:szCs w:val="24"/>
        </w:rPr>
        <w:t xml:space="preserve"> that submits the report. They asked if the outsourcing facility will be required to provide information about the adverse event to healthcare providers or others who purcha</w:t>
      </w:r>
      <w:r w:rsidR="00347A33" w:rsidRPr="00814901">
        <w:rPr>
          <w:rFonts w:ascii="Times New Roman" w:hAnsi="Times New Roman"/>
          <w:sz w:val="24"/>
          <w:szCs w:val="24"/>
        </w:rPr>
        <w:t>sed the same or similar product, and if</w:t>
      </w:r>
      <w:r w:rsidR="00A54C8B" w:rsidRPr="00814901">
        <w:rPr>
          <w:rFonts w:ascii="Times New Roman" w:hAnsi="Times New Roman"/>
          <w:sz w:val="24"/>
          <w:szCs w:val="24"/>
        </w:rPr>
        <w:t xml:space="preserve"> the adverse event does not trigger reporting requirements imposed by the applicable state board of pharmacy, </w:t>
      </w:r>
      <w:r w:rsidR="00347A33" w:rsidRPr="00814901">
        <w:rPr>
          <w:rFonts w:ascii="Times New Roman" w:hAnsi="Times New Roman"/>
          <w:sz w:val="24"/>
          <w:szCs w:val="24"/>
        </w:rPr>
        <w:t xml:space="preserve">whether the </w:t>
      </w:r>
      <w:r w:rsidR="00DF1918" w:rsidRPr="00814901">
        <w:rPr>
          <w:rFonts w:ascii="Times New Roman" w:hAnsi="Times New Roman"/>
          <w:sz w:val="24"/>
          <w:szCs w:val="24"/>
        </w:rPr>
        <w:t xml:space="preserve">outsourcing facility </w:t>
      </w:r>
      <w:r w:rsidR="00347A33" w:rsidRPr="00814901">
        <w:rPr>
          <w:rFonts w:ascii="Times New Roman" w:hAnsi="Times New Roman"/>
          <w:sz w:val="24"/>
          <w:szCs w:val="24"/>
        </w:rPr>
        <w:t>must notify the state board.</w:t>
      </w:r>
    </w:p>
    <w:p w:rsidR="00347A33" w:rsidRPr="00814901" w:rsidRDefault="000C2BFB" w:rsidP="00347A33">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Eighteen</w:t>
      </w:r>
      <w:r w:rsidRPr="00814901">
        <w:rPr>
          <w:rFonts w:ascii="Times New Roman" w:hAnsi="Times New Roman"/>
          <w:sz w:val="24"/>
          <w:szCs w:val="24"/>
        </w:rPr>
        <w:t xml:space="preserve">: </w:t>
      </w:r>
      <w:r w:rsidR="00DF1918" w:rsidRPr="00814901">
        <w:rPr>
          <w:rFonts w:ascii="Times New Roman" w:hAnsi="Times New Roman"/>
          <w:sz w:val="24"/>
          <w:szCs w:val="24"/>
        </w:rPr>
        <w:t xml:space="preserve">The draft guidance </w:t>
      </w:r>
      <w:r w:rsidR="00347A33" w:rsidRPr="00814901">
        <w:rPr>
          <w:rFonts w:ascii="Times New Roman" w:hAnsi="Times New Roman"/>
          <w:sz w:val="24"/>
          <w:szCs w:val="24"/>
        </w:rPr>
        <w:t xml:space="preserve">describes the requirement under 21 CFR 310.305(c)(2) that all serious, unexpected adverse drug experiences shall be promptly investigated </w:t>
      </w:r>
      <w:r w:rsidR="001D04D7" w:rsidRPr="00814901">
        <w:rPr>
          <w:rFonts w:ascii="Times New Roman" w:hAnsi="Times New Roman"/>
          <w:sz w:val="24"/>
          <w:szCs w:val="24"/>
        </w:rPr>
        <w:t xml:space="preserve">by the outsourcing facility </w:t>
      </w:r>
      <w:r w:rsidR="00347A33" w:rsidRPr="00814901">
        <w:rPr>
          <w:rFonts w:ascii="Times New Roman" w:hAnsi="Times New Roman"/>
          <w:sz w:val="24"/>
          <w:szCs w:val="24"/>
        </w:rPr>
        <w:t xml:space="preserve">and a follow-up report must be submitted within 15 </w:t>
      </w:r>
      <w:r w:rsidR="00347A33" w:rsidRPr="00814901">
        <w:rPr>
          <w:rFonts w:ascii="Times New Roman" w:hAnsi="Times New Roman"/>
          <w:sz w:val="24"/>
          <w:szCs w:val="24"/>
        </w:rPr>
        <w:lastRenderedPageBreak/>
        <w:t xml:space="preserve">calendar days of receipt of new information “or as requested by FDA.”  </w:t>
      </w:r>
      <w:r w:rsidR="00271A8C" w:rsidRPr="00814901">
        <w:rPr>
          <w:rFonts w:ascii="Times New Roman" w:hAnsi="Times New Roman"/>
          <w:sz w:val="24"/>
          <w:szCs w:val="24"/>
        </w:rPr>
        <w:t xml:space="preserve">The guidance does not direct the outsourcing facility to provide information about adverse events to any other entities.  </w:t>
      </w:r>
      <w:r w:rsidR="00347A33" w:rsidRPr="00814901">
        <w:rPr>
          <w:rFonts w:ascii="Times New Roman" w:hAnsi="Times New Roman"/>
          <w:sz w:val="24"/>
          <w:szCs w:val="24"/>
        </w:rPr>
        <w:t xml:space="preserve">Whether the </w:t>
      </w:r>
      <w:r w:rsidR="00DF1918" w:rsidRPr="00814901">
        <w:rPr>
          <w:rFonts w:ascii="Times New Roman" w:hAnsi="Times New Roman"/>
          <w:sz w:val="24"/>
          <w:szCs w:val="24"/>
        </w:rPr>
        <w:t>outsourcing facility</w:t>
      </w:r>
      <w:r w:rsidR="00347A33" w:rsidRPr="00814901">
        <w:rPr>
          <w:rFonts w:ascii="Times New Roman" w:hAnsi="Times New Roman"/>
          <w:sz w:val="24"/>
          <w:szCs w:val="24"/>
        </w:rPr>
        <w:t xml:space="preserve"> must also notify the state is a question of state law.  </w:t>
      </w:r>
      <w:r w:rsidR="0059077D" w:rsidRPr="00814901">
        <w:rPr>
          <w:rFonts w:ascii="Times New Roman" w:hAnsi="Times New Roman"/>
          <w:sz w:val="24"/>
          <w:szCs w:val="24"/>
        </w:rPr>
        <w:t>The guidance makes clear that t</w:t>
      </w:r>
      <w:r w:rsidR="00347A33" w:rsidRPr="00814901">
        <w:rPr>
          <w:rFonts w:ascii="Times New Roman" w:hAnsi="Times New Roman"/>
          <w:sz w:val="24"/>
          <w:szCs w:val="24"/>
        </w:rPr>
        <w:t xml:space="preserve">he </w:t>
      </w:r>
      <w:r w:rsidR="00DF1918" w:rsidRPr="00814901">
        <w:rPr>
          <w:rFonts w:ascii="Times New Roman" w:hAnsi="Times New Roman"/>
          <w:sz w:val="24"/>
          <w:szCs w:val="24"/>
        </w:rPr>
        <w:t xml:space="preserve">outsourcing facility </w:t>
      </w:r>
      <w:r w:rsidR="00347A33" w:rsidRPr="00814901">
        <w:rPr>
          <w:rFonts w:ascii="Times New Roman" w:hAnsi="Times New Roman"/>
          <w:sz w:val="24"/>
          <w:szCs w:val="24"/>
        </w:rPr>
        <w:t>must comply</w:t>
      </w:r>
      <w:r w:rsidR="0059077D" w:rsidRPr="00814901">
        <w:rPr>
          <w:rFonts w:ascii="Times New Roman" w:hAnsi="Times New Roman"/>
          <w:sz w:val="24"/>
          <w:szCs w:val="24"/>
        </w:rPr>
        <w:t xml:space="preserve"> with any state requirements</w:t>
      </w:r>
      <w:r w:rsidR="001F75B7" w:rsidRPr="00814901">
        <w:rPr>
          <w:rFonts w:ascii="Times New Roman" w:hAnsi="Times New Roman"/>
          <w:sz w:val="24"/>
          <w:szCs w:val="24"/>
        </w:rPr>
        <w:t>.  A</w:t>
      </w:r>
      <w:r w:rsidR="0059077D" w:rsidRPr="00814901">
        <w:rPr>
          <w:rFonts w:ascii="Times New Roman" w:hAnsi="Times New Roman"/>
          <w:sz w:val="24"/>
          <w:szCs w:val="24"/>
        </w:rPr>
        <w:t xml:space="preserve">s described above, </w:t>
      </w:r>
      <w:r w:rsidR="001F75B7" w:rsidRPr="00814901">
        <w:rPr>
          <w:rFonts w:ascii="Times New Roman" w:hAnsi="Times New Roman"/>
          <w:sz w:val="24"/>
          <w:szCs w:val="24"/>
        </w:rPr>
        <w:t>for clarification,</w:t>
      </w:r>
      <w:r w:rsidR="003C079F" w:rsidRPr="00814901">
        <w:rPr>
          <w:rFonts w:ascii="Times New Roman" w:hAnsi="Times New Roman"/>
          <w:sz w:val="24"/>
          <w:szCs w:val="24"/>
        </w:rPr>
        <w:t xml:space="preserve"> </w:t>
      </w:r>
      <w:r w:rsidR="0059077D" w:rsidRPr="00814901">
        <w:rPr>
          <w:rFonts w:ascii="Times New Roman" w:hAnsi="Times New Roman"/>
          <w:sz w:val="24"/>
          <w:szCs w:val="24"/>
        </w:rPr>
        <w:t xml:space="preserve">FDA added the following language to the guidance: “Certain state boards of pharmacy may also require outsourcing facilities licensed in their states to report adverse events.  Outsourcing facilities must comply with any </w:t>
      </w:r>
      <w:r w:rsidR="00715F40" w:rsidRPr="00814901">
        <w:rPr>
          <w:rFonts w:ascii="Times New Roman" w:hAnsi="Times New Roman"/>
          <w:sz w:val="24"/>
          <w:szCs w:val="24"/>
        </w:rPr>
        <w:t xml:space="preserve">applicable </w:t>
      </w:r>
      <w:r w:rsidR="0059077D" w:rsidRPr="00814901">
        <w:rPr>
          <w:rFonts w:ascii="Times New Roman" w:hAnsi="Times New Roman"/>
          <w:sz w:val="24"/>
          <w:szCs w:val="24"/>
        </w:rPr>
        <w:t>state reporting requirements independent of and in addition to reporting adverse events as described in this guidance.”</w:t>
      </w:r>
    </w:p>
    <w:p w:rsidR="000C2BFB" w:rsidRPr="00814901" w:rsidRDefault="000C2BFB" w:rsidP="000C2BFB">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 xml:space="preserve">Issue </w:t>
      </w:r>
      <w:r w:rsidR="00DA064D" w:rsidRPr="00814901">
        <w:rPr>
          <w:rFonts w:ascii="Times New Roman" w:hAnsi="Times New Roman"/>
          <w:sz w:val="24"/>
          <w:szCs w:val="24"/>
          <w:u w:val="single"/>
        </w:rPr>
        <w:t>Nineteen</w:t>
      </w:r>
      <w:r w:rsidRPr="00814901">
        <w:rPr>
          <w:rFonts w:ascii="Times New Roman" w:hAnsi="Times New Roman"/>
          <w:sz w:val="24"/>
          <w:szCs w:val="24"/>
        </w:rPr>
        <w:t xml:space="preserve">: </w:t>
      </w:r>
      <w:r w:rsidR="00347A33" w:rsidRPr="00814901">
        <w:rPr>
          <w:rFonts w:ascii="Times New Roman" w:hAnsi="Times New Roman"/>
          <w:sz w:val="24"/>
          <w:szCs w:val="24"/>
        </w:rPr>
        <w:t xml:space="preserve">Two commenters asked what action, if any, FDA will take following the reporting of an adverse event.  They asked if such reporting will </w:t>
      </w:r>
      <w:r w:rsidR="00D534CE" w:rsidRPr="00814901">
        <w:rPr>
          <w:rFonts w:ascii="Times New Roman" w:hAnsi="Times New Roman"/>
          <w:sz w:val="24"/>
          <w:szCs w:val="24"/>
        </w:rPr>
        <w:t xml:space="preserve">trigger inspections or </w:t>
      </w:r>
      <w:r w:rsidR="00347A33" w:rsidRPr="00814901">
        <w:rPr>
          <w:rFonts w:ascii="Times New Roman" w:hAnsi="Times New Roman"/>
          <w:sz w:val="24"/>
          <w:szCs w:val="24"/>
        </w:rPr>
        <w:t>additional scrutiny by FDA, whether the filing of an adverse event report automatically means FDA will undertake any ki</w:t>
      </w:r>
      <w:r w:rsidR="00D534CE" w:rsidRPr="00814901">
        <w:rPr>
          <w:rFonts w:ascii="Times New Roman" w:hAnsi="Times New Roman"/>
          <w:sz w:val="24"/>
          <w:szCs w:val="24"/>
        </w:rPr>
        <w:t>nd of formal enforcement action</w:t>
      </w:r>
      <w:r w:rsidR="00347A33" w:rsidRPr="00814901">
        <w:rPr>
          <w:rFonts w:ascii="Times New Roman" w:hAnsi="Times New Roman"/>
          <w:sz w:val="24"/>
          <w:szCs w:val="24"/>
        </w:rPr>
        <w:t xml:space="preserve"> or any other follow up, and whether FDA will notify the state board, or otherwise disclose the adverse event to the public, healthcare providers, purchasers or others.  A commenter also noted that </w:t>
      </w:r>
      <w:r w:rsidR="00DF1918" w:rsidRPr="00814901">
        <w:rPr>
          <w:rFonts w:ascii="Times New Roman" w:hAnsi="Times New Roman"/>
          <w:sz w:val="24"/>
          <w:szCs w:val="24"/>
        </w:rPr>
        <w:t>i</w:t>
      </w:r>
      <w:r w:rsidR="00347A33" w:rsidRPr="00814901">
        <w:rPr>
          <w:rFonts w:ascii="Times New Roman" w:hAnsi="Times New Roman"/>
          <w:sz w:val="24"/>
          <w:szCs w:val="24"/>
        </w:rPr>
        <w:t xml:space="preserve">f the purpose of the guidance is to monitor and identify issues with particular </w:t>
      </w:r>
      <w:r w:rsidR="00DF1918" w:rsidRPr="00814901">
        <w:rPr>
          <w:rFonts w:ascii="Times New Roman" w:hAnsi="Times New Roman"/>
          <w:sz w:val="24"/>
          <w:szCs w:val="24"/>
        </w:rPr>
        <w:t>outsourcing facilities</w:t>
      </w:r>
      <w:r w:rsidR="00347A33" w:rsidRPr="00814901">
        <w:rPr>
          <w:rFonts w:ascii="Times New Roman" w:hAnsi="Times New Roman"/>
          <w:sz w:val="24"/>
          <w:szCs w:val="24"/>
        </w:rPr>
        <w:t>, the disclo</w:t>
      </w:r>
      <w:r w:rsidR="00D534CE" w:rsidRPr="00814901">
        <w:rPr>
          <w:rFonts w:ascii="Times New Roman" w:hAnsi="Times New Roman"/>
          <w:sz w:val="24"/>
          <w:szCs w:val="24"/>
        </w:rPr>
        <w:t>sure requirements go too far because i</w:t>
      </w:r>
      <w:r w:rsidR="00347A33" w:rsidRPr="00814901">
        <w:rPr>
          <w:rFonts w:ascii="Times New Roman" w:hAnsi="Times New Roman"/>
          <w:sz w:val="24"/>
          <w:szCs w:val="24"/>
        </w:rPr>
        <w:t>nformation such as patient information, a reporter, or drug information would not be needed by FDA and can be addressed through recordkeeping and inspections.</w:t>
      </w:r>
    </w:p>
    <w:p w:rsidR="00D534CE" w:rsidRPr="00814901" w:rsidRDefault="00D534CE" w:rsidP="00D534CE">
      <w:pPr>
        <w:spacing w:line="480" w:lineRule="auto"/>
        <w:rPr>
          <w:rFonts w:ascii="Times New Roman" w:hAnsi="Times New Roman"/>
          <w:sz w:val="24"/>
          <w:szCs w:val="24"/>
        </w:rPr>
      </w:pPr>
      <w:r w:rsidRPr="00814901">
        <w:rPr>
          <w:rFonts w:ascii="Times New Roman" w:hAnsi="Times New Roman"/>
          <w:sz w:val="24"/>
          <w:szCs w:val="24"/>
        </w:rPr>
        <w:tab/>
      </w:r>
      <w:r w:rsidR="000C2BFB" w:rsidRPr="00814901">
        <w:rPr>
          <w:rFonts w:ascii="Times New Roman" w:hAnsi="Times New Roman"/>
          <w:sz w:val="24"/>
          <w:szCs w:val="24"/>
          <w:u w:val="single"/>
        </w:rPr>
        <w:t xml:space="preserve">FDA Response to Issue </w:t>
      </w:r>
      <w:r w:rsidR="00DA064D" w:rsidRPr="00814901">
        <w:rPr>
          <w:rFonts w:ascii="Times New Roman" w:hAnsi="Times New Roman"/>
          <w:sz w:val="24"/>
          <w:szCs w:val="24"/>
          <w:u w:val="single"/>
        </w:rPr>
        <w:t>Nineteen</w:t>
      </w:r>
      <w:r w:rsidR="000C2BFB" w:rsidRPr="00814901">
        <w:rPr>
          <w:rFonts w:ascii="Times New Roman" w:hAnsi="Times New Roman"/>
          <w:sz w:val="24"/>
          <w:szCs w:val="24"/>
        </w:rPr>
        <w:t>:</w:t>
      </w:r>
      <w:r w:rsidR="00347A33" w:rsidRPr="00814901">
        <w:rPr>
          <w:rFonts w:ascii="Times New Roman" w:hAnsi="Times New Roman"/>
          <w:sz w:val="24"/>
          <w:szCs w:val="24"/>
        </w:rPr>
        <w:t xml:space="preserve">  </w:t>
      </w:r>
      <w:r w:rsidR="003C079F" w:rsidRPr="00814901">
        <w:rPr>
          <w:rFonts w:ascii="Times New Roman" w:hAnsi="Times New Roman"/>
          <w:sz w:val="24"/>
          <w:szCs w:val="24"/>
        </w:rPr>
        <w:t>When FDA receives a report of an adverse event</w:t>
      </w:r>
      <w:r w:rsidR="00102778" w:rsidRPr="00814901">
        <w:rPr>
          <w:rFonts w:ascii="Times New Roman" w:hAnsi="Times New Roman"/>
          <w:sz w:val="24"/>
          <w:szCs w:val="24"/>
        </w:rPr>
        <w:t xml:space="preserve"> associated with a compounded drug</w:t>
      </w:r>
      <w:r w:rsidR="003C079F" w:rsidRPr="00814901">
        <w:rPr>
          <w:rFonts w:ascii="Times New Roman" w:hAnsi="Times New Roman"/>
          <w:sz w:val="24"/>
          <w:szCs w:val="24"/>
        </w:rPr>
        <w:t xml:space="preserve">, </w:t>
      </w:r>
      <w:r w:rsidR="00102778" w:rsidRPr="00814901">
        <w:rPr>
          <w:rFonts w:ascii="Times New Roman" w:hAnsi="Times New Roman"/>
          <w:sz w:val="24"/>
          <w:szCs w:val="24"/>
        </w:rPr>
        <w:t>FDA</w:t>
      </w:r>
      <w:r w:rsidR="003C079F" w:rsidRPr="00814901">
        <w:rPr>
          <w:rFonts w:ascii="Times New Roman" w:hAnsi="Times New Roman"/>
          <w:sz w:val="24"/>
          <w:szCs w:val="24"/>
        </w:rPr>
        <w:t xml:space="preserve"> evaluate</w:t>
      </w:r>
      <w:r w:rsidR="00102778" w:rsidRPr="00814901">
        <w:rPr>
          <w:rFonts w:ascii="Times New Roman" w:hAnsi="Times New Roman"/>
          <w:sz w:val="24"/>
          <w:szCs w:val="24"/>
        </w:rPr>
        <w:t>s</w:t>
      </w:r>
      <w:r w:rsidR="003C079F" w:rsidRPr="00814901">
        <w:rPr>
          <w:rFonts w:ascii="Times New Roman" w:hAnsi="Times New Roman"/>
          <w:sz w:val="24"/>
          <w:szCs w:val="24"/>
        </w:rPr>
        <w:t xml:space="preserve"> the report </w:t>
      </w:r>
      <w:r w:rsidR="00102778" w:rsidRPr="00814901">
        <w:rPr>
          <w:rFonts w:ascii="Times New Roman" w:hAnsi="Times New Roman"/>
          <w:sz w:val="24"/>
          <w:szCs w:val="24"/>
        </w:rPr>
        <w:t xml:space="preserve">for appropriate action.  </w:t>
      </w:r>
      <w:r w:rsidR="00715F40" w:rsidRPr="00814901">
        <w:rPr>
          <w:rFonts w:ascii="Times New Roman" w:hAnsi="Times New Roman"/>
          <w:sz w:val="24"/>
          <w:szCs w:val="24"/>
        </w:rPr>
        <w:t>In appropriate cases</w:t>
      </w:r>
      <w:r w:rsidR="00102778" w:rsidRPr="00814901">
        <w:rPr>
          <w:rFonts w:ascii="Times New Roman" w:hAnsi="Times New Roman"/>
          <w:sz w:val="24"/>
          <w:szCs w:val="24"/>
        </w:rPr>
        <w:t xml:space="preserve">, FDA </w:t>
      </w:r>
      <w:r w:rsidR="00715F40" w:rsidRPr="00814901">
        <w:rPr>
          <w:rFonts w:ascii="Times New Roman" w:hAnsi="Times New Roman"/>
          <w:sz w:val="24"/>
          <w:szCs w:val="24"/>
        </w:rPr>
        <w:t xml:space="preserve">will </w:t>
      </w:r>
      <w:r w:rsidR="00102778" w:rsidRPr="00814901">
        <w:rPr>
          <w:rFonts w:ascii="Times New Roman" w:hAnsi="Times New Roman"/>
          <w:sz w:val="24"/>
          <w:szCs w:val="24"/>
        </w:rPr>
        <w:t xml:space="preserve">contact the outsourcing facility or reporter for additional information, and if the report suggests a quality issue, FDA may initiate an inspection of the outsourcing facility and/or the reporter’s facility, as appropriate.  FDA may also contact </w:t>
      </w:r>
      <w:r w:rsidR="00715F40" w:rsidRPr="00814901">
        <w:rPr>
          <w:rFonts w:ascii="Times New Roman" w:hAnsi="Times New Roman"/>
          <w:sz w:val="24"/>
          <w:szCs w:val="24"/>
        </w:rPr>
        <w:t xml:space="preserve">such an </w:t>
      </w:r>
      <w:r w:rsidR="00102778" w:rsidRPr="00814901">
        <w:rPr>
          <w:rFonts w:ascii="Times New Roman" w:hAnsi="Times New Roman"/>
          <w:sz w:val="24"/>
          <w:szCs w:val="24"/>
        </w:rPr>
        <w:lastRenderedPageBreak/>
        <w:t>outsourcing facility about initiating a recall or ceasing sterile operations if</w:t>
      </w:r>
      <w:r w:rsidR="00715F40" w:rsidRPr="00814901">
        <w:rPr>
          <w:rFonts w:ascii="Times New Roman" w:hAnsi="Times New Roman"/>
          <w:sz w:val="24"/>
          <w:szCs w:val="24"/>
        </w:rPr>
        <w:t>, for example, there is evidence that the firm may have released</w:t>
      </w:r>
      <w:r w:rsidR="00102778" w:rsidRPr="00814901">
        <w:rPr>
          <w:rFonts w:ascii="Times New Roman" w:hAnsi="Times New Roman"/>
          <w:sz w:val="24"/>
          <w:szCs w:val="24"/>
        </w:rPr>
        <w:t xml:space="preserve"> adulterated or misbranded drug products (e.g., contaminated drug products) that could cause patient harm</w:t>
      </w:r>
      <w:r w:rsidR="00715F40" w:rsidRPr="00814901">
        <w:rPr>
          <w:rFonts w:ascii="Times New Roman" w:hAnsi="Times New Roman"/>
          <w:sz w:val="24"/>
          <w:szCs w:val="24"/>
        </w:rPr>
        <w:t>, or pursue regulatory action</w:t>
      </w:r>
      <w:r w:rsidR="00102778" w:rsidRPr="00814901">
        <w:rPr>
          <w:rFonts w:ascii="Times New Roman" w:hAnsi="Times New Roman"/>
          <w:sz w:val="24"/>
          <w:szCs w:val="24"/>
        </w:rPr>
        <w:t xml:space="preserve">.  In other cases, FDA may </w:t>
      </w:r>
      <w:r w:rsidR="00715F40" w:rsidRPr="00814901">
        <w:rPr>
          <w:rFonts w:ascii="Times New Roman" w:hAnsi="Times New Roman"/>
          <w:sz w:val="24"/>
          <w:szCs w:val="24"/>
        </w:rPr>
        <w:t xml:space="preserve">be able to </w:t>
      </w:r>
      <w:r w:rsidR="00102778" w:rsidRPr="00814901">
        <w:rPr>
          <w:rFonts w:ascii="Times New Roman" w:hAnsi="Times New Roman"/>
          <w:sz w:val="24"/>
          <w:szCs w:val="24"/>
        </w:rPr>
        <w:t>determine that the adverse event resulted from the patient’s underlying condition</w:t>
      </w:r>
      <w:r w:rsidR="00715F40" w:rsidRPr="00814901">
        <w:rPr>
          <w:rFonts w:ascii="Times New Roman" w:hAnsi="Times New Roman"/>
          <w:sz w:val="24"/>
          <w:szCs w:val="24"/>
        </w:rPr>
        <w:t>, improper administration,</w:t>
      </w:r>
      <w:r w:rsidR="00102778" w:rsidRPr="00814901">
        <w:rPr>
          <w:rFonts w:ascii="Times New Roman" w:hAnsi="Times New Roman"/>
          <w:sz w:val="24"/>
          <w:szCs w:val="24"/>
        </w:rPr>
        <w:t xml:space="preserve"> or concomitant product and not from a drug product compounded by the outsourcing facility.  </w:t>
      </w:r>
      <w:r w:rsidR="00715F40" w:rsidRPr="00814901">
        <w:rPr>
          <w:rFonts w:ascii="Times New Roman" w:hAnsi="Times New Roman"/>
          <w:sz w:val="24"/>
          <w:szCs w:val="24"/>
        </w:rPr>
        <w:t>I</w:t>
      </w:r>
      <w:r w:rsidR="00347A33" w:rsidRPr="00814901">
        <w:rPr>
          <w:rFonts w:ascii="Times New Roman" w:hAnsi="Times New Roman"/>
          <w:sz w:val="24"/>
          <w:szCs w:val="24"/>
        </w:rPr>
        <w:t>n the guidance</w:t>
      </w:r>
      <w:r w:rsidR="00715F40" w:rsidRPr="00814901">
        <w:rPr>
          <w:rFonts w:ascii="Times New Roman" w:hAnsi="Times New Roman"/>
          <w:sz w:val="24"/>
          <w:szCs w:val="24"/>
        </w:rPr>
        <w:t>, FDA has provided additional information about</w:t>
      </w:r>
      <w:r w:rsidR="00347A33" w:rsidRPr="00814901">
        <w:rPr>
          <w:rFonts w:ascii="Times New Roman" w:hAnsi="Times New Roman"/>
          <w:sz w:val="24"/>
          <w:szCs w:val="24"/>
        </w:rPr>
        <w:t xml:space="preserve"> the actions that it takes upon receiving an adverse event report and why adverse event reporting is important.  Specifically, FDA</w:t>
      </w:r>
      <w:r w:rsidRPr="00814901">
        <w:rPr>
          <w:rFonts w:ascii="Times New Roman" w:hAnsi="Times New Roman"/>
          <w:sz w:val="24"/>
          <w:szCs w:val="24"/>
        </w:rPr>
        <w:t xml:space="preserve"> added the following language: </w:t>
      </w:r>
    </w:p>
    <w:p w:rsidR="00D534CE" w:rsidRPr="00814901" w:rsidRDefault="00D534CE" w:rsidP="00D534CE">
      <w:pPr>
        <w:spacing w:line="480" w:lineRule="auto"/>
        <w:ind w:left="720"/>
        <w:rPr>
          <w:rFonts w:ascii="Times New Roman" w:hAnsi="Times New Roman"/>
          <w:sz w:val="24"/>
          <w:szCs w:val="24"/>
        </w:rPr>
      </w:pPr>
      <w:r w:rsidRPr="00814901">
        <w:rPr>
          <w:rFonts w:ascii="Times New Roman" w:hAnsi="Times New Roman"/>
          <w:sz w:val="24"/>
          <w:szCs w:val="24"/>
        </w:rPr>
        <w:t xml:space="preserve">“Adverse event reporting for drug products compounded by outsourcing facilities is a critical mechanism by which FDA identifies signals of potential quality problems that may be associated with a particular drug or drug component, and which may have been caused by substandard conditions or processes at a facility where the drug or its components were made or handled.  FDA needs to distinguish such cases from cases of medication error, hospital or clinic procedural problems, or quality issues associated with ingredients such as active pharmaceutical ingredients (APIs) or excipients.  For example, several reports of adverse events in patients who received compounded drug products from the same outsourcing facility may be a signal of a quality issue resulting from a deficiency in the outsourcing facility’s manufacturing processes.  However, if several different outsourcing facilities report adverse events in patients who received drug products that contained the same API, this may suggest a quality problem associated with the API used in the compounded drug product.  </w:t>
      </w:r>
    </w:p>
    <w:p w:rsidR="00D534CE" w:rsidRPr="00814901" w:rsidRDefault="00D534CE" w:rsidP="00D534CE">
      <w:pPr>
        <w:spacing w:line="480" w:lineRule="auto"/>
        <w:ind w:left="720"/>
        <w:rPr>
          <w:rFonts w:ascii="Times New Roman" w:hAnsi="Times New Roman"/>
          <w:sz w:val="24"/>
          <w:szCs w:val="24"/>
        </w:rPr>
      </w:pPr>
      <w:r w:rsidRPr="00814901">
        <w:rPr>
          <w:rFonts w:ascii="Times New Roman" w:hAnsi="Times New Roman"/>
          <w:sz w:val="24"/>
          <w:szCs w:val="24"/>
        </w:rPr>
        <w:lastRenderedPageBreak/>
        <w:t xml:space="preserve">An adverse event may be reported for reasons other than a quality problem.  For example, it may be a side effect of taking the drug product, or </w:t>
      </w:r>
      <w:r w:rsidR="000D6B06" w:rsidRPr="00814901">
        <w:rPr>
          <w:rFonts w:ascii="Times New Roman" w:hAnsi="Times New Roman"/>
          <w:sz w:val="24"/>
          <w:szCs w:val="24"/>
        </w:rPr>
        <w:t xml:space="preserve">may </w:t>
      </w:r>
      <w:r w:rsidRPr="00814901">
        <w:rPr>
          <w:rFonts w:ascii="Times New Roman" w:hAnsi="Times New Roman"/>
          <w:sz w:val="24"/>
          <w:szCs w:val="24"/>
        </w:rPr>
        <w:t>have resulted from lack of efficacy of the drug product, the patient’s underlying medical condition, or use of a concomitant medication.  To address the reported adverse event appropriately, FDA reviews information provided by the outsourcing facilities, such as the description of the circumstances associated with the adverse event such as the source of the drug and its ingredients, concomitant medications that the patient was taking, and relevant information reflected in hospital discharge summaries, autopsy reports/death certificates, relevant laboratory data, and other critical clinical data used to determine the cause of the adverse event.”</w:t>
      </w:r>
    </w:p>
    <w:p w:rsidR="000C2BFB" w:rsidRPr="00814901" w:rsidRDefault="000C2BFB" w:rsidP="00D534CE">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Issue Twenty</w:t>
      </w:r>
      <w:r w:rsidRPr="00814901">
        <w:rPr>
          <w:rFonts w:ascii="Times New Roman" w:hAnsi="Times New Roman"/>
          <w:sz w:val="24"/>
          <w:szCs w:val="24"/>
        </w:rPr>
        <w:t xml:space="preserve">: </w:t>
      </w:r>
      <w:r w:rsidR="00347A33" w:rsidRPr="00814901">
        <w:rPr>
          <w:rFonts w:ascii="Times New Roman" w:hAnsi="Times New Roman"/>
          <w:sz w:val="24"/>
          <w:szCs w:val="24"/>
        </w:rPr>
        <w:t>One commenter noted that the draft guidance requires that outsourcing facilities maintain for 10 years the records of all adverse events required to be reported, including certain specific information. The commenter asked when this 10 year period begin</w:t>
      </w:r>
      <w:r w:rsidR="004F35AF" w:rsidRPr="00814901">
        <w:rPr>
          <w:rFonts w:ascii="Times New Roman" w:hAnsi="Times New Roman"/>
          <w:sz w:val="24"/>
          <w:szCs w:val="24"/>
        </w:rPr>
        <w:t>s</w:t>
      </w:r>
      <w:r w:rsidR="00347A33" w:rsidRPr="00814901">
        <w:rPr>
          <w:rFonts w:ascii="Times New Roman" w:hAnsi="Times New Roman"/>
          <w:sz w:val="24"/>
          <w:szCs w:val="24"/>
        </w:rPr>
        <w:t>: from the date of the occurrence of the adverse event, the date the adverse event is reported to FDA, or another date, whether there are any requirements concerning how or where these records must be maintained, and whether FDA expects to provide additional guidance on the maintenance of such records</w:t>
      </w:r>
    </w:p>
    <w:p w:rsidR="000C2BFB" w:rsidRPr="00814901" w:rsidRDefault="000C2BFB" w:rsidP="000C2BFB">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FDA Response to Issue Twenty</w:t>
      </w:r>
      <w:r w:rsidRPr="00814901">
        <w:rPr>
          <w:rFonts w:ascii="Times New Roman" w:hAnsi="Times New Roman"/>
          <w:sz w:val="24"/>
          <w:szCs w:val="24"/>
        </w:rPr>
        <w:t xml:space="preserve">: </w:t>
      </w:r>
      <w:r w:rsidR="00D534CE" w:rsidRPr="00814901">
        <w:rPr>
          <w:rFonts w:ascii="Times New Roman" w:hAnsi="Times New Roman"/>
          <w:sz w:val="24"/>
          <w:szCs w:val="24"/>
        </w:rPr>
        <w:t>FDA clarified the guidance by adding the following language: “The ten-year retention period for a particular record begins from the time that an outsourcing facility receives information (e.g., a document with information about one of the four data elements)</w:t>
      </w:r>
      <w:r w:rsidR="00DA064D" w:rsidRPr="00814901">
        <w:rPr>
          <w:rFonts w:ascii="Times New Roman" w:hAnsi="Times New Roman"/>
          <w:sz w:val="24"/>
          <w:szCs w:val="24"/>
        </w:rPr>
        <w:t>.</w:t>
      </w:r>
      <w:r w:rsidR="00D534CE" w:rsidRPr="00814901">
        <w:rPr>
          <w:rFonts w:ascii="Times New Roman" w:hAnsi="Times New Roman"/>
          <w:sz w:val="24"/>
          <w:szCs w:val="24"/>
        </w:rPr>
        <w:t xml:space="preserve">”  </w:t>
      </w:r>
      <w:r w:rsidR="00DA064D" w:rsidRPr="00814901">
        <w:rPr>
          <w:rFonts w:ascii="Times New Roman" w:hAnsi="Times New Roman"/>
          <w:sz w:val="24"/>
          <w:szCs w:val="24"/>
        </w:rPr>
        <w:t>FDA does not feel that additional recordkeeping guidance is necessary</w:t>
      </w:r>
      <w:r w:rsidR="004A0B8B" w:rsidRPr="00814901">
        <w:rPr>
          <w:rFonts w:ascii="Times New Roman" w:hAnsi="Times New Roman"/>
          <w:sz w:val="24"/>
          <w:szCs w:val="24"/>
        </w:rPr>
        <w:t>.</w:t>
      </w:r>
    </w:p>
    <w:p w:rsidR="000C2BFB" w:rsidRPr="00814901" w:rsidRDefault="000C2BFB" w:rsidP="000C2BFB">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Issue Twenty-</w:t>
      </w:r>
      <w:r w:rsidR="0000346E" w:rsidRPr="00814901">
        <w:rPr>
          <w:rFonts w:ascii="Times New Roman" w:hAnsi="Times New Roman"/>
          <w:sz w:val="24"/>
          <w:szCs w:val="24"/>
          <w:u w:val="single"/>
        </w:rPr>
        <w:t>One</w:t>
      </w:r>
      <w:r w:rsidRPr="00814901">
        <w:rPr>
          <w:rFonts w:ascii="Times New Roman" w:hAnsi="Times New Roman"/>
          <w:sz w:val="24"/>
          <w:szCs w:val="24"/>
        </w:rPr>
        <w:t xml:space="preserve">: </w:t>
      </w:r>
      <w:r w:rsidR="00347A33" w:rsidRPr="00814901">
        <w:rPr>
          <w:rFonts w:ascii="Times New Roman" w:hAnsi="Times New Roman"/>
          <w:sz w:val="24"/>
          <w:szCs w:val="24"/>
        </w:rPr>
        <w:t xml:space="preserve">One commenter requested clarification regarding the specific information that an </w:t>
      </w:r>
      <w:r w:rsidR="00DF1918" w:rsidRPr="00814901">
        <w:rPr>
          <w:rFonts w:ascii="Times New Roman" w:hAnsi="Times New Roman"/>
          <w:sz w:val="24"/>
          <w:szCs w:val="24"/>
        </w:rPr>
        <w:t xml:space="preserve">outsourcing facility </w:t>
      </w:r>
      <w:r w:rsidR="00347A33" w:rsidRPr="00814901">
        <w:rPr>
          <w:rFonts w:ascii="Times New Roman" w:hAnsi="Times New Roman"/>
          <w:sz w:val="24"/>
          <w:szCs w:val="24"/>
        </w:rPr>
        <w:t xml:space="preserve">should keep in its records of an adverse event report.  </w:t>
      </w:r>
      <w:r w:rsidR="005142F4" w:rsidRPr="00814901">
        <w:rPr>
          <w:rFonts w:ascii="Times New Roman" w:hAnsi="Times New Roman"/>
          <w:sz w:val="24"/>
          <w:szCs w:val="24"/>
        </w:rPr>
        <w:lastRenderedPageBreak/>
        <w:t>The commenter stated that if</w:t>
      </w:r>
      <w:r w:rsidR="00347A33" w:rsidRPr="00814901">
        <w:rPr>
          <w:rFonts w:ascii="Times New Roman" w:hAnsi="Times New Roman"/>
          <w:sz w:val="24"/>
          <w:szCs w:val="24"/>
        </w:rPr>
        <w:t xml:space="preserve"> specific data are not available at the time of the report, FDA should specify that it is acceptable for those data to be missing from the record of the </w:t>
      </w:r>
      <w:r w:rsidR="00DF1918" w:rsidRPr="00814901">
        <w:rPr>
          <w:rFonts w:ascii="Times New Roman" w:hAnsi="Times New Roman"/>
          <w:sz w:val="24"/>
          <w:szCs w:val="24"/>
        </w:rPr>
        <w:t>adverse event</w:t>
      </w:r>
      <w:r w:rsidR="00347A33" w:rsidRPr="00814901">
        <w:rPr>
          <w:rFonts w:ascii="Times New Roman" w:hAnsi="Times New Roman"/>
          <w:sz w:val="24"/>
          <w:szCs w:val="24"/>
        </w:rPr>
        <w:t xml:space="preserve">.  In addition, FDA should clarify how </w:t>
      </w:r>
      <w:r w:rsidR="00DF1918" w:rsidRPr="00814901">
        <w:rPr>
          <w:rFonts w:ascii="Times New Roman" w:hAnsi="Times New Roman"/>
          <w:sz w:val="24"/>
          <w:szCs w:val="24"/>
        </w:rPr>
        <w:t xml:space="preserve">outsourcing facilities </w:t>
      </w:r>
      <w:r w:rsidR="00347A33" w:rsidRPr="00814901">
        <w:rPr>
          <w:rFonts w:ascii="Times New Roman" w:hAnsi="Times New Roman"/>
          <w:sz w:val="24"/>
          <w:szCs w:val="24"/>
        </w:rPr>
        <w:t>should document their efforts to obtain the four data elements.</w:t>
      </w:r>
    </w:p>
    <w:p w:rsidR="000C2BFB" w:rsidRPr="00814901" w:rsidRDefault="000C2BFB" w:rsidP="000C2BFB">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FDA Response to Issue Twenty-</w:t>
      </w:r>
      <w:r w:rsidR="0000346E" w:rsidRPr="00814901">
        <w:rPr>
          <w:rFonts w:ascii="Times New Roman" w:hAnsi="Times New Roman"/>
          <w:sz w:val="24"/>
          <w:szCs w:val="24"/>
          <w:u w:val="single"/>
        </w:rPr>
        <w:t>One</w:t>
      </w:r>
      <w:r w:rsidRPr="00814901">
        <w:rPr>
          <w:rFonts w:ascii="Times New Roman" w:hAnsi="Times New Roman"/>
          <w:sz w:val="24"/>
          <w:szCs w:val="24"/>
        </w:rPr>
        <w:t>:</w:t>
      </w:r>
      <w:r w:rsidR="00347A33" w:rsidRPr="00814901">
        <w:rPr>
          <w:rFonts w:ascii="Times New Roman" w:hAnsi="Times New Roman"/>
          <w:sz w:val="24"/>
          <w:szCs w:val="24"/>
        </w:rPr>
        <w:t xml:space="preserve">  FDA has clarified this in the guidance.  Specifically, FDA added the</w:t>
      </w:r>
      <w:r w:rsidR="00D534CE" w:rsidRPr="00814901">
        <w:rPr>
          <w:rFonts w:ascii="Times New Roman" w:hAnsi="Times New Roman"/>
          <w:sz w:val="24"/>
          <w:szCs w:val="24"/>
        </w:rPr>
        <w:t xml:space="preserve"> following italicized</w:t>
      </w:r>
      <w:r w:rsidR="00347A33" w:rsidRPr="00814901">
        <w:rPr>
          <w:rFonts w:ascii="Times New Roman" w:hAnsi="Times New Roman"/>
          <w:sz w:val="24"/>
          <w:szCs w:val="24"/>
        </w:rPr>
        <w:t xml:space="preserve"> language: “If the outsourcing facility was not able to include all four of the data elements in its initial report, it should exercise due diligence to obtain information about any of the remaining elements </w:t>
      </w:r>
      <w:r w:rsidR="00347A33" w:rsidRPr="00814901">
        <w:rPr>
          <w:rFonts w:ascii="Times New Roman" w:hAnsi="Times New Roman"/>
          <w:i/>
          <w:sz w:val="24"/>
          <w:szCs w:val="24"/>
        </w:rPr>
        <w:t xml:space="preserve">and should keep records </w:t>
      </w:r>
      <w:r w:rsidR="004A0B8B" w:rsidRPr="00814901">
        <w:rPr>
          <w:rFonts w:ascii="Times New Roman" w:hAnsi="Times New Roman"/>
          <w:i/>
          <w:sz w:val="24"/>
          <w:szCs w:val="24"/>
        </w:rPr>
        <w:t xml:space="preserve">of </w:t>
      </w:r>
      <w:r w:rsidR="00347A33" w:rsidRPr="00814901">
        <w:rPr>
          <w:rFonts w:ascii="Times New Roman" w:hAnsi="Times New Roman"/>
          <w:i/>
          <w:sz w:val="24"/>
          <w:szCs w:val="24"/>
        </w:rPr>
        <w:t xml:space="preserve">its efforts to obtain this </w:t>
      </w:r>
      <w:r w:rsidR="004A0B8B" w:rsidRPr="00814901">
        <w:rPr>
          <w:rFonts w:ascii="Times New Roman" w:hAnsi="Times New Roman"/>
          <w:i/>
          <w:sz w:val="24"/>
          <w:szCs w:val="24"/>
        </w:rPr>
        <w:t>and other relevant</w:t>
      </w:r>
      <w:r w:rsidR="00347A33" w:rsidRPr="00814901">
        <w:rPr>
          <w:rFonts w:ascii="Times New Roman" w:hAnsi="Times New Roman"/>
          <w:i/>
          <w:sz w:val="24"/>
          <w:szCs w:val="24"/>
        </w:rPr>
        <w:t xml:space="preserve"> information (e.g., dates of discussions with the reporter to determine how many patients experienced a particular adverse event or dates of discussions with a healthcare facility to obtain contact information for an identifiable person who purports to have knowledge about the patient, adverse event, </w:t>
      </w:r>
      <w:r w:rsidR="004A0B8B" w:rsidRPr="00814901">
        <w:rPr>
          <w:rFonts w:ascii="Times New Roman" w:hAnsi="Times New Roman"/>
          <w:i/>
          <w:sz w:val="24"/>
          <w:szCs w:val="24"/>
        </w:rPr>
        <w:t>or</w:t>
      </w:r>
      <w:r w:rsidR="00347A33" w:rsidRPr="00814901">
        <w:rPr>
          <w:rFonts w:ascii="Times New Roman" w:hAnsi="Times New Roman"/>
          <w:i/>
          <w:sz w:val="24"/>
          <w:szCs w:val="24"/>
        </w:rPr>
        <w:t xml:space="preserve"> drug involved).</w:t>
      </w:r>
      <w:r w:rsidR="00347A33" w:rsidRPr="00814901">
        <w:rPr>
          <w:rFonts w:ascii="Times New Roman" w:hAnsi="Times New Roman"/>
          <w:sz w:val="24"/>
          <w:szCs w:val="24"/>
        </w:rPr>
        <w:t xml:space="preserve">”  </w:t>
      </w:r>
    </w:p>
    <w:p w:rsidR="000C2BFB" w:rsidRPr="00814901" w:rsidRDefault="000C2BFB" w:rsidP="000C2BFB">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Issue Twenty-</w:t>
      </w:r>
      <w:r w:rsidR="0000346E" w:rsidRPr="00814901">
        <w:rPr>
          <w:rFonts w:ascii="Times New Roman" w:hAnsi="Times New Roman"/>
          <w:sz w:val="24"/>
          <w:szCs w:val="24"/>
          <w:u w:val="single"/>
        </w:rPr>
        <w:t>Two</w:t>
      </w:r>
      <w:r w:rsidRPr="00814901">
        <w:rPr>
          <w:rFonts w:ascii="Times New Roman" w:hAnsi="Times New Roman"/>
          <w:sz w:val="24"/>
          <w:szCs w:val="24"/>
        </w:rPr>
        <w:t xml:space="preserve">: </w:t>
      </w:r>
      <w:r w:rsidR="00024438" w:rsidRPr="00814901">
        <w:rPr>
          <w:rFonts w:ascii="Times New Roman" w:hAnsi="Times New Roman"/>
          <w:sz w:val="24"/>
          <w:szCs w:val="24"/>
        </w:rPr>
        <w:t>One commenter asked whether FDA anticipates requiring outsourcing facilities to adopt common standard operating procedures (SOPs) governing the reporting of adverse events. The commenter noted that having standardized SOPs issued by FDA may help ensure consistency in the frequency of reporting, the information reported, and how this information is provided. The commenter asked whether FDA will provide additional guidance or standards clarifying the "written processes for the surveillance, receipt, evaluation, and reporting of adverse events for the drug products it compounds as described in 21 CFR 310.305(a) and 211.198" that it anticipates reviewing during inspections of outsourcing facilities.</w:t>
      </w:r>
    </w:p>
    <w:p w:rsidR="00024438" w:rsidRPr="00814901" w:rsidRDefault="000C2BFB" w:rsidP="00024438">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FDA Response to Issue Twenty-</w:t>
      </w:r>
      <w:r w:rsidR="0000346E" w:rsidRPr="00814901">
        <w:rPr>
          <w:rFonts w:ascii="Times New Roman" w:hAnsi="Times New Roman"/>
          <w:sz w:val="24"/>
          <w:szCs w:val="24"/>
          <w:u w:val="single"/>
        </w:rPr>
        <w:t>Two</w:t>
      </w:r>
      <w:r w:rsidRPr="00814901">
        <w:rPr>
          <w:rFonts w:ascii="Times New Roman" w:hAnsi="Times New Roman"/>
          <w:sz w:val="24"/>
          <w:szCs w:val="24"/>
        </w:rPr>
        <w:t xml:space="preserve">: </w:t>
      </w:r>
      <w:r w:rsidR="00024438" w:rsidRPr="00814901">
        <w:rPr>
          <w:rFonts w:ascii="Times New Roman" w:hAnsi="Times New Roman"/>
          <w:sz w:val="24"/>
          <w:szCs w:val="24"/>
        </w:rPr>
        <w:t xml:space="preserve">Outsourcing facilities are required to develop </w:t>
      </w:r>
      <w:r w:rsidR="00715F40" w:rsidRPr="00814901">
        <w:rPr>
          <w:rFonts w:ascii="Times New Roman" w:hAnsi="Times New Roman"/>
          <w:sz w:val="24"/>
          <w:szCs w:val="24"/>
        </w:rPr>
        <w:t xml:space="preserve">and implement </w:t>
      </w:r>
      <w:r w:rsidR="00024438" w:rsidRPr="00814901">
        <w:rPr>
          <w:rFonts w:ascii="Times New Roman" w:hAnsi="Times New Roman"/>
          <w:sz w:val="24"/>
          <w:szCs w:val="24"/>
        </w:rPr>
        <w:t>written procedures</w:t>
      </w:r>
      <w:r w:rsidR="00715F40" w:rsidRPr="00814901">
        <w:rPr>
          <w:rFonts w:ascii="Times New Roman" w:hAnsi="Times New Roman"/>
          <w:sz w:val="24"/>
          <w:szCs w:val="24"/>
        </w:rPr>
        <w:t xml:space="preserve"> </w:t>
      </w:r>
      <w:r w:rsidR="00024438" w:rsidRPr="00814901">
        <w:rPr>
          <w:rFonts w:ascii="Times New Roman" w:hAnsi="Times New Roman"/>
          <w:sz w:val="24"/>
          <w:szCs w:val="24"/>
        </w:rPr>
        <w:t xml:space="preserve">for the surveillance, receipt, evaluation, and reporting of postmarketing adverse drug experiences </w:t>
      </w:r>
      <w:r w:rsidR="00715F40" w:rsidRPr="00814901">
        <w:rPr>
          <w:rFonts w:ascii="Times New Roman" w:hAnsi="Times New Roman"/>
          <w:sz w:val="24"/>
          <w:szCs w:val="24"/>
        </w:rPr>
        <w:t>as described in</w:t>
      </w:r>
      <w:r w:rsidR="00DF1918" w:rsidRPr="00814901">
        <w:rPr>
          <w:rFonts w:ascii="Times New Roman" w:hAnsi="Times New Roman"/>
          <w:sz w:val="24"/>
          <w:szCs w:val="24"/>
        </w:rPr>
        <w:t xml:space="preserve"> </w:t>
      </w:r>
      <w:r w:rsidR="00CA1D8B" w:rsidRPr="00814901">
        <w:rPr>
          <w:rFonts w:ascii="Times New Roman" w:hAnsi="Times New Roman"/>
          <w:sz w:val="24"/>
          <w:szCs w:val="24"/>
        </w:rPr>
        <w:t>21 CFR 310.305(a)</w:t>
      </w:r>
      <w:r w:rsidR="00715F40" w:rsidRPr="00814901">
        <w:rPr>
          <w:rFonts w:ascii="Times New Roman" w:hAnsi="Times New Roman"/>
          <w:sz w:val="24"/>
          <w:szCs w:val="24"/>
        </w:rPr>
        <w:t xml:space="preserve"> and 211.198</w:t>
      </w:r>
      <w:r w:rsidR="00CA1D8B" w:rsidRPr="00814901">
        <w:rPr>
          <w:rFonts w:ascii="Times New Roman" w:hAnsi="Times New Roman"/>
          <w:sz w:val="24"/>
          <w:szCs w:val="24"/>
        </w:rPr>
        <w:t>.</w:t>
      </w:r>
      <w:r w:rsidR="00024438" w:rsidRPr="00814901">
        <w:rPr>
          <w:rFonts w:ascii="Times New Roman" w:hAnsi="Times New Roman"/>
          <w:sz w:val="24"/>
          <w:szCs w:val="24"/>
        </w:rPr>
        <w:t xml:space="preserve">  FDA </w:t>
      </w:r>
      <w:r w:rsidR="00024438" w:rsidRPr="00814901">
        <w:rPr>
          <w:rFonts w:ascii="Times New Roman" w:hAnsi="Times New Roman"/>
          <w:sz w:val="24"/>
          <w:szCs w:val="24"/>
        </w:rPr>
        <w:lastRenderedPageBreak/>
        <w:t xml:space="preserve">will consider whether to provide additional guidance on SOPs, but </w:t>
      </w:r>
      <w:r w:rsidR="004A0B8B" w:rsidRPr="00814901">
        <w:rPr>
          <w:rFonts w:ascii="Times New Roman" w:hAnsi="Times New Roman"/>
          <w:sz w:val="24"/>
          <w:szCs w:val="24"/>
        </w:rPr>
        <w:t>outsourcing facilities</w:t>
      </w:r>
      <w:r w:rsidR="00024438" w:rsidRPr="00814901">
        <w:rPr>
          <w:rFonts w:ascii="Times New Roman" w:hAnsi="Times New Roman"/>
          <w:sz w:val="24"/>
          <w:szCs w:val="24"/>
        </w:rPr>
        <w:t xml:space="preserve"> are required to develop </w:t>
      </w:r>
      <w:r w:rsidR="009A228A" w:rsidRPr="00814901">
        <w:rPr>
          <w:rFonts w:ascii="Times New Roman" w:hAnsi="Times New Roman"/>
          <w:sz w:val="24"/>
          <w:szCs w:val="24"/>
        </w:rPr>
        <w:t xml:space="preserve">written procedures that enable them to fulfill their review, reporting and recordkeeping obligations </w:t>
      </w:r>
      <w:r w:rsidR="00024438" w:rsidRPr="00814901">
        <w:rPr>
          <w:rFonts w:ascii="Times New Roman" w:hAnsi="Times New Roman"/>
          <w:sz w:val="24"/>
          <w:szCs w:val="24"/>
        </w:rPr>
        <w:t xml:space="preserve">even if FDA does not provide </w:t>
      </w:r>
      <w:r w:rsidR="00B707AB" w:rsidRPr="00814901">
        <w:rPr>
          <w:rFonts w:ascii="Times New Roman" w:hAnsi="Times New Roman"/>
          <w:sz w:val="24"/>
          <w:szCs w:val="24"/>
        </w:rPr>
        <w:t xml:space="preserve">such </w:t>
      </w:r>
      <w:r w:rsidR="00024438" w:rsidRPr="00814901">
        <w:rPr>
          <w:rFonts w:ascii="Times New Roman" w:hAnsi="Times New Roman"/>
          <w:sz w:val="24"/>
          <w:szCs w:val="24"/>
        </w:rPr>
        <w:t xml:space="preserve">guidance.  </w:t>
      </w:r>
    </w:p>
    <w:p w:rsidR="000C2BFB" w:rsidRPr="00814901" w:rsidRDefault="000C2BFB" w:rsidP="000C2BFB">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Issue Twenty-</w:t>
      </w:r>
      <w:r w:rsidR="0000346E" w:rsidRPr="00814901">
        <w:rPr>
          <w:rFonts w:ascii="Times New Roman" w:hAnsi="Times New Roman"/>
          <w:sz w:val="24"/>
          <w:szCs w:val="24"/>
          <w:u w:val="single"/>
        </w:rPr>
        <w:t>Three</w:t>
      </w:r>
      <w:r w:rsidRPr="00814901">
        <w:rPr>
          <w:rFonts w:ascii="Times New Roman" w:hAnsi="Times New Roman"/>
          <w:sz w:val="24"/>
          <w:szCs w:val="24"/>
        </w:rPr>
        <w:t xml:space="preserve">: </w:t>
      </w:r>
      <w:r w:rsidR="00024438" w:rsidRPr="00814901">
        <w:rPr>
          <w:rFonts w:ascii="Times New Roman" w:hAnsi="Times New Roman"/>
          <w:sz w:val="24"/>
          <w:szCs w:val="24"/>
        </w:rPr>
        <w:t>One commenter suggests using the MedWatch form 3500 voluntary reporting instead of the mandatory 3500A reporting form.</w:t>
      </w:r>
    </w:p>
    <w:p w:rsidR="000C2BFB" w:rsidRPr="00814901" w:rsidRDefault="000C2BFB" w:rsidP="000C2BFB">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FDA Response to Issue Twenty-</w:t>
      </w:r>
      <w:r w:rsidR="0000346E" w:rsidRPr="00814901">
        <w:rPr>
          <w:rFonts w:ascii="Times New Roman" w:hAnsi="Times New Roman"/>
          <w:sz w:val="24"/>
          <w:szCs w:val="24"/>
          <w:u w:val="single"/>
        </w:rPr>
        <w:t>Three</w:t>
      </w:r>
      <w:r w:rsidRPr="00814901">
        <w:rPr>
          <w:rFonts w:ascii="Times New Roman" w:hAnsi="Times New Roman"/>
          <w:sz w:val="24"/>
          <w:szCs w:val="24"/>
        </w:rPr>
        <w:t>:</w:t>
      </w:r>
      <w:r w:rsidR="00024438" w:rsidRPr="00814901">
        <w:rPr>
          <w:rFonts w:ascii="Times New Roman" w:hAnsi="Times New Roman"/>
          <w:sz w:val="24"/>
          <w:szCs w:val="24"/>
        </w:rPr>
        <w:t xml:space="preserve"> FDA disagrees with this comment.  Section 503B requires that </w:t>
      </w:r>
      <w:r w:rsidR="00DF1918" w:rsidRPr="00814901">
        <w:rPr>
          <w:rFonts w:ascii="Times New Roman" w:hAnsi="Times New Roman"/>
          <w:sz w:val="24"/>
          <w:szCs w:val="24"/>
        </w:rPr>
        <w:t xml:space="preserve">outsourcing facilities </w:t>
      </w:r>
      <w:r w:rsidR="00024438" w:rsidRPr="00814901">
        <w:rPr>
          <w:rFonts w:ascii="Times New Roman" w:hAnsi="Times New Roman"/>
          <w:sz w:val="24"/>
          <w:szCs w:val="24"/>
        </w:rPr>
        <w:t xml:space="preserve">report adverse events.  Therefore, voluntary </w:t>
      </w:r>
      <w:r w:rsidR="00271A8C" w:rsidRPr="00814901">
        <w:rPr>
          <w:rFonts w:ascii="Times New Roman" w:hAnsi="Times New Roman"/>
          <w:sz w:val="24"/>
          <w:szCs w:val="24"/>
        </w:rPr>
        <w:t>reporting mechanisms such as the form 3500</w:t>
      </w:r>
      <w:r w:rsidR="00B707AB" w:rsidRPr="00814901">
        <w:rPr>
          <w:rFonts w:ascii="Times New Roman" w:hAnsi="Times New Roman"/>
          <w:sz w:val="24"/>
          <w:szCs w:val="24"/>
        </w:rPr>
        <w:t xml:space="preserve"> </w:t>
      </w:r>
      <w:r w:rsidR="00024438" w:rsidRPr="00814901">
        <w:rPr>
          <w:rFonts w:ascii="Times New Roman" w:hAnsi="Times New Roman"/>
          <w:sz w:val="24"/>
          <w:szCs w:val="24"/>
        </w:rPr>
        <w:t xml:space="preserve">would not be appropriate for </w:t>
      </w:r>
      <w:r w:rsidR="00DF1918" w:rsidRPr="00814901">
        <w:rPr>
          <w:rFonts w:ascii="Times New Roman" w:hAnsi="Times New Roman"/>
          <w:sz w:val="24"/>
          <w:szCs w:val="24"/>
        </w:rPr>
        <w:t xml:space="preserve">outsourcing facility adverse event </w:t>
      </w:r>
      <w:r w:rsidR="00024438" w:rsidRPr="00814901">
        <w:rPr>
          <w:rFonts w:ascii="Times New Roman" w:hAnsi="Times New Roman"/>
          <w:sz w:val="24"/>
          <w:szCs w:val="24"/>
        </w:rPr>
        <w:t xml:space="preserve">reporting.  </w:t>
      </w:r>
    </w:p>
    <w:p w:rsidR="00347A33" w:rsidRPr="00814901" w:rsidRDefault="00347A33" w:rsidP="00347A33">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Issue Twenty-</w:t>
      </w:r>
      <w:r w:rsidR="0000346E" w:rsidRPr="00814901">
        <w:rPr>
          <w:rFonts w:ascii="Times New Roman" w:hAnsi="Times New Roman"/>
          <w:sz w:val="24"/>
          <w:szCs w:val="24"/>
          <w:u w:val="single"/>
        </w:rPr>
        <w:t>Four</w:t>
      </w:r>
      <w:r w:rsidRPr="00814901">
        <w:rPr>
          <w:rFonts w:ascii="Times New Roman" w:hAnsi="Times New Roman"/>
          <w:sz w:val="24"/>
          <w:szCs w:val="24"/>
        </w:rPr>
        <w:t xml:space="preserve">: </w:t>
      </w:r>
      <w:r w:rsidR="00024438" w:rsidRPr="00814901">
        <w:rPr>
          <w:rFonts w:ascii="Times New Roman" w:hAnsi="Times New Roman"/>
          <w:sz w:val="24"/>
          <w:szCs w:val="24"/>
        </w:rPr>
        <w:t>One commenter asked for clarification about the type of products about which adverse ev</w:t>
      </w:r>
      <w:r w:rsidR="00F83393" w:rsidRPr="00814901">
        <w:rPr>
          <w:rFonts w:ascii="Times New Roman" w:hAnsi="Times New Roman"/>
          <w:sz w:val="24"/>
          <w:szCs w:val="24"/>
        </w:rPr>
        <w:t>ent reports must be submitted, noting that o</w:t>
      </w:r>
      <w:r w:rsidR="00DF1918" w:rsidRPr="00814901">
        <w:rPr>
          <w:rFonts w:ascii="Times New Roman" w:hAnsi="Times New Roman"/>
          <w:sz w:val="24"/>
          <w:szCs w:val="24"/>
        </w:rPr>
        <w:t xml:space="preserve">utsourcing facilities </w:t>
      </w:r>
      <w:r w:rsidR="00F83393" w:rsidRPr="00814901">
        <w:rPr>
          <w:rFonts w:ascii="Times New Roman" w:hAnsi="Times New Roman"/>
          <w:sz w:val="24"/>
          <w:szCs w:val="24"/>
        </w:rPr>
        <w:t>often do more than compounding</w:t>
      </w:r>
      <w:r w:rsidR="00024438" w:rsidRPr="00814901">
        <w:rPr>
          <w:rFonts w:ascii="Times New Roman" w:hAnsi="Times New Roman"/>
          <w:sz w:val="24"/>
          <w:szCs w:val="24"/>
        </w:rPr>
        <w:t>.  The commenter asked whether the reporting requirements apply to other activities such as repackaging.</w:t>
      </w:r>
    </w:p>
    <w:p w:rsidR="00347A33" w:rsidRPr="00814901" w:rsidRDefault="00347A33" w:rsidP="00024438">
      <w:pPr>
        <w:tabs>
          <w:tab w:val="left" w:pos="-720"/>
          <w:tab w:val="left" w:pos="0"/>
          <w:tab w:val="left" w:pos="378"/>
          <w:tab w:val="left" w:pos="720"/>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rPr>
        <w:tab/>
      </w:r>
      <w:r w:rsidRPr="00814901">
        <w:rPr>
          <w:rFonts w:ascii="Times New Roman" w:hAnsi="Times New Roman"/>
          <w:sz w:val="24"/>
          <w:szCs w:val="24"/>
          <w:u w:val="single"/>
        </w:rPr>
        <w:t>FDA Response to Issue Twenty-</w:t>
      </w:r>
      <w:r w:rsidR="0000346E" w:rsidRPr="00814901">
        <w:rPr>
          <w:rFonts w:ascii="Times New Roman" w:hAnsi="Times New Roman"/>
          <w:sz w:val="24"/>
          <w:szCs w:val="24"/>
          <w:u w:val="single"/>
        </w:rPr>
        <w:t>Four</w:t>
      </w:r>
      <w:r w:rsidRPr="00814901">
        <w:rPr>
          <w:rFonts w:ascii="Times New Roman" w:hAnsi="Times New Roman"/>
          <w:sz w:val="24"/>
          <w:szCs w:val="24"/>
        </w:rPr>
        <w:t xml:space="preserve">: </w:t>
      </w:r>
      <w:r w:rsidR="00024438" w:rsidRPr="00814901">
        <w:rPr>
          <w:rFonts w:ascii="Times New Roman" w:hAnsi="Times New Roman"/>
          <w:sz w:val="24"/>
          <w:szCs w:val="24"/>
        </w:rPr>
        <w:t xml:space="preserve">The guidance states that “for purposes of reporting adverse drug experiences, the term </w:t>
      </w:r>
      <w:r w:rsidR="00024438" w:rsidRPr="00814901">
        <w:rPr>
          <w:rFonts w:ascii="Times New Roman" w:hAnsi="Times New Roman"/>
          <w:i/>
          <w:sz w:val="24"/>
          <w:szCs w:val="24"/>
        </w:rPr>
        <w:t>prescription drug products</w:t>
      </w:r>
      <w:r w:rsidR="00024438" w:rsidRPr="00814901">
        <w:rPr>
          <w:rFonts w:ascii="Times New Roman" w:hAnsi="Times New Roman"/>
          <w:sz w:val="24"/>
          <w:szCs w:val="24"/>
        </w:rPr>
        <w:t xml:space="preserve"> includes any compounded drug product subject to the prescription requirements in section 503(b)(1) of the FD&amp;C Act.” Reporting for other activities such as repackaging will be addressed in separate guidance documents.  For example, </w:t>
      </w:r>
      <w:r w:rsidR="00F83393" w:rsidRPr="00814901">
        <w:rPr>
          <w:rFonts w:ascii="Times New Roman" w:hAnsi="Times New Roman"/>
          <w:sz w:val="24"/>
          <w:szCs w:val="24"/>
        </w:rPr>
        <w:t>when finalized</w:t>
      </w:r>
      <w:r w:rsidR="00024438" w:rsidRPr="00814901">
        <w:rPr>
          <w:rFonts w:ascii="Times New Roman" w:hAnsi="Times New Roman"/>
          <w:sz w:val="24"/>
          <w:szCs w:val="24"/>
        </w:rPr>
        <w:t xml:space="preserve">, FDA’s </w:t>
      </w:r>
      <w:r w:rsidR="00F83393" w:rsidRPr="00814901">
        <w:rPr>
          <w:rFonts w:ascii="Times New Roman" w:hAnsi="Times New Roman"/>
          <w:sz w:val="24"/>
          <w:szCs w:val="24"/>
        </w:rPr>
        <w:t xml:space="preserve">draft </w:t>
      </w:r>
      <w:r w:rsidR="00024438" w:rsidRPr="00814901">
        <w:rPr>
          <w:rFonts w:ascii="Times New Roman" w:hAnsi="Times New Roman"/>
          <w:sz w:val="24"/>
          <w:szCs w:val="24"/>
        </w:rPr>
        <w:t>guidance</w:t>
      </w:r>
      <w:r w:rsidR="00F83393" w:rsidRPr="00814901">
        <w:rPr>
          <w:rFonts w:ascii="Times New Roman" w:hAnsi="Times New Roman"/>
          <w:sz w:val="24"/>
          <w:szCs w:val="24"/>
        </w:rPr>
        <w:t xml:space="preserve">, </w:t>
      </w:r>
      <w:r w:rsidR="00F83393" w:rsidRPr="00814901">
        <w:rPr>
          <w:rFonts w:ascii="Times New Roman" w:hAnsi="Times New Roman"/>
          <w:i/>
          <w:sz w:val="24"/>
          <w:szCs w:val="24"/>
        </w:rPr>
        <w:t>Repackaging of Certain Human Drug Products by Pharmacies and Outsourcing Facilities</w:t>
      </w:r>
      <w:r w:rsidR="00F83393" w:rsidRPr="00814901">
        <w:rPr>
          <w:rFonts w:ascii="Times New Roman" w:hAnsi="Times New Roman"/>
          <w:sz w:val="24"/>
          <w:szCs w:val="24"/>
        </w:rPr>
        <w:t xml:space="preserve">, will describe </w:t>
      </w:r>
      <w:r w:rsidR="00024438" w:rsidRPr="00814901">
        <w:rPr>
          <w:rFonts w:ascii="Times New Roman" w:hAnsi="Times New Roman"/>
          <w:sz w:val="24"/>
          <w:szCs w:val="24"/>
        </w:rPr>
        <w:t xml:space="preserve">adverse event reporting </w:t>
      </w:r>
      <w:r w:rsidR="00F83393" w:rsidRPr="00814901">
        <w:rPr>
          <w:rFonts w:ascii="Times New Roman" w:hAnsi="Times New Roman"/>
          <w:sz w:val="24"/>
          <w:szCs w:val="24"/>
        </w:rPr>
        <w:t xml:space="preserve">for </w:t>
      </w:r>
      <w:r w:rsidR="00024438" w:rsidRPr="00814901">
        <w:rPr>
          <w:rFonts w:ascii="Times New Roman" w:hAnsi="Times New Roman"/>
          <w:sz w:val="24"/>
          <w:szCs w:val="24"/>
        </w:rPr>
        <w:t>drug</w:t>
      </w:r>
      <w:r w:rsidR="00F83393" w:rsidRPr="00814901">
        <w:rPr>
          <w:rFonts w:ascii="Times New Roman" w:hAnsi="Times New Roman"/>
          <w:sz w:val="24"/>
          <w:szCs w:val="24"/>
        </w:rPr>
        <w:t xml:space="preserve"> product</w:t>
      </w:r>
      <w:r w:rsidR="00024438" w:rsidRPr="00814901">
        <w:rPr>
          <w:rFonts w:ascii="Times New Roman" w:hAnsi="Times New Roman"/>
          <w:sz w:val="24"/>
          <w:szCs w:val="24"/>
        </w:rPr>
        <w:t>s repackaged by outsourcing facilities</w:t>
      </w:r>
      <w:r w:rsidR="00387C5A" w:rsidRPr="00814901">
        <w:rPr>
          <w:rFonts w:ascii="Times New Roman" w:hAnsi="Times New Roman"/>
          <w:sz w:val="24"/>
          <w:szCs w:val="24"/>
        </w:rPr>
        <w:t>, if they will be expected to report adverse events associated with their repackaged products, as contemplated by the draft guidance</w:t>
      </w:r>
      <w:r w:rsidR="00024438" w:rsidRPr="00814901">
        <w:rPr>
          <w:rFonts w:ascii="Times New Roman" w:hAnsi="Times New Roman"/>
          <w:sz w:val="24"/>
          <w:szCs w:val="24"/>
        </w:rPr>
        <w:t xml:space="preserve">.  </w:t>
      </w:r>
    </w:p>
    <w:p w:rsidR="00336222" w:rsidRPr="00814901" w:rsidRDefault="00336222" w:rsidP="00336222">
      <w:pPr>
        <w:tabs>
          <w:tab w:val="left" w:pos="-720"/>
          <w:tab w:val="left" w:pos="0"/>
          <w:tab w:val="left" w:pos="378"/>
          <w:tab w:val="left" w:pos="720"/>
          <w:tab w:val="left" w:pos="1440"/>
        </w:tabs>
        <w:spacing w:after="0" w:line="480" w:lineRule="auto"/>
        <w:ind w:hanging="378"/>
        <w:rPr>
          <w:rFonts w:ascii="Times New Roman" w:hAnsi="Times New Roman"/>
          <w:sz w:val="24"/>
          <w:szCs w:val="24"/>
        </w:rPr>
      </w:pPr>
    </w:p>
    <w:p w:rsidR="00013295" w:rsidRPr="00814901" w:rsidRDefault="00013295" w:rsidP="007E5563">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9.</w:t>
      </w:r>
      <w:r w:rsidRPr="00814901">
        <w:rPr>
          <w:rFonts w:ascii="Times New Roman" w:hAnsi="Times New Roman"/>
          <w:sz w:val="24"/>
          <w:szCs w:val="24"/>
        </w:rPr>
        <w:tab/>
      </w:r>
      <w:r w:rsidRPr="00814901">
        <w:rPr>
          <w:rFonts w:ascii="Times New Roman" w:hAnsi="Times New Roman"/>
          <w:sz w:val="24"/>
          <w:szCs w:val="24"/>
          <w:u w:val="single"/>
        </w:rPr>
        <w:t>Explanation of Any Payment or Gift to Respondents</w:t>
      </w:r>
    </w:p>
    <w:p w:rsidR="00013295" w:rsidRPr="00814901" w:rsidRDefault="00013295" w:rsidP="007E5563">
      <w:pPr>
        <w:tabs>
          <w:tab w:val="left" w:pos="-720"/>
          <w:tab w:val="left" w:pos="0"/>
          <w:tab w:val="left" w:pos="378"/>
          <w:tab w:val="left" w:pos="1440"/>
        </w:tabs>
        <w:spacing w:after="0" w:line="480" w:lineRule="auto"/>
        <w:rPr>
          <w:rFonts w:ascii="Times New Roman" w:hAnsi="Times New Roman"/>
          <w:sz w:val="24"/>
          <w:szCs w:val="24"/>
        </w:rPr>
      </w:pPr>
      <w:r w:rsidRPr="00814901">
        <w:rPr>
          <w:rFonts w:ascii="Times New Roman" w:hAnsi="Times New Roman"/>
          <w:sz w:val="24"/>
          <w:szCs w:val="24"/>
        </w:rPr>
        <w:lastRenderedPageBreak/>
        <w:tab/>
        <w:t>There is no payment or gift to respondents associated with th</w:t>
      </w:r>
      <w:r w:rsidR="000A684B" w:rsidRPr="00814901">
        <w:rPr>
          <w:rFonts w:ascii="Times New Roman" w:hAnsi="Times New Roman"/>
          <w:sz w:val="24"/>
          <w:szCs w:val="24"/>
        </w:rPr>
        <w:t>is guidance</w:t>
      </w:r>
      <w:r w:rsidRPr="00814901">
        <w:rPr>
          <w:rFonts w:ascii="Times New Roman" w:hAnsi="Times New Roman"/>
          <w:sz w:val="24"/>
          <w:szCs w:val="24"/>
        </w:rPr>
        <w:t>.</w:t>
      </w:r>
    </w:p>
    <w:p w:rsidR="00013295" w:rsidRPr="00814901" w:rsidRDefault="00013295" w:rsidP="007E5563">
      <w:pPr>
        <w:tabs>
          <w:tab w:val="left" w:pos="-720"/>
          <w:tab w:val="left" w:pos="0"/>
          <w:tab w:val="left" w:pos="378"/>
          <w:tab w:val="left" w:pos="1440"/>
        </w:tabs>
        <w:spacing w:after="0" w:line="480" w:lineRule="auto"/>
        <w:rPr>
          <w:rFonts w:ascii="Times New Roman" w:hAnsi="Times New Roman"/>
          <w:sz w:val="24"/>
          <w:szCs w:val="24"/>
        </w:rPr>
      </w:pPr>
    </w:p>
    <w:p w:rsidR="00013295" w:rsidRPr="00814901" w:rsidRDefault="00013295" w:rsidP="008825AA">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 xml:space="preserve">10. </w:t>
      </w:r>
      <w:r w:rsidRPr="00814901">
        <w:rPr>
          <w:rFonts w:ascii="Times New Roman" w:hAnsi="Times New Roman"/>
          <w:sz w:val="24"/>
          <w:szCs w:val="24"/>
          <w:u w:val="single"/>
        </w:rPr>
        <w:t>Assurance of Confidentiality Provided to Respondents</w:t>
      </w:r>
    </w:p>
    <w:p w:rsidR="008825AA" w:rsidRPr="00814901" w:rsidRDefault="00013295" w:rsidP="008825AA">
      <w:pPr>
        <w:spacing w:after="0" w:line="480" w:lineRule="auto"/>
        <w:ind w:firstLine="720"/>
        <w:rPr>
          <w:rFonts w:ascii="Times New Roman" w:hAnsi="Times New Roman"/>
          <w:sz w:val="24"/>
          <w:szCs w:val="24"/>
        </w:rPr>
      </w:pPr>
      <w:r w:rsidRPr="00814901">
        <w:rPr>
          <w:rFonts w:ascii="Times New Roman" w:hAnsi="Times New Roman"/>
          <w:sz w:val="24"/>
          <w:szCs w:val="24"/>
        </w:rPr>
        <w:t>Confidentiality of the information submitted under these requirements is protected</w:t>
      </w:r>
      <w:r w:rsidR="0063471F" w:rsidRPr="00814901">
        <w:rPr>
          <w:rFonts w:ascii="Times New Roman" w:hAnsi="Times New Roman"/>
          <w:sz w:val="24"/>
          <w:szCs w:val="24"/>
        </w:rPr>
        <w:t xml:space="preserve"> under </w:t>
      </w:r>
      <w:r w:rsidRPr="00814901">
        <w:rPr>
          <w:rFonts w:ascii="Times New Roman" w:hAnsi="Times New Roman"/>
          <w:sz w:val="24"/>
          <w:szCs w:val="24"/>
        </w:rPr>
        <w:t xml:space="preserve">21 CFR part 20.  The unauthorized use or disclosure of trade secrets is specifically prohibited under Section 310(j) of the </w:t>
      </w:r>
      <w:r w:rsidR="0063471F" w:rsidRPr="00814901">
        <w:rPr>
          <w:rFonts w:ascii="Times New Roman" w:hAnsi="Times New Roman"/>
          <w:sz w:val="24"/>
          <w:szCs w:val="24"/>
        </w:rPr>
        <w:t xml:space="preserve">FD&amp;C </w:t>
      </w:r>
      <w:r w:rsidRPr="00814901">
        <w:rPr>
          <w:rFonts w:ascii="Times New Roman" w:hAnsi="Times New Roman"/>
          <w:sz w:val="24"/>
          <w:szCs w:val="24"/>
        </w:rPr>
        <w:t>Act.</w:t>
      </w:r>
      <w:r w:rsidR="0063507D" w:rsidRPr="00814901">
        <w:rPr>
          <w:rFonts w:ascii="Times New Roman" w:hAnsi="Times New Roman"/>
          <w:sz w:val="24"/>
          <w:szCs w:val="24"/>
        </w:rPr>
        <w:t xml:space="preserve"> </w:t>
      </w:r>
      <w:r w:rsidR="008825AA" w:rsidRPr="00814901">
        <w:rPr>
          <w:rFonts w:ascii="Times New Roman" w:hAnsi="Times New Roman"/>
          <w:sz w:val="24"/>
          <w:szCs w:val="24"/>
        </w:rPr>
        <w:t>FDA will not disclose any information that is considered a trade secret and prohibited under section 310(j) of the FD&amp;C Act.</w:t>
      </w:r>
    </w:p>
    <w:p w:rsidR="001728E4" w:rsidRPr="00814901" w:rsidRDefault="001728E4" w:rsidP="008825AA">
      <w:pPr>
        <w:spacing w:after="0" w:line="480" w:lineRule="auto"/>
        <w:ind w:firstLine="720"/>
        <w:rPr>
          <w:rFonts w:ascii="Times New Roman" w:hAnsi="Times New Roman"/>
          <w:color w:val="FF0000"/>
          <w:sz w:val="24"/>
          <w:szCs w:val="24"/>
        </w:rPr>
      </w:pPr>
    </w:p>
    <w:p w:rsidR="0052751A" w:rsidRPr="00814901" w:rsidRDefault="0052751A" w:rsidP="008825AA">
      <w:pPr>
        <w:spacing w:after="0" w:line="480" w:lineRule="auto"/>
        <w:rPr>
          <w:rFonts w:ascii="Times New Roman" w:hAnsi="Times New Roman"/>
          <w:sz w:val="24"/>
          <w:szCs w:val="24"/>
          <w:u w:val="single"/>
        </w:rPr>
      </w:pPr>
      <w:r w:rsidRPr="00814901">
        <w:rPr>
          <w:rFonts w:ascii="Times New Roman" w:hAnsi="Times New Roman"/>
          <w:sz w:val="24"/>
          <w:szCs w:val="24"/>
        </w:rPr>
        <w:t xml:space="preserve">11.  </w:t>
      </w:r>
      <w:r w:rsidRPr="00814901">
        <w:rPr>
          <w:rFonts w:ascii="Times New Roman" w:hAnsi="Times New Roman"/>
          <w:sz w:val="24"/>
          <w:szCs w:val="24"/>
          <w:u w:val="single"/>
        </w:rPr>
        <w:t>Justification for Sensitive Questions</w:t>
      </w:r>
    </w:p>
    <w:p w:rsidR="00013295" w:rsidRPr="00814901" w:rsidRDefault="0052751A" w:rsidP="001728E4">
      <w:pPr>
        <w:spacing w:after="0" w:line="480" w:lineRule="auto"/>
        <w:ind w:firstLine="720"/>
        <w:rPr>
          <w:rFonts w:ascii="Times New Roman" w:hAnsi="Times New Roman"/>
          <w:sz w:val="24"/>
          <w:szCs w:val="24"/>
        </w:rPr>
      </w:pPr>
      <w:r w:rsidRPr="00814901">
        <w:rPr>
          <w:rFonts w:ascii="Times New Roman" w:hAnsi="Times New Roman"/>
          <w:sz w:val="24"/>
          <w:szCs w:val="24"/>
        </w:rPr>
        <w:t>There are no sensitive questions associated with this guidance.</w:t>
      </w:r>
    </w:p>
    <w:p w:rsidR="001728E4" w:rsidRPr="00814901" w:rsidRDefault="001728E4" w:rsidP="001728E4">
      <w:pPr>
        <w:tabs>
          <w:tab w:val="left" w:pos="-720"/>
          <w:tab w:val="left" w:pos="0"/>
          <w:tab w:val="left" w:pos="378"/>
          <w:tab w:val="left" w:pos="1440"/>
        </w:tabs>
        <w:spacing w:after="0" w:line="480" w:lineRule="auto"/>
        <w:ind w:hanging="378"/>
        <w:rPr>
          <w:rFonts w:ascii="Times New Roman" w:hAnsi="Times New Roman"/>
          <w:sz w:val="24"/>
          <w:szCs w:val="24"/>
        </w:rPr>
      </w:pPr>
    </w:p>
    <w:p w:rsidR="00013295" w:rsidRPr="00814901" w:rsidRDefault="00013295" w:rsidP="001728E4">
      <w:pPr>
        <w:tabs>
          <w:tab w:val="left" w:pos="-720"/>
          <w:tab w:val="left" w:pos="0"/>
          <w:tab w:val="left" w:pos="378"/>
          <w:tab w:val="left" w:pos="1440"/>
        </w:tabs>
        <w:spacing w:after="0" w:line="480" w:lineRule="auto"/>
        <w:ind w:hanging="378"/>
        <w:rPr>
          <w:rFonts w:ascii="Times New Roman" w:hAnsi="Times New Roman"/>
          <w:sz w:val="24"/>
          <w:szCs w:val="24"/>
          <w:u w:val="single"/>
        </w:rPr>
      </w:pPr>
      <w:r w:rsidRPr="00814901">
        <w:rPr>
          <w:rFonts w:ascii="Times New Roman" w:hAnsi="Times New Roman"/>
          <w:sz w:val="24"/>
          <w:szCs w:val="24"/>
        </w:rPr>
        <w:t xml:space="preserve">12. </w:t>
      </w:r>
      <w:r w:rsidRPr="00814901">
        <w:rPr>
          <w:rFonts w:ascii="Times New Roman" w:hAnsi="Times New Roman"/>
          <w:sz w:val="24"/>
          <w:szCs w:val="24"/>
          <w:u w:val="single"/>
        </w:rPr>
        <w:t>Estimates of Annualized Hour Burden and Costs</w:t>
      </w:r>
    </w:p>
    <w:p w:rsidR="00013295" w:rsidRPr="00814901" w:rsidRDefault="008D4E37" w:rsidP="008D4E37">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00013295" w:rsidRPr="00814901">
        <w:rPr>
          <w:rFonts w:ascii="Times New Roman" w:hAnsi="Times New Roman"/>
          <w:sz w:val="24"/>
          <w:szCs w:val="24"/>
        </w:rPr>
        <w:t xml:space="preserve">12a.  </w:t>
      </w:r>
      <w:r w:rsidR="00013295" w:rsidRPr="00814901">
        <w:rPr>
          <w:rFonts w:ascii="Times New Roman" w:hAnsi="Times New Roman"/>
          <w:sz w:val="24"/>
          <w:szCs w:val="24"/>
          <w:u w:val="single"/>
        </w:rPr>
        <w:t>Annualized Hour Burden Estimate</w:t>
      </w:r>
    </w:p>
    <w:p w:rsidR="004A0B8B" w:rsidRPr="00814901" w:rsidRDefault="004A0B8B" w:rsidP="004A0B8B">
      <w:pPr>
        <w:pStyle w:val="NormalWeb"/>
        <w:spacing w:line="480" w:lineRule="auto"/>
        <w:ind w:firstLine="720"/>
      </w:pPr>
      <w:r w:rsidRPr="00814901">
        <w:t xml:space="preserve">Under the guidance, outsourcing facilities must submit to FDA </w:t>
      </w:r>
      <w:r w:rsidR="00910933" w:rsidRPr="00814901">
        <w:t xml:space="preserve">electronically </w:t>
      </w:r>
      <w:r w:rsidRPr="00814901">
        <w:t xml:space="preserve">adverse event reports within 15 calendar days of receiving information </w:t>
      </w:r>
      <w:r w:rsidR="00910933" w:rsidRPr="00814901">
        <w:t>about a serious</w:t>
      </w:r>
      <w:r w:rsidR="001C275F" w:rsidRPr="00814901">
        <w:t>,</w:t>
      </w:r>
      <w:r w:rsidR="00910933" w:rsidRPr="00814901">
        <w:t xml:space="preserve"> unexpected adverse event </w:t>
      </w:r>
      <w:r w:rsidRPr="00814901">
        <w:t xml:space="preserve">and must submit a follow-up report within 15 calendar days of receipt of new information about the adverse event, or as requested by FDA. </w:t>
      </w:r>
      <w:r w:rsidR="006B77D6" w:rsidRPr="00814901">
        <w:t>The reporting</w:t>
      </w:r>
      <w:r w:rsidRPr="00814901">
        <w:t xml:space="preserve"> Form FDA 3500A is approved by OMB control number 0910-0291</w:t>
      </w:r>
      <w:r w:rsidR="006B77D6" w:rsidRPr="00814901">
        <w:t xml:space="preserve">.  </w:t>
      </w:r>
      <w:r w:rsidRPr="00814901">
        <w:t xml:space="preserve">A copy of the current labeling of the compounded drug product must be included. </w:t>
      </w:r>
    </w:p>
    <w:p w:rsidR="004A0B8B" w:rsidRPr="00814901" w:rsidRDefault="004A0B8B" w:rsidP="004A0B8B">
      <w:pPr>
        <w:pStyle w:val="NormalWeb"/>
        <w:spacing w:line="480" w:lineRule="auto"/>
        <w:ind w:firstLine="720"/>
      </w:pPr>
      <w:r w:rsidRPr="00814901">
        <w:t>Under 21 CFR 310.305</w:t>
      </w:r>
      <w:r w:rsidR="001C275F" w:rsidRPr="00814901">
        <w:t>(f)</w:t>
      </w:r>
      <w:r w:rsidRPr="00814901">
        <w:t xml:space="preserve">, entities subject to the regulation must maintain for 10 years the records of all adverse events required to be reported under </w:t>
      </w:r>
      <w:r w:rsidR="006B77D6" w:rsidRPr="00814901">
        <w:t>21 CFR</w:t>
      </w:r>
      <w:r w:rsidRPr="00814901">
        <w:t xml:space="preserve"> 310.305, including raw data and any correspondence relating to the adverse event. The outsourcing facility should also </w:t>
      </w:r>
      <w:r w:rsidRPr="00814901">
        <w:lastRenderedPageBreak/>
        <w:t>maintain records of its efforts to obtain the data elements described in the draft guidance for each adverse event report.</w:t>
      </w:r>
    </w:p>
    <w:p w:rsidR="004A0B8B" w:rsidRPr="00814901" w:rsidRDefault="004A0B8B" w:rsidP="004A0B8B">
      <w:pPr>
        <w:pStyle w:val="NormalWeb"/>
        <w:ind w:firstLine="720"/>
      </w:pPr>
      <w:r w:rsidRPr="00814901">
        <w:t>The total estimated reporting and recordkeeping burdens for the guidance are as follows:</w:t>
      </w:r>
    </w:p>
    <w:p w:rsidR="002E1D08" w:rsidRPr="00814901" w:rsidRDefault="002E1D08" w:rsidP="002E1D08">
      <w:pPr>
        <w:spacing w:after="0" w:line="480" w:lineRule="auto"/>
        <w:ind w:firstLine="720"/>
        <w:rPr>
          <w:rFonts w:ascii="Times New Roman" w:hAnsi="Times New Roman"/>
          <w:sz w:val="24"/>
          <w:szCs w:val="24"/>
        </w:rPr>
      </w:pPr>
      <w:r w:rsidRPr="00814901">
        <w:rPr>
          <w:rFonts w:ascii="Times New Roman" w:hAnsi="Times New Roman"/>
          <w:sz w:val="24"/>
          <w:szCs w:val="24"/>
        </w:rPr>
        <w:t>We estimate that approximately 5</w:t>
      </w:r>
      <w:r w:rsidR="00231862" w:rsidRPr="00814901">
        <w:rPr>
          <w:rFonts w:ascii="Times New Roman" w:hAnsi="Times New Roman"/>
          <w:sz w:val="24"/>
          <w:szCs w:val="24"/>
        </w:rPr>
        <w:t>5</w:t>
      </w:r>
      <w:r w:rsidRPr="00814901">
        <w:rPr>
          <w:rFonts w:ascii="Times New Roman" w:hAnsi="Times New Roman"/>
          <w:sz w:val="24"/>
          <w:szCs w:val="24"/>
        </w:rPr>
        <w:t xml:space="preserve"> outsourcing facilities (“number of respondents” and “total annual responses” in table 1) will annually submit adverse event reports to FDA as specified in the guidance, and that preparing and submitting this information will take approximately 1.1 hours per registrant (“average burden per response” in table 1).  </w:t>
      </w:r>
    </w:p>
    <w:p w:rsidR="002E1D08" w:rsidRPr="00814901" w:rsidRDefault="002E1D08" w:rsidP="002E1D08">
      <w:pPr>
        <w:spacing w:after="0" w:line="480" w:lineRule="auto"/>
        <w:ind w:firstLine="720"/>
        <w:rPr>
          <w:rFonts w:ascii="Times New Roman" w:hAnsi="Times New Roman"/>
          <w:sz w:val="24"/>
          <w:szCs w:val="24"/>
        </w:rPr>
      </w:pPr>
      <w:r w:rsidRPr="00814901">
        <w:rPr>
          <w:rFonts w:ascii="Times New Roman" w:hAnsi="Times New Roman"/>
          <w:sz w:val="24"/>
          <w:szCs w:val="24"/>
        </w:rPr>
        <w:t>We estimate that approximately 5</w:t>
      </w:r>
      <w:r w:rsidR="00231862" w:rsidRPr="00814901">
        <w:rPr>
          <w:rFonts w:ascii="Times New Roman" w:hAnsi="Times New Roman"/>
          <w:sz w:val="24"/>
          <w:szCs w:val="24"/>
        </w:rPr>
        <w:t>5</w:t>
      </w:r>
      <w:r w:rsidRPr="00814901">
        <w:rPr>
          <w:rFonts w:ascii="Times New Roman" w:hAnsi="Times New Roman"/>
          <w:sz w:val="24"/>
          <w:szCs w:val="24"/>
        </w:rPr>
        <w:t xml:space="preserve"> outsourcing facilities (“number of recordkeepers” in table 2) will annually maintain records of adverse events as specified in the guidance, and that preparing and maintaining the records will take approximately 16 hours per registrant (“average burden per recordkeeping” in table 2).</w:t>
      </w:r>
    </w:p>
    <w:p w:rsidR="0065645B" w:rsidRPr="00814901" w:rsidRDefault="0065645B" w:rsidP="0065645B">
      <w:pPr>
        <w:spacing w:after="0" w:line="480" w:lineRule="auto"/>
        <w:ind w:firstLine="720"/>
        <w:rPr>
          <w:rFonts w:ascii="Times New Roman" w:hAnsi="Times New Roman"/>
          <w:sz w:val="24"/>
          <w:szCs w:val="24"/>
        </w:rPr>
      </w:pPr>
      <w:r w:rsidRPr="00814901">
        <w:rPr>
          <w:rFonts w:ascii="Times New Roman" w:hAnsi="Times New Roman"/>
          <w:sz w:val="24"/>
          <w:szCs w:val="24"/>
        </w:rPr>
        <w:t>FDA estimates the burden of this collection of information as follows:</w:t>
      </w:r>
    </w:p>
    <w:p w:rsidR="0065645B" w:rsidRPr="00814901" w:rsidRDefault="0065645B" w:rsidP="0065645B">
      <w:pPr>
        <w:spacing w:after="0" w:line="240" w:lineRule="auto"/>
        <w:rPr>
          <w:rFonts w:ascii="Times New Roman" w:hAnsi="Times New Roman"/>
        </w:rPr>
      </w:pPr>
    </w:p>
    <w:p w:rsidR="0065645B" w:rsidRPr="00814901" w:rsidRDefault="0065645B" w:rsidP="0065645B">
      <w:pPr>
        <w:pStyle w:val="BodyText"/>
        <w:spacing w:after="0" w:line="240" w:lineRule="auto"/>
        <w:jc w:val="center"/>
        <w:rPr>
          <w:rFonts w:ascii="Times New Roman" w:hAnsi="Times New Roman"/>
          <w:sz w:val="24"/>
          <w:szCs w:val="24"/>
        </w:rPr>
      </w:pPr>
      <w:r w:rsidRPr="00814901">
        <w:rPr>
          <w:rFonts w:ascii="Times New Roman" w:hAnsi="Times New Roman"/>
          <w:iCs/>
          <w:sz w:val="24"/>
          <w:szCs w:val="24"/>
        </w:rPr>
        <w:t>Table 1.—Estimated Annual Reporting Burden</w:t>
      </w:r>
    </w:p>
    <w:tbl>
      <w:tblPr>
        <w:tblW w:w="9900" w:type="dxa"/>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4A0" w:firstRow="1" w:lastRow="0" w:firstColumn="1" w:lastColumn="0" w:noHBand="0" w:noVBand="1"/>
      </w:tblPr>
      <w:tblGrid>
        <w:gridCol w:w="1800"/>
        <w:gridCol w:w="1710"/>
        <w:gridCol w:w="1440"/>
        <w:gridCol w:w="1530"/>
        <w:gridCol w:w="1710"/>
        <w:gridCol w:w="1710"/>
      </w:tblGrid>
      <w:tr w:rsidR="0065645B" w:rsidRPr="00814901" w:rsidTr="00576505">
        <w:trPr>
          <w:cantSplit/>
        </w:trPr>
        <w:tc>
          <w:tcPr>
            <w:tcW w:w="1800" w:type="dxa"/>
            <w:tcBorders>
              <w:top w:val="single" w:sz="2" w:space="0" w:color="000000"/>
              <w:left w:val="single" w:sz="2" w:space="0" w:color="000000"/>
              <w:bottom w:val="single" w:sz="2" w:space="0" w:color="000000"/>
              <w:right w:val="single" w:sz="2" w:space="0" w:color="000000"/>
            </w:tcBorders>
            <w:hideMark/>
          </w:tcPr>
          <w:p w:rsidR="0065645B" w:rsidRPr="00814901" w:rsidRDefault="0065645B" w:rsidP="00576505">
            <w:pPr>
              <w:widowControl w:val="0"/>
              <w:snapToGrid w:val="0"/>
              <w:spacing w:after="0" w:line="240" w:lineRule="auto"/>
              <w:jc w:val="center"/>
              <w:rPr>
                <w:rFonts w:ascii="Times New Roman" w:hAnsi="Times New Roman"/>
              </w:rPr>
            </w:pPr>
            <w:r w:rsidRPr="00814901">
              <w:rPr>
                <w:rFonts w:ascii="Times New Roman" w:hAnsi="Times New Roman"/>
              </w:rPr>
              <w:t>Compounding Outsourcing Facility</w:t>
            </w:r>
          </w:p>
        </w:tc>
        <w:tc>
          <w:tcPr>
            <w:tcW w:w="1710" w:type="dxa"/>
            <w:tcBorders>
              <w:top w:val="single" w:sz="2" w:space="0" w:color="000000"/>
              <w:left w:val="single" w:sz="2" w:space="0" w:color="000000"/>
              <w:bottom w:val="single" w:sz="2" w:space="0" w:color="000000"/>
              <w:right w:val="single" w:sz="2" w:space="0" w:color="000000"/>
            </w:tcBorders>
            <w:hideMark/>
          </w:tcPr>
          <w:p w:rsidR="0065645B" w:rsidRPr="00814901" w:rsidRDefault="002E1D08" w:rsidP="00576505">
            <w:pPr>
              <w:widowControl w:val="0"/>
              <w:snapToGrid w:val="0"/>
              <w:spacing w:after="0" w:line="240" w:lineRule="auto"/>
              <w:jc w:val="center"/>
              <w:rPr>
                <w:rFonts w:ascii="Times New Roman" w:hAnsi="Times New Roman"/>
              </w:rPr>
            </w:pPr>
            <w:r w:rsidRPr="00814901">
              <w:rPr>
                <w:rFonts w:ascii="Times New Roman" w:hAnsi="Times New Roman"/>
              </w:rPr>
              <w:t>Number</w:t>
            </w:r>
            <w:r w:rsidR="0065645B" w:rsidRPr="00814901">
              <w:rPr>
                <w:rFonts w:ascii="Times New Roman" w:hAnsi="Times New Roman"/>
              </w:rPr>
              <w:t xml:space="preserve"> of Respondents</w:t>
            </w:r>
          </w:p>
        </w:tc>
        <w:tc>
          <w:tcPr>
            <w:tcW w:w="1440" w:type="dxa"/>
            <w:tcBorders>
              <w:top w:val="single" w:sz="2" w:space="0" w:color="000000"/>
              <w:left w:val="single" w:sz="2" w:space="0" w:color="000000"/>
              <w:bottom w:val="single" w:sz="2" w:space="0" w:color="000000"/>
              <w:right w:val="single" w:sz="2" w:space="0" w:color="000000"/>
            </w:tcBorders>
            <w:hideMark/>
          </w:tcPr>
          <w:p w:rsidR="0065645B" w:rsidRPr="00814901" w:rsidRDefault="002E1D08" w:rsidP="00576505">
            <w:pPr>
              <w:widowControl w:val="0"/>
              <w:snapToGrid w:val="0"/>
              <w:spacing w:after="0" w:line="240" w:lineRule="auto"/>
              <w:jc w:val="center"/>
              <w:rPr>
                <w:rFonts w:ascii="Times New Roman" w:hAnsi="Times New Roman"/>
              </w:rPr>
            </w:pPr>
            <w:r w:rsidRPr="00814901">
              <w:rPr>
                <w:rFonts w:ascii="Times New Roman" w:hAnsi="Times New Roman"/>
              </w:rPr>
              <w:t>Number</w:t>
            </w:r>
            <w:r w:rsidR="0065645B" w:rsidRPr="00814901">
              <w:rPr>
                <w:rFonts w:ascii="Times New Roman" w:hAnsi="Times New Roman"/>
              </w:rPr>
              <w:t xml:space="preserve"> of Responses per Respondent</w:t>
            </w:r>
          </w:p>
        </w:tc>
        <w:tc>
          <w:tcPr>
            <w:tcW w:w="1530" w:type="dxa"/>
            <w:tcBorders>
              <w:top w:val="single" w:sz="2" w:space="0" w:color="000000"/>
              <w:left w:val="single" w:sz="2" w:space="0" w:color="000000"/>
              <w:bottom w:val="single" w:sz="2" w:space="0" w:color="000000"/>
              <w:right w:val="single" w:sz="2" w:space="0" w:color="000000"/>
            </w:tcBorders>
            <w:hideMark/>
          </w:tcPr>
          <w:p w:rsidR="0065645B" w:rsidRPr="00814901" w:rsidRDefault="0065645B" w:rsidP="00576505">
            <w:pPr>
              <w:widowControl w:val="0"/>
              <w:snapToGrid w:val="0"/>
              <w:spacing w:after="0" w:line="240" w:lineRule="auto"/>
              <w:jc w:val="center"/>
              <w:rPr>
                <w:rFonts w:ascii="Times New Roman" w:hAnsi="Times New Roman"/>
              </w:rPr>
            </w:pPr>
            <w:r w:rsidRPr="00814901">
              <w:rPr>
                <w:rFonts w:ascii="Times New Roman" w:hAnsi="Times New Roman"/>
              </w:rPr>
              <w:t>Total Annual Responses</w:t>
            </w:r>
          </w:p>
        </w:tc>
        <w:tc>
          <w:tcPr>
            <w:tcW w:w="1710" w:type="dxa"/>
            <w:tcBorders>
              <w:top w:val="single" w:sz="2" w:space="0" w:color="000000"/>
              <w:left w:val="single" w:sz="2" w:space="0" w:color="000000"/>
              <w:bottom w:val="single" w:sz="2" w:space="0" w:color="000000"/>
              <w:right w:val="single" w:sz="2" w:space="0" w:color="000000"/>
            </w:tcBorders>
            <w:hideMark/>
          </w:tcPr>
          <w:p w:rsidR="0065645B" w:rsidRPr="00814901" w:rsidRDefault="0065645B" w:rsidP="00F33599">
            <w:pPr>
              <w:widowControl w:val="0"/>
              <w:snapToGrid w:val="0"/>
              <w:spacing w:after="0" w:line="240" w:lineRule="auto"/>
              <w:jc w:val="center"/>
              <w:rPr>
                <w:rFonts w:ascii="Times New Roman" w:hAnsi="Times New Roman"/>
              </w:rPr>
            </w:pPr>
            <w:r w:rsidRPr="00814901">
              <w:rPr>
                <w:rFonts w:ascii="Times New Roman" w:hAnsi="Times New Roman"/>
              </w:rPr>
              <w:t>Average Burden per Response</w:t>
            </w:r>
            <w:r w:rsidR="001C275F" w:rsidRPr="00814901">
              <w:rPr>
                <w:rFonts w:ascii="Times New Roman" w:hAnsi="Times New Roman"/>
              </w:rPr>
              <w:t xml:space="preserve"> </w:t>
            </w:r>
          </w:p>
        </w:tc>
        <w:tc>
          <w:tcPr>
            <w:tcW w:w="1710" w:type="dxa"/>
            <w:tcBorders>
              <w:top w:val="single" w:sz="2" w:space="0" w:color="000000"/>
              <w:left w:val="single" w:sz="2" w:space="0" w:color="000000"/>
              <w:bottom w:val="single" w:sz="2" w:space="0" w:color="000000"/>
              <w:right w:val="single" w:sz="2" w:space="0" w:color="000000"/>
            </w:tcBorders>
            <w:hideMark/>
          </w:tcPr>
          <w:p w:rsidR="0065645B" w:rsidRPr="00814901" w:rsidRDefault="0065645B" w:rsidP="00576505">
            <w:pPr>
              <w:widowControl w:val="0"/>
              <w:snapToGrid w:val="0"/>
              <w:spacing w:after="0" w:line="240" w:lineRule="auto"/>
              <w:jc w:val="center"/>
              <w:rPr>
                <w:rFonts w:ascii="Times New Roman" w:hAnsi="Times New Roman"/>
              </w:rPr>
            </w:pPr>
            <w:r w:rsidRPr="00814901">
              <w:rPr>
                <w:rFonts w:ascii="Times New Roman" w:hAnsi="Times New Roman"/>
              </w:rPr>
              <w:t>Total Hours</w:t>
            </w:r>
          </w:p>
        </w:tc>
      </w:tr>
      <w:tr w:rsidR="0065645B" w:rsidRPr="00814901" w:rsidTr="00576505">
        <w:trPr>
          <w:cantSplit/>
        </w:trPr>
        <w:tc>
          <w:tcPr>
            <w:tcW w:w="1800" w:type="dxa"/>
            <w:tcBorders>
              <w:top w:val="single" w:sz="2" w:space="0" w:color="000000"/>
              <w:left w:val="single" w:sz="2" w:space="0" w:color="000000"/>
              <w:bottom w:val="single" w:sz="2" w:space="0" w:color="000000"/>
              <w:right w:val="single" w:sz="2" w:space="0" w:color="000000"/>
            </w:tcBorders>
            <w:hideMark/>
          </w:tcPr>
          <w:p w:rsidR="0065645B" w:rsidRPr="00814901" w:rsidRDefault="004A0B8B" w:rsidP="00576505">
            <w:pPr>
              <w:widowControl w:val="0"/>
              <w:snapToGrid w:val="0"/>
              <w:spacing w:after="0" w:line="240" w:lineRule="auto"/>
              <w:jc w:val="center"/>
              <w:rPr>
                <w:rFonts w:ascii="Times New Roman" w:hAnsi="Times New Roman"/>
              </w:rPr>
            </w:pPr>
            <w:r w:rsidRPr="00814901">
              <w:rPr>
                <w:rFonts w:ascii="Times New Roman" w:hAnsi="Times New Roman"/>
              </w:rPr>
              <w:t>Submission of adverse event reports including copy of labeling and other information as described in the guidance</w:t>
            </w:r>
          </w:p>
        </w:tc>
        <w:tc>
          <w:tcPr>
            <w:tcW w:w="1710" w:type="dxa"/>
            <w:tcBorders>
              <w:top w:val="single" w:sz="2" w:space="0" w:color="000000"/>
              <w:left w:val="single" w:sz="2" w:space="0" w:color="000000"/>
              <w:bottom w:val="single" w:sz="2" w:space="0" w:color="000000"/>
              <w:right w:val="single" w:sz="2" w:space="0" w:color="000000"/>
            </w:tcBorders>
          </w:tcPr>
          <w:p w:rsidR="0065645B" w:rsidRPr="00814901" w:rsidRDefault="0065645B" w:rsidP="00576505">
            <w:pPr>
              <w:spacing w:after="0" w:line="240" w:lineRule="auto"/>
              <w:jc w:val="center"/>
              <w:rPr>
                <w:rFonts w:ascii="Times New Roman" w:hAnsi="Times New Roman"/>
              </w:rPr>
            </w:pPr>
          </w:p>
          <w:p w:rsidR="0065645B" w:rsidRPr="00814901" w:rsidRDefault="0065645B" w:rsidP="00576505">
            <w:pPr>
              <w:spacing w:after="0" w:line="240" w:lineRule="auto"/>
              <w:jc w:val="center"/>
              <w:rPr>
                <w:rFonts w:ascii="Times New Roman" w:hAnsi="Times New Roman"/>
              </w:rPr>
            </w:pPr>
          </w:p>
          <w:p w:rsidR="0065645B" w:rsidRPr="00814901" w:rsidRDefault="0065645B" w:rsidP="00576505">
            <w:pPr>
              <w:spacing w:after="0" w:line="240" w:lineRule="auto"/>
              <w:jc w:val="center"/>
              <w:rPr>
                <w:rFonts w:ascii="Times New Roman" w:hAnsi="Times New Roman"/>
              </w:rPr>
            </w:pPr>
            <w:r w:rsidRPr="00814901">
              <w:rPr>
                <w:rFonts w:ascii="Times New Roman" w:hAnsi="Times New Roman"/>
              </w:rPr>
              <w:t>5</w:t>
            </w:r>
            <w:r w:rsidR="00271A8C" w:rsidRPr="00814901">
              <w:rPr>
                <w:rFonts w:ascii="Times New Roman" w:hAnsi="Times New Roman"/>
              </w:rPr>
              <w:t>5</w:t>
            </w:r>
          </w:p>
        </w:tc>
        <w:tc>
          <w:tcPr>
            <w:tcW w:w="1440" w:type="dxa"/>
            <w:tcBorders>
              <w:top w:val="single" w:sz="2" w:space="0" w:color="000000"/>
              <w:left w:val="single" w:sz="2" w:space="0" w:color="000000"/>
              <w:bottom w:val="single" w:sz="2" w:space="0" w:color="000000"/>
              <w:right w:val="single" w:sz="2" w:space="0" w:color="000000"/>
            </w:tcBorders>
          </w:tcPr>
          <w:p w:rsidR="0065645B" w:rsidRPr="00814901" w:rsidRDefault="0065645B" w:rsidP="00576505">
            <w:pPr>
              <w:widowControl w:val="0"/>
              <w:snapToGrid w:val="0"/>
              <w:spacing w:after="0" w:line="240" w:lineRule="auto"/>
              <w:jc w:val="center"/>
              <w:rPr>
                <w:rFonts w:ascii="Times New Roman" w:hAnsi="Times New Roman"/>
              </w:rPr>
            </w:pPr>
          </w:p>
          <w:p w:rsidR="0065645B" w:rsidRPr="00814901" w:rsidRDefault="0065645B" w:rsidP="00576505">
            <w:pPr>
              <w:widowControl w:val="0"/>
              <w:snapToGrid w:val="0"/>
              <w:spacing w:after="0" w:line="240" w:lineRule="auto"/>
              <w:jc w:val="center"/>
              <w:rPr>
                <w:rFonts w:ascii="Times New Roman" w:hAnsi="Times New Roman"/>
              </w:rPr>
            </w:pPr>
          </w:p>
          <w:p w:rsidR="0065645B" w:rsidRPr="00814901" w:rsidRDefault="00B20724" w:rsidP="00576505">
            <w:pPr>
              <w:widowControl w:val="0"/>
              <w:snapToGrid w:val="0"/>
              <w:spacing w:after="0" w:line="240" w:lineRule="auto"/>
              <w:jc w:val="center"/>
              <w:rPr>
                <w:rFonts w:ascii="Times New Roman" w:hAnsi="Times New Roman"/>
              </w:rPr>
            </w:pPr>
            <w:r>
              <w:rPr>
                <w:rFonts w:ascii="Times New Roman" w:hAnsi="Times New Roman"/>
              </w:rPr>
              <w:t>1</w:t>
            </w:r>
          </w:p>
          <w:p w:rsidR="0065645B" w:rsidRPr="00814901" w:rsidRDefault="0065645B" w:rsidP="00576505">
            <w:pPr>
              <w:widowControl w:val="0"/>
              <w:snapToGrid w:val="0"/>
              <w:spacing w:after="0" w:line="240" w:lineRule="auto"/>
              <w:jc w:val="center"/>
              <w:rPr>
                <w:rFonts w:ascii="Times New Roman" w:hAnsi="Times New Roman"/>
              </w:rPr>
            </w:pPr>
          </w:p>
          <w:p w:rsidR="0065645B" w:rsidRPr="00814901" w:rsidRDefault="0065645B" w:rsidP="00576505">
            <w:pPr>
              <w:widowControl w:val="0"/>
              <w:snapToGrid w:val="0"/>
              <w:spacing w:after="0" w:line="240" w:lineRule="auto"/>
              <w:rPr>
                <w:rFonts w:ascii="Times New Roman" w:hAnsi="Times New Roman"/>
              </w:rPr>
            </w:pPr>
          </w:p>
        </w:tc>
        <w:tc>
          <w:tcPr>
            <w:tcW w:w="1530" w:type="dxa"/>
            <w:tcBorders>
              <w:top w:val="single" w:sz="2" w:space="0" w:color="000000"/>
              <w:left w:val="single" w:sz="2" w:space="0" w:color="000000"/>
              <w:bottom w:val="single" w:sz="2" w:space="0" w:color="000000"/>
              <w:right w:val="single" w:sz="2" w:space="0" w:color="000000"/>
            </w:tcBorders>
          </w:tcPr>
          <w:p w:rsidR="004A0B8B" w:rsidRPr="00814901" w:rsidRDefault="004A0B8B" w:rsidP="00576505">
            <w:pPr>
              <w:widowControl w:val="0"/>
              <w:snapToGrid w:val="0"/>
              <w:spacing w:after="0" w:line="240" w:lineRule="auto"/>
              <w:jc w:val="center"/>
              <w:rPr>
                <w:rFonts w:ascii="Times New Roman" w:hAnsi="Times New Roman"/>
              </w:rPr>
            </w:pPr>
          </w:p>
          <w:p w:rsidR="004A0B8B" w:rsidRPr="00814901" w:rsidRDefault="004A0B8B" w:rsidP="00576505">
            <w:pPr>
              <w:widowControl w:val="0"/>
              <w:snapToGrid w:val="0"/>
              <w:spacing w:after="0" w:line="240" w:lineRule="auto"/>
              <w:jc w:val="center"/>
              <w:rPr>
                <w:rFonts w:ascii="Times New Roman" w:hAnsi="Times New Roman"/>
              </w:rPr>
            </w:pPr>
          </w:p>
          <w:p w:rsidR="0065645B" w:rsidRPr="00814901" w:rsidRDefault="00B20724" w:rsidP="00576505">
            <w:pPr>
              <w:widowControl w:val="0"/>
              <w:snapToGrid w:val="0"/>
              <w:spacing w:after="0" w:line="240" w:lineRule="auto"/>
              <w:jc w:val="center"/>
              <w:rPr>
                <w:rFonts w:ascii="Times New Roman" w:hAnsi="Times New Roman"/>
              </w:rPr>
            </w:pPr>
            <w:r>
              <w:rPr>
                <w:rFonts w:ascii="Times New Roman" w:hAnsi="Times New Roman"/>
              </w:rPr>
              <w:t>55</w:t>
            </w:r>
          </w:p>
          <w:p w:rsidR="0065645B" w:rsidRPr="00814901" w:rsidRDefault="0065645B" w:rsidP="00576505">
            <w:pPr>
              <w:widowControl w:val="0"/>
              <w:snapToGrid w:val="0"/>
              <w:spacing w:after="0" w:line="240" w:lineRule="auto"/>
              <w:jc w:val="center"/>
              <w:rPr>
                <w:rFonts w:ascii="Times New Roman" w:hAnsi="Times New Roman"/>
              </w:rPr>
            </w:pPr>
          </w:p>
        </w:tc>
        <w:tc>
          <w:tcPr>
            <w:tcW w:w="1710" w:type="dxa"/>
            <w:tcBorders>
              <w:top w:val="single" w:sz="2" w:space="0" w:color="000000"/>
              <w:left w:val="single" w:sz="2" w:space="0" w:color="000000"/>
              <w:bottom w:val="single" w:sz="2" w:space="0" w:color="000000"/>
              <w:right w:val="single" w:sz="2" w:space="0" w:color="000000"/>
            </w:tcBorders>
          </w:tcPr>
          <w:p w:rsidR="0065645B" w:rsidRPr="00814901" w:rsidRDefault="0065645B" w:rsidP="00576505">
            <w:pPr>
              <w:widowControl w:val="0"/>
              <w:snapToGrid w:val="0"/>
              <w:spacing w:after="0" w:line="240" w:lineRule="auto"/>
              <w:jc w:val="center"/>
              <w:rPr>
                <w:rFonts w:ascii="Times New Roman" w:hAnsi="Times New Roman"/>
              </w:rPr>
            </w:pPr>
          </w:p>
          <w:p w:rsidR="0065645B" w:rsidRPr="00814901" w:rsidRDefault="0065645B" w:rsidP="00576505">
            <w:pPr>
              <w:widowControl w:val="0"/>
              <w:snapToGrid w:val="0"/>
              <w:spacing w:after="0" w:line="240" w:lineRule="auto"/>
              <w:jc w:val="center"/>
              <w:rPr>
                <w:rFonts w:ascii="Times New Roman" w:hAnsi="Times New Roman"/>
              </w:rPr>
            </w:pPr>
          </w:p>
          <w:p w:rsidR="0065645B" w:rsidRPr="00814901" w:rsidRDefault="004A0B8B" w:rsidP="00576505">
            <w:pPr>
              <w:widowControl w:val="0"/>
              <w:snapToGrid w:val="0"/>
              <w:spacing w:after="0" w:line="240" w:lineRule="auto"/>
              <w:jc w:val="center"/>
              <w:rPr>
                <w:rFonts w:ascii="Times New Roman" w:hAnsi="Times New Roman"/>
              </w:rPr>
            </w:pPr>
            <w:r w:rsidRPr="00814901">
              <w:rPr>
                <w:rFonts w:ascii="Times New Roman" w:hAnsi="Times New Roman"/>
              </w:rPr>
              <w:t>1.1</w:t>
            </w:r>
          </w:p>
        </w:tc>
        <w:tc>
          <w:tcPr>
            <w:tcW w:w="1710" w:type="dxa"/>
            <w:tcBorders>
              <w:top w:val="single" w:sz="2" w:space="0" w:color="000000"/>
              <w:left w:val="single" w:sz="2" w:space="0" w:color="000000"/>
              <w:bottom w:val="single" w:sz="2" w:space="0" w:color="000000"/>
              <w:right w:val="single" w:sz="2" w:space="0" w:color="000000"/>
            </w:tcBorders>
          </w:tcPr>
          <w:p w:rsidR="0065645B" w:rsidRPr="00814901" w:rsidRDefault="0065645B" w:rsidP="00576505">
            <w:pPr>
              <w:widowControl w:val="0"/>
              <w:snapToGrid w:val="0"/>
              <w:spacing w:after="0" w:line="240" w:lineRule="auto"/>
              <w:jc w:val="center"/>
              <w:rPr>
                <w:rFonts w:ascii="Times New Roman" w:hAnsi="Times New Roman"/>
              </w:rPr>
            </w:pPr>
          </w:p>
          <w:p w:rsidR="0065645B" w:rsidRPr="00814901" w:rsidRDefault="0065645B" w:rsidP="00576505">
            <w:pPr>
              <w:widowControl w:val="0"/>
              <w:snapToGrid w:val="0"/>
              <w:spacing w:after="0" w:line="240" w:lineRule="auto"/>
              <w:jc w:val="center"/>
              <w:rPr>
                <w:rFonts w:ascii="Times New Roman" w:hAnsi="Times New Roman"/>
              </w:rPr>
            </w:pPr>
          </w:p>
          <w:p w:rsidR="0065645B" w:rsidRPr="00814901" w:rsidRDefault="00F33599" w:rsidP="00576505">
            <w:pPr>
              <w:widowControl w:val="0"/>
              <w:snapToGrid w:val="0"/>
              <w:spacing w:after="0" w:line="240" w:lineRule="auto"/>
              <w:jc w:val="center"/>
              <w:rPr>
                <w:rFonts w:ascii="Times New Roman" w:hAnsi="Times New Roman"/>
              </w:rPr>
            </w:pPr>
            <w:r>
              <w:rPr>
                <w:rFonts w:ascii="Times New Roman" w:hAnsi="Times New Roman"/>
              </w:rPr>
              <w:t>61</w:t>
            </w:r>
          </w:p>
        </w:tc>
      </w:tr>
    </w:tbl>
    <w:p w:rsidR="0065645B" w:rsidRPr="00814901" w:rsidRDefault="0065645B" w:rsidP="0065645B">
      <w:pPr>
        <w:tabs>
          <w:tab w:val="left" w:pos="-720"/>
          <w:tab w:val="left" w:pos="0"/>
          <w:tab w:val="left" w:pos="378"/>
          <w:tab w:val="left" w:pos="1440"/>
        </w:tabs>
        <w:spacing w:after="0" w:line="240" w:lineRule="auto"/>
        <w:rPr>
          <w:rFonts w:ascii="Times New Roman" w:hAnsi="Times New Roman"/>
        </w:rPr>
      </w:pPr>
    </w:p>
    <w:p w:rsidR="002E1D08" w:rsidRPr="00814901" w:rsidRDefault="002E1D08" w:rsidP="002E1D08">
      <w:pPr>
        <w:pStyle w:val="BodyText"/>
        <w:spacing w:after="0" w:line="240" w:lineRule="auto"/>
        <w:jc w:val="center"/>
        <w:rPr>
          <w:rFonts w:ascii="Times New Roman" w:hAnsi="Times New Roman"/>
          <w:sz w:val="24"/>
          <w:szCs w:val="24"/>
        </w:rPr>
      </w:pPr>
      <w:r w:rsidRPr="00814901">
        <w:rPr>
          <w:rFonts w:ascii="Times New Roman" w:hAnsi="Times New Roman"/>
          <w:iCs/>
          <w:sz w:val="24"/>
          <w:szCs w:val="24"/>
        </w:rPr>
        <w:t>Table 2.—Estimated Annual Recordkeeping Burden</w:t>
      </w:r>
    </w:p>
    <w:tbl>
      <w:tblPr>
        <w:tblW w:w="9900" w:type="dxa"/>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4A0" w:firstRow="1" w:lastRow="0" w:firstColumn="1" w:lastColumn="0" w:noHBand="0" w:noVBand="1"/>
      </w:tblPr>
      <w:tblGrid>
        <w:gridCol w:w="1800"/>
        <w:gridCol w:w="1710"/>
        <w:gridCol w:w="1530"/>
        <w:gridCol w:w="1440"/>
        <w:gridCol w:w="1710"/>
        <w:gridCol w:w="1710"/>
      </w:tblGrid>
      <w:tr w:rsidR="002E1D08" w:rsidRPr="00814901" w:rsidTr="002E1D08">
        <w:trPr>
          <w:cantSplit/>
        </w:trPr>
        <w:tc>
          <w:tcPr>
            <w:tcW w:w="1800" w:type="dxa"/>
            <w:tcBorders>
              <w:top w:val="single" w:sz="2" w:space="0" w:color="000000"/>
              <w:left w:val="single" w:sz="2" w:space="0" w:color="000000"/>
              <w:bottom w:val="single" w:sz="2" w:space="0" w:color="000000"/>
              <w:right w:val="single" w:sz="2" w:space="0" w:color="000000"/>
            </w:tcBorders>
            <w:hideMark/>
          </w:tcPr>
          <w:p w:rsidR="002E1D08" w:rsidRPr="00814901" w:rsidRDefault="002E1D08" w:rsidP="008F3D47">
            <w:pPr>
              <w:widowControl w:val="0"/>
              <w:snapToGrid w:val="0"/>
              <w:spacing w:after="0" w:line="240" w:lineRule="auto"/>
              <w:jc w:val="center"/>
              <w:rPr>
                <w:rFonts w:ascii="Times New Roman" w:hAnsi="Times New Roman"/>
              </w:rPr>
            </w:pPr>
            <w:r w:rsidRPr="00814901">
              <w:rPr>
                <w:rFonts w:ascii="Times New Roman" w:hAnsi="Times New Roman"/>
              </w:rPr>
              <w:t>Type of Recordkeeping</w:t>
            </w:r>
          </w:p>
        </w:tc>
        <w:tc>
          <w:tcPr>
            <w:tcW w:w="1710" w:type="dxa"/>
            <w:tcBorders>
              <w:top w:val="single" w:sz="2" w:space="0" w:color="000000"/>
              <w:left w:val="single" w:sz="2" w:space="0" w:color="000000"/>
              <w:bottom w:val="single" w:sz="2" w:space="0" w:color="000000"/>
              <w:right w:val="single" w:sz="2" w:space="0" w:color="000000"/>
            </w:tcBorders>
            <w:hideMark/>
          </w:tcPr>
          <w:p w:rsidR="002E1D08" w:rsidRPr="00814901" w:rsidRDefault="002E1D08" w:rsidP="002E1D08">
            <w:pPr>
              <w:widowControl w:val="0"/>
              <w:snapToGrid w:val="0"/>
              <w:spacing w:after="0" w:line="240" w:lineRule="auto"/>
              <w:jc w:val="center"/>
              <w:rPr>
                <w:rFonts w:ascii="Times New Roman" w:hAnsi="Times New Roman"/>
              </w:rPr>
            </w:pPr>
            <w:r w:rsidRPr="00814901">
              <w:rPr>
                <w:rFonts w:ascii="Times New Roman" w:hAnsi="Times New Roman"/>
              </w:rPr>
              <w:t>Number of Recordkeepers</w:t>
            </w:r>
          </w:p>
        </w:tc>
        <w:tc>
          <w:tcPr>
            <w:tcW w:w="1530" w:type="dxa"/>
            <w:tcBorders>
              <w:top w:val="single" w:sz="2" w:space="0" w:color="000000"/>
              <w:left w:val="single" w:sz="2" w:space="0" w:color="000000"/>
              <w:bottom w:val="single" w:sz="2" w:space="0" w:color="000000"/>
              <w:right w:val="single" w:sz="2" w:space="0" w:color="000000"/>
            </w:tcBorders>
            <w:hideMark/>
          </w:tcPr>
          <w:p w:rsidR="002E1D08" w:rsidRPr="00814901" w:rsidRDefault="002E1D08" w:rsidP="002E1D08">
            <w:pPr>
              <w:widowControl w:val="0"/>
              <w:snapToGrid w:val="0"/>
              <w:spacing w:after="0" w:line="240" w:lineRule="auto"/>
              <w:jc w:val="center"/>
              <w:rPr>
                <w:rFonts w:ascii="Times New Roman" w:hAnsi="Times New Roman"/>
              </w:rPr>
            </w:pPr>
            <w:r w:rsidRPr="00814901">
              <w:rPr>
                <w:rFonts w:ascii="Times New Roman" w:hAnsi="Times New Roman"/>
              </w:rPr>
              <w:t>Number of Records per Recordkeeper</w:t>
            </w:r>
          </w:p>
        </w:tc>
        <w:tc>
          <w:tcPr>
            <w:tcW w:w="1440" w:type="dxa"/>
            <w:tcBorders>
              <w:top w:val="single" w:sz="2" w:space="0" w:color="000000"/>
              <w:left w:val="single" w:sz="2" w:space="0" w:color="000000"/>
              <w:bottom w:val="single" w:sz="2" w:space="0" w:color="000000"/>
              <w:right w:val="single" w:sz="2" w:space="0" w:color="000000"/>
            </w:tcBorders>
            <w:hideMark/>
          </w:tcPr>
          <w:p w:rsidR="002E1D08" w:rsidRPr="00814901" w:rsidRDefault="002E1D08" w:rsidP="002E1D08">
            <w:pPr>
              <w:widowControl w:val="0"/>
              <w:snapToGrid w:val="0"/>
              <w:spacing w:after="0" w:line="240" w:lineRule="auto"/>
              <w:jc w:val="center"/>
              <w:rPr>
                <w:rFonts w:ascii="Times New Roman" w:hAnsi="Times New Roman"/>
              </w:rPr>
            </w:pPr>
            <w:r w:rsidRPr="00814901">
              <w:rPr>
                <w:rFonts w:ascii="Times New Roman" w:hAnsi="Times New Roman"/>
              </w:rPr>
              <w:t>Total Annual Records</w:t>
            </w:r>
          </w:p>
        </w:tc>
        <w:tc>
          <w:tcPr>
            <w:tcW w:w="1710" w:type="dxa"/>
            <w:tcBorders>
              <w:top w:val="single" w:sz="2" w:space="0" w:color="000000"/>
              <w:left w:val="single" w:sz="2" w:space="0" w:color="000000"/>
              <w:bottom w:val="single" w:sz="2" w:space="0" w:color="000000"/>
              <w:right w:val="single" w:sz="2" w:space="0" w:color="000000"/>
            </w:tcBorders>
            <w:hideMark/>
          </w:tcPr>
          <w:p w:rsidR="002E1D08" w:rsidRPr="00814901" w:rsidRDefault="002E1D08" w:rsidP="0066561F">
            <w:pPr>
              <w:widowControl w:val="0"/>
              <w:snapToGrid w:val="0"/>
              <w:spacing w:after="0" w:line="240" w:lineRule="auto"/>
              <w:jc w:val="center"/>
              <w:rPr>
                <w:rFonts w:ascii="Times New Roman" w:hAnsi="Times New Roman"/>
              </w:rPr>
            </w:pPr>
            <w:r w:rsidRPr="00814901">
              <w:rPr>
                <w:rFonts w:ascii="Times New Roman" w:hAnsi="Times New Roman"/>
              </w:rPr>
              <w:t xml:space="preserve">Average Burden per Recordkeeping </w:t>
            </w:r>
          </w:p>
        </w:tc>
        <w:tc>
          <w:tcPr>
            <w:tcW w:w="1710" w:type="dxa"/>
            <w:tcBorders>
              <w:top w:val="single" w:sz="2" w:space="0" w:color="000000"/>
              <w:left w:val="single" w:sz="2" w:space="0" w:color="000000"/>
              <w:bottom w:val="single" w:sz="2" w:space="0" w:color="000000"/>
              <w:right w:val="single" w:sz="2" w:space="0" w:color="000000"/>
            </w:tcBorders>
            <w:hideMark/>
          </w:tcPr>
          <w:p w:rsidR="002E1D08" w:rsidRPr="00814901" w:rsidRDefault="002E1D08" w:rsidP="008F3D47">
            <w:pPr>
              <w:widowControl w:val="0"/>
              <w:snapToGrid w:val="0"/>
              <w:spacing w:after="0" w:line="240" w:lineRule="auto"/>
              <w:jc w:val="center"/>
              <w:rPr>
                <w:rFonts w:ascii="Times New Roman" w:hAnsi="Times New Roman"/>
              </w:rPr>
            </w:pPr>
            <w:r w:rsidRPr="00814901">
              <w:rPr>
                <w:rFonts w:ascii="Times New Roman" w:hAnsi="Times New Roman"/>
              </w:rPr>
              <w:t>Total Hours</w:t>
            </w:r>
          </w:p>
        </w:tc>
      </w:tr>
      <w:tr w:rsidR="002E1D08" w:rsidRPr="00814901" w:rsidTr="002E1D08">
        <w:trPr>
          <w:cantSplit/>
        </w:trPr>
        <w:tc>
          <w:tcPr>
            <w:tcW w:w="1800" w:type="dxa"/>
            <w:tcBorders>
              <w:top w:val="single" w:sz="2" w:space="0" w:color="000000"/>
              <w:left w:val="single" w:sz="2" w:space="0" w:color="000000"/>
              <w:bottom w:val="single" w:sz="2" w:space="0" w:color="000000"/>
              <w:right w:val="single" w:sz="2" w:space="0" w:color="000000"/>
            </w:tcBorders>
            <w:hideMark/>
          </w:tcPr>
          <w:p w:rsidR="002E1D08" w:rsidRPr="00814901" w:rsidRDefault="002E1D08" w:rsidP="008F3D47">
            <w:pPr>
              <w:widowControl w:val="0"/>
              <w:snapToGrid w:val="0"/>
              <w:spacing w:after="0" w:line="240" w:lineRule="auto"/>
              <w:jc w:val="center"/>
              <w:rPr>
                <w:rFonts w:ascii="Times New Roman" w:hAnsi="Times New Roman"/>
              </w:rPr>
            </w:pPr>
            <w:r w:rsidRPr="00814901">
              <w:rPr>
                <w:rFonts w:ascii="Times New Roman" w:hAnsi="Times New Roman"/>
              </w:rPr>
              <w:lastRenderedPageBreak/>
              <w:t>Records of adverse events, including records of efforts to obtain the data elements for each adverse event report</w:t>
            </w:r>
          </w:p>
        </w:tc>
        <w:tc>
          <w:tcPr>
            <w:tcW w:w="1710" w:type="dxa"/>
            <w:tcBorders>
              <w:top w:val="single" w:sz="2" w:space="0" w:color="000000"/>
              <w:left w:val="single" w:sz="2" w:space="0" w:color="000000"/>
              <w:bottom w:val="single" w:sz="2" w:space="0" w:color="000000"/>
              <w:right w:val="single" w:sz="2" w:space="0" w:color="000000"/>
            </w:tcBorders>
          </w:tcPr>
          <w:p w:rsidR="002E1D08" w:rsidRPr="00814901" w:rsidRDefault="002E1D08" w:rsidP="008F3D47">
            <w:pPr>
              <w:spacing w:after="0" w:line="240" w:lineRule="auto"/>
              <w:jc w:val="center"/>
              <w:rPr>
                <w:rFonts w:ascii="Times New Roman" w:hAnsi="Times New Roman"/>
              </w:rPr>
            </w:pPr>
          </w:p>
          <w:p w:rsidR="002E1D08" w:rsidRPr="00814901" w:rsidRDefault="002E1D08" w:rsidP="008F3D47">
            <w:pPr>
              <w:spacing w:after="0" w:line="240" w:lineRule="auto"/>
              <w:jc w:val="center"/>
              <w:rPr>
                <w:rFonts w:ascii="Times New Roman" w:hAnsi="Times New Roman"/>
              </w:rPr>
            </w:pPr>
          </w:p>
          <w:p w:rsidR="002E1D08" w:rsidRPr="00814901" w:rsidRDefault="002E1D08" w:rsidP="008F3D47">
            <w:pPr>
              <w:spacing w:after="0" w:line="240" w:lineRule="auto"/>
              <w:jc w:val="center"/>
              <w:rPr>
                <w:rFonts w:ascii="Times New Roman" w:hAnsi="Times New Roman"/>
              </w:rPr>
            </w:pPr>
            <w:r w:rsidRPr="00814901">
              <w:rPr>
                <w:rFonts w:ascii="Times New Roman" w:hAnsi="Times New Roman"/>
              </w:rPr>
              <w:t>5</w:t>
            </w:r>
            <w:r w:rsidR="00271A8C" w:rsidRPr="00814901">
              <w:rPr>
                <w:rFonts w:ascii="Times New Roman" w:hAnsi="Times New Roman"/>
              </w:rPr>
              <w:t>5</w:t>
            </w:r>
          </w:p>
        </w:tc>
        <w:tc>
          <w:tcPr>
            <w:tcW w:w="1530" w:type="dxa"/>
            <w:tcBorders>
              <w:top w:val="single" w:sz="2" w:space="0" w:color="000000"/>
              <w:left w:val="single" w:sz="2" w:space="0" w:color="000000"/>
              <w:bottom w:val="single" w:sz="2" w:space="0" w:color="000000"/>
              <w:right w:val="single" w:sz="2" w:space="0" w:color="000000"/>
            </w:tcBorders>
          </w:tcPr>
          <w:p w:rsidR="002E1D08" w:rsidRPr="00814901" w:rsidRDefault="002E1D08" w:rsidP="008F3D47">
            <w:pPr>
              <w:widowControl w:val="0"/>
              <w:snapToGrid w:val="0"/>
              <w:spacing w:after="0" w:line="240" w:lineRule="auto"/>
              <w:jc w:val="center"/>
              <w:rPr>
                <w:rFonts w:ascii="Times New Roman" w:hAnsi="Times New Roman"/>
              </w:rPr>
            </w:pPr>
          </w:p>
          <w:p w:rsidR="002E1D08" w:rsidRPr="00814901" w:rsidRDefault="002E1D08" w:rsidP="008F3D47">
            <w:pPr>
              <w:widowControl w:val="0"/>
              <w:snapToGrid w:val="0"/>
              <w:spacing w:after="0" w:line="240" w:lineRule="auto"/>
              <w:jc w:val="center"/>
              <w:rPr>
                <w:rFonts w:ascii="Times New Roman" w:hAnsi="Times New Roman"/>
              </w:rPr>
            </w:pPr>
          </w:p>
          <w:p w:rsidR="002E1D08" w:rsidRPr="00814901" w:rsidRDefault="002E1D08" w:rsidP="008F3D47">
            <w:pPr>
              <w:widowControl w:val="0"/>
              <w:snapToGrid w:val="0"/>
              <w:spacing w:after="0" w:line="240" w:lineRule="auto"/>
              <w:jc w:val="center"/>
              <w:rPr>
                <w:rFonts w:ascii="Times New Roman" w:hAnsi="Times New Roman"/>
              </w:rPr>
            </w:pPr>
            <w:r w:rsidRPr="00814901">
              <w:rPr>
                <w:rFonts w:ascii="Times New Roman" w:hAnsi="Times New Roman"/>
              </w:rPr>
              <w:t>1</w:t>
            </w:r>
          </w:p>
          <w:p w:rsidR="002E1D08" w:rsidRPr="00814901" w:rsidRDefault="002E1D08" w:rsidP="008F3D47">
            <w:pPr>
              <w:widowControl w:val="0"/>
              <w:snapToGrid w:val="0"/>
              <w:spacing w:after="0" w:line="240" w:lineRule="auto"/>
              <w:jc w:val="center"/>
              <w:rPr>
                <w:rFonts w:ascii="Times New Roman" w:hAnsi="Times New Roman"/>
              </w:rPr>
            </w:pPr>
          </w:p>
          <w:p w:rsidR="002E1D08" w:rsidRPr="00814901" w:rsidRDefault="002E1D08" w:rsidP="008F3D47">
            <w:pPr>
              <w:widowControl w:val="0"/>
              <w:snapToGrid w:val="0"/>
              <w:spacing w:after="0" w:line="240" w:lineRule="auto"/>
              <w:rPr>
                <w:rFonts w:ascii="Times New Roman" w:hAnsi="Times New Roman"/>
              </w:rPr>
            </w:pPr>
          </w:p>
        </w:tc>
        <w:tc>
          <w:tcPr>
            <w:tcW w:w="1440" w:type="dxa"/>
            <w:tcBorders>
              <w:top w:val="single" w:sz="2" w:space="0" w:color="000000"/>
              <w:left w:val="single" w:sz="2" w:space="0" w:color="000000"/>
              <w:bottom w:val="single" w:sz="2" w:space="0" w:color="000000"/>
              <w:right w:val="single" w:sz="2" w:space="0" w:color="000000"/>
            </w:tcBorders>
          </w:tcPr>
          <w:p w:rsidR="002E1D08" w:rsidRPr="00814901" w:rsidRDefault="002E1D08" w:rsidP="008F3D47">
            <w:pPr>
              <w:widowControl w:val="0"/>
              <w:snapToGrid w:val="0"/>
              <w:spacing w:after="0" w:line="240" w:lineRule="auto"/>
              <w:jc w:val="center"/>
              <w:rPr>
                <w:rFonts w:ascii="Times New Roman" w:hAnsi="Times New Roman"/>
              </w:rPr>
            </w:pPr>
          </w:p>
          <w:p w:rsidR="002E1D08" w:rsidRPr="00814901" w:rsidRDefault="002E1D08" w:rsidP="008F3D47">
            <w:pPr>
              <w:widowControl w:val="0"/>
              <w:snapToGrid w:val="0"/>
              <w:spacing w:after="0" w:line="240" w:lineRule="auto"/>
              <w:jc w:val="center"/>
              <w:rPr>
                <w:rFonts w:ascii="Times New Roman" w:hAnsi="Times New Roman"/>
              </w:rPr>
            </w:pPr>
          </w:p>
          <w:p w:rsidR="002E1D08" w:rsidRPr="00814901" w:rsidRDefault="002E1D08" w:rsidP="008F3D47">
            <w:pPr>
              <w:widowControl w:val="0"/>
              <w:snapToGrid w:val="0"/>
              <w:spacing w:after="0" w:line="240" w:lineRule="auto"/>
              <w:jc w:val="center"/>
              <w:rPr>
                <w:rFonts w:ascii="Times New Roman" w:hAnsi="Times New Roman"/>
              </w:rPr>
            </w:pPr>
            <w:r w:rsidRPr="00814901">
              <w:rPr>
                <w:rFonts w:ascii="Times New Roman" w:hAnsi="Times New Roman"/>
              </w:rPr>
              <w:t>5</w:t>
            </w:r>
            <w:r w:rsidR="00271A8C" w:rsidRPr="00814901">
              <w:rPr>
                <w:rFonts w:ascii="Times New Roman" w:hAnsi="Times New Roman"/>
              </w:rPr>
              <w:t>5</w:t>
            </w:r>
          </w:p>
          <w:p w:rsidR="002E1D08" w:rsidRPr="00814901" w:rsidRDefault="002E1D08" w:rsidP="008F3D47">
            <w:pPr>
              <w:widowControl w:val="0"/>
              <w:snapToGrid w:val="0"/>
              <w:spacing w:after="0" w:line="240" w:lineRule="auto"/>
              <w:jc w:val="center"/>
              <w:rPr>
                <w:rFonts w:ascii="Times New Roman" w:hAnsi="Times New Roman"/>
              </w:rPr>
            </w:pPr>
          </w:p>
        </w:tc>
        <w:tc>
          <w:tcPr>
            <w:tcW w:w="1710" w:type="dxa"/>
            <w:tcBorders>
              <w:top w:val="single" w:sz="2" w:space="0" w:color="000000"/>
              <w:left w:val="single" w:sz="2" w:space="0" w:color="000000"/>
              <w:bottom w:val="single" w:sz="2" w:space="0" w:color="000000"/>
              <w:right w:val="single" w:sz="2" w:space="0" w:color="000000"/>
            </w:tcBorders>
          </w:tcPr>
          <w:p w:rsidR="002E1D08" w:rsidRPr="00814901" w:rsidRDefault="002E1D08" w:rsidP="008F3D47">
            <w:pPr>
              <w:widowControl w:val="0"/>
              <w:snapToGrid w:val="0"/>
              <w:spacing w:after="0" w:line="240" w:lineRule="auto"/>
              <w:jc w:val="center"/>
              <w:rPr>
                <w:rFonts w:ascii="Times New Roman" w:hAnsi="Times New Roman"/>
              </w:rPr>
            </w:pPr>
          </w:p>
          <w:p w:rsidR="002E1D08" w:rsidRPr="00814901" w:rsidRDefault="002E1D08" w:rsidP="008F3D47">
            <w:pPr>
              <w:widowControl w:val="0"/>
              <w:snapToGrid w:val="0"/>
              <w:spacing w:after="0" w:line="240" w:lineRule="auto"/>
              <w:jc w:val="center"/>
              <w:rPr>
                <w:rFonts w:ascii="Times New Roman" w:hAnsi="Times New Roman"/>
              </w:rPr>
            </w:pPr>
          </w:p>
          <w:p w:rsidR="002E1D08" w:rsidRPr="00814901" w:rsidRDefault="002E1D08" w:rsidP="008F3D47">
            <w:pPr>
              <w:widowControl w:val="0"/>
              <w:snapToGrid w:val="0"/>
              <w:spacing w:after="0" w:line="240" w:lineRule="auto"/>
              <w:jc w:val="center"/>
              <w:rPr>
                <w:rFonts w:ascii="Times New Roman" w:hAnsi="Times New Roman"/>
              </w:rPr>
            </w:pPr>
            <w:r w:rsidRPr="00814901">
              <w:rPr>
                <w:rFonts w:ascii="Times New Roman" w:hAnsi="Times New Roman"/>
              </w:rPr>
              <w:t>16</w:t>
            </w:r>
          </w:p>
        </w:tc>
        <w:tc>
          <w:tcPr>
            <w:tcW w:w="1710" w:type="dxa"/>
            <w:tcBorders>
              <w:top w:val="single" w:sz="2" w:space="0" w:color="000000"/>
              <w:left w:val="single" w:sz="2" w:space="0" w:color="000000"/>
              <w:bottom w:val="single" w:sz="2" w:space="0" w:color="000000"/>
              <w:right w:val="single" w:sz="2" w:space="0" w:color="000000"/>
            </w:tcBorders>
          </w:tcPr>
          <w:p w:rsidR="002E1D08" w:rsidRPr="00814901" w:rsidRDefault="002E1D08" w:rsidP="008F3D47">
            <w:pPr>
              <w:widowControl w:val="0"/>
              <w:snapToGrid w:val="0"/>
              <w:spacing w:after="0" w:line="240" w:lineRule="auto"/>
              <w:jc w:val="center"/>
              <w:rPr>
                <w:rFonts w:ascii="Times New Roman" w:hAnsi="Times New Roman"/>
              </w:rPr>
            </w:pPr>
          </w:p>
          <w:p w:rsidR="002E1D08" w:rsidRPr="00814901" w:rsidRDefault="002E1D08" w:rsidP="008F3D47">
            <w:pPr>
              <w:widowControl w:val="0"/>
              <w:snapToGrid w:val="0"/>
              <w:spacing w:after="0" w:line="240" w:lineRule="auto"/>
              <w:jc w:val="center"/>
              <w:rPr>
                <w:rFonts w:ascii="Times New Roman" w:hAnsi="Times New Roman"/>
              </w:rPr>
            </w:pPr>
          </w:p>
          <w:p w:rsidR="002E1D08" w:rsidRPr="00814901" w:rsidRDefault="002E1D08" w:rsidP="008F3D47">
            <w:pPr>
              <w:widowControl w:val="0"/>
              <w:snapToGrid w:val="0"/>
              <w:spacing w:after="0" w:line="240" w:lineRule="auto"/>
              <w:jc w:val="center"/>
              <w:rPr>
                <w:rFonts w:ascii="Times New Roman" w:hAnsi="Times New Roman"/>
              </w:rPr>
            </w:pPr>
            <w:r w:rsidRPr="00814901">
              <w:rPr>
                <w:rFonts w:ascii="Times New Roman" w:hAnsi="Times New Roman"/>
              </w:rPr>
              <w:t>8</w:t>
            </w:r>
            <w:r w:rsidR="00271A8C" w:rsidRPr="00814901">
              <w:rPr>
                <w:rFonts w:ascii="Times New Roman" w:hAnsi="Times New Roman"/>
              </w:rPr>
              <w:t>8</w:t>
            </w:r>
            <w:r w:rsidRPr="00814901">
              <w:rPr>
                <w:rFonts w:ascii="Times New Roman" w:hAnsi="Times New Roman"/>
              </w:rPr>
              <w:t>0</w:t>
            </w:r>
          </w:p>
        </w:tc>
      </w:tr>
    </w:tbl>
    <w:p w:rsidR="006F2F02" w:rsidRPr="00814901" w:rsidRDefault="006F2F02" w:rsidP="006F2F02"/>
    <w:p w:rsidR="00013295" w:rsidRPr="00814901" w:rsidRDefault="00013295" w:rsidP="007E5563">
      <w:pPr>
        <w:spacing w:after="0" w:line="480" w:lineRule="auto"/>
        <w:rPr>
          <w:rFonts w:ascii="Times New Roman" w:hAnsi="Times New Roman"/>
          <w:sz w:val="24"/>
          <w:szCs w:val="24"/>
        </w:rPr>
      </w:pPr>
      <w:r w:rsidRPr="00814901">
        <w:rPr>
          <w:rFonts w:ascii="Times New Roman" w:hAnsi="Times New Roman"/>
          <w:sz w:val="24"/>
          <w:szCs w:val="24"/>
        </w:rPr>
        <w:t>12b.</w:t>
      </w:r>
      <w:r w:rsidRPr="00814901">
        <w:rPr>
          <w:rFonts w:ascii="Times New Roman" w:hAnsi="Times New Roman"/>
          <w:sz w:val="24"/>
          <w:szCs w:val="24"/>
        </w:rPr>
        <w:tab/>
      </w:r>
      <w:r w:rsidRPr="00814901">
        <w:rPr>
          <w:rFonts w:ascii="Times New Roman" w:hAnsi="Times New Roman"/>
          <w:sz w:val="24"/>
          <w:szCs w:val="24"/>
          <w:u w:val="single"/>
        </w:rPr>
        <w:t>Annualized Cost Burden Estimate</w:t>
      </w:r>
    </w:p>
    <w:p w:rsidR="00013295" w:rsidRPr="00814901" w:rsidRDefault="00013295" w:rsidP="00CD4C02">
      <w:pPr>
        <w:tabs>
          <w:tab w:val="left" w:pos="-720"/>
          <w:tab w:val="left" w:pos="0"/>
          <w:tab w:val="left" w:pos="378"/>
          <w:tab w:val="left" w:pos="1440"/>
        </w:tabs>
        <w:spacing w:after="0" w:line="480" w:lineRule="auto"/>
        <w:rPr>
          <w:rFonts w:ascii="Times New Roman" w:hAnsi="Times New Roman"/>
          <w:sz w:val="24"/>
          <w:szCs w:val="24"/>
        </w:rPr>
      </w:pPr>
      <w:r w:rsidRPr="00814901">
        <w:rPr>
          <w:rFonts w:ascii="Times New Roman" w:hAnsi="Times New Roman"/>
          <w:sz w:val="24"/>
          <w:szCs w:val="24"/>
        </w:rPr>
        <w:tab/>
        <w:t xml:space="preserve">The industry burden estimate calculated above would result in labor costs. </w:t>
      </w:r>
      <w:r w:rsidR="00CD4C02" w:rsidRPr="00814901">
        <w:rPr>
          <w:rFonts w:ascii="Times New Roman" w:hAnsi="Times New Roman"/>
          <w:sz w:val="24"/>
          <w:szCs w:val="24"/>
        </w:rPr>
        <w:t xml:space="preserve"> FDA OPL</w:t>
      </w:r>
      <w:r w:rsidR="00A45D7C" w:rsidRPr="00814901">
        <w:rPr>
          <w:rFonts w:ascii="Times New Roman" w:hAnsi="Times New Roman"/>
          <w:sz w:val="24"/>
          <w:szCs w:val="24"/>
        </w:rPr>
        <w:t>A</w:t>
      </w:r>
      <w:r w:rsidR="00CD4C02" w:rsidRPr="00814901">
        <w:rPr>
          <w:rFonts w:ascii="Times New Roman" w:hAnsi="Times New Roman"/>
          <w:sz w:val="24"/>
          <w:szCs w:val="24"/>
        </w:rPr>
        <w:t xml:space="preserve">’s Economics Staff estimates that </w:t>
      </w:r>
      <w:r w:rsidR="002E1D08" w:rsidRPr="00814901">
        <w:rPr>
          <w:rFonts w:ascii="Times New Roman" w:hAnsi="Times New Roman"/>
          <w:sz w:val="24"/>
          <w:szCs w:val="24"/>
        </w:rPr>
        <w:t>adverse events</w:t>
      </w:r>
      <w:r w:rsidR="00CD4C02" w:rsidRPr="00814901">
        <w:rPr>
          <w:rFonts w:ascii="Times New Roman" w:hAnsi="Times New Roman"/>
          <w:sz w:val="24"/>
          <w:szCs w:val="24"/>
        </w:rPr>
        <w:t xml:space="preserve"> are generally submitted </w:t>
      </w:r>
      <w:r w:rsidR="002E1D08" w:rsidRPr="00814901">
        <w:rPr>
          <w:rFonts w:ascii="Times New Roman" w:hAnsi="Times New Roman"/>
          <w:sz w:val="24"/>
          <w:szCs w:val="24"/>
        </w:rPr>
        <w:t xml:space="preserve">and records are maintained </w:t>
      </w:r>
      <w:r w:rsidR="00CD4C02" w:rsidRPr="00814901">
        <w:rPr>
          <w:rFonts w:ascii="Times New Roman" w:hAnsi="Times New Roman"/>
          <w:sz w:val="24"/>
          <w:szCs w:val="24"/>
        </w:rPr>
        <w:t xml:space="preserve">by a regulatory affairs manager, and that labor hours are valued using the mean hourly wage of $63.89 as reported by the U.S. </w:t>
      </w:r>
      <w:r w:rsidR="00BB66FD" w:rsidRPr="00814901">
        <w:rPr>
          <w:rFonts w:ascii="Times New Roman" w:hAnsi="Times New Roman"/>
          <w:sz w:val="24"/>
          <w:szCs w:val="24"/>
        </w:rPr>
        <w:t>Department of Labor, Bureau of Labor Statistics,</w:t>
      </w:r>
      <w:r w:rsidR="00CD4C02" w:rsidRPr="00814901">
        <w:rPr>
          <w:rFonts w:ascii="Times New Roman" w:hAnsi="Times New Roman"/>
          <w:sz w:val="24"/>
          <w:szCs w:val="24"/>
        </w:rPr>
        <w:t xml:space="preserve"> 2013 Employment Occupational Statistics for Management Occupations (SOC 11-0000) in Pharmaceutical and Medicine Manufacturing (North American Industry Notification, NAICS, code 325400).  Wages are further adjusted for benefits and overhead, for an average hourly labor cost of $127.78 ($63.89 x 2).  </w:t>
      </w:r>
      <w:r w:rsidRPr="00814901">
        <w:rPr>
          <w:rFonts w:ascii="Times New Roman" w:hAnsi="Times New Roman"/>
          <w:sz w:val="24"/>
          <w:szCs w:val="24"/>
        </w:rPr>
        <w:t xml:space="preserve">Using </w:t>
      </w:r>
      <w:r w:rsidR="00CD4C02" w:rsidRPr="00814901">
        <w:rPr>
          <w:rFonts w:ascii="Times New Roman" w:hAnsi="Times New Roman"/>
          <w:sz w:val="24"/>
          <w:szCs w:val="24"/>
        </w:rPr>
        <w:t>this</w:t>
      </w:r>
      <w:r w:rsidRPr="00814901">
        <w:rPr>
          <w:rFonts w:ascii="Times New Roman" w:hAnsi="Times New Roman"/>
          <w:sz w:val="24"/>
          <w:szCs w:val="24"/>
        </w:rPr>
        <w:t xml:space="preserve"> wage rate times </w:t>
      </w:r>
      <w:r w:rsidR="00314865">
        <w:rPr>
          <w:rFonts w:ascii="Times New Roman" w:hAnsi="Times New Roman"/>
          <w:sz w:val="24"/>
          <w:szCs w:val="24"/>
        </w:rPr>
        <w:t>60.5</w:t>
      </w:r>
      <w:r w:rsidR="00CD4C02" w:rsidRPr="00814901">
        <w:rPr>
          <w:rFonts w:ascii="Times New Roman" w:hAnsi="Times New Roman"/>
          <w:sz w:val="24"/>
          <w:szCs w:val="24"/>
        </w:rPr>
        <w:t xml:space="preserve"> hours calculated above for this </w:t>
      </w:r>
      <w:r w:rsidRPr="00814901">
        <w:rPr>
          <w:rFonts w:ascii="Times New Roman" w:hAnsi="Times New Roman"/>
          <w:sz w:val="24"/>
          <w:szCs w:val="24"/>
        </w:rPr>
        <w:t>information collection</w:t>
      </w:r>
      <w:r w:rsidR="002E1D08" w:rsidRPr="00814901">
        <w:rPr>
          <w:rFonts w:ascii="Times New Roman" w:hAnsi="Times New Roman"/>
          <w:sz w:val="24"/>
          <w:szCs w:val="24"/>
        </w:rPr>
        <w:t xml:space="preserve"> and 8</w:t>
      </w:r>
      <w:r w:rsidR="002B1235" w:rsidRPr="00814901">
        <w:rPr>
          <w:rFonts w:ascii="Times New Roman" w:hAnsi="Times New Roman"/>
          <w:sz w:val="24"/>
          <w:szCs w:val="24"/>
        </w:rPr>
        <w:t>8</w:t>
      </w:r>
      <w:r w:rsidR="002E1D08" w:rsidRPr="00814901">
        <w:rPr>
          <w:rFonts w:ascii="Times New Roman" w:hAnsi="Times New Roman"/>
          <w:sz w:val="24"/>
          <w:szCs w:val="24"/>
        </w:rPr>
        <w:t>0 hours for recordkeeping</w:t>
      </w:r>
      <w:r w:rsidR="00CD4C02" w:rsidRPr="00814901">
        <w:rPr>
          <w:rFonts w:ascii="Times New Roman" w:hAnsi="Times New Roman"/>
          <w:sz w:val="24"/>
          <w:szCs w:val="24"/>
        </w:rPr>
        <w:t xml:space="preserve">, </w:t>
      </w:r>
      <w:r w:rsidRPr="00814901">
        <w:rPr>
          <w:rFonts w:ascii="Times New Roman" w:hAnsi="Times New Roman"/>
          <w:sz w:val="24"/>
          <w:szCs w:val="24"/>
        </w:rPr>
        <w:t xml:space="preserve">equals </w:t>
      </w:r>
      <w:r w:rsidR="00CD4C02" w:rsidRPr="00814901">
        <w:rPr>
          <w:rFonts w:ascii="Times New Roman" w:hAnsi="Times New Roman"/>
          <w:sz w:val="24"/>
          <w:szCs w:val="24"/>
        </w:rPr>
        <w:t xml:space="preserve">approximately </w:t>
      </w:r>
      <w:r w:rsidRPr="00814901">
        <w:rPr>
          <w:rFonts w:ascii="Times New Roman" w:hAnsi="Times New Roman"/>
          <w:sz w:val="24"/>
          <w:szCs w:val="24"/>
        </w:rPr>
        <w:t>$</w:t>
      </w:r>
      <w:r w:rsidR="00271A8C" w:rsidRPr="00814901">
        <w:rPr>
          <w:rFonts w:ascii="Times New Roman" w:hAnsi="Times New Roman"/>
          <w:sz w:val="24"/>
          <w:szCs w:val="24"/>
        </w:rPr>
        <w:t>12</w:t>
      </w:r>
      <w:r w:rsidR="00314865">
        <w:rPr>
          <w:rFonts w:ascii="Times New Roman" w:hAnsi="Times New Roman"/>
          <w:sz w:val="24"/>
          <w:szCs w:val="24"/>
        </w:rPr>
        <w:t>0</w:t>
      </w:r>
      <w:r w:rsidR="00271A8C" w:rsidRPr="00814901">
        <w:rPr>
          <w:rFonts w:ascii="Times New Roman" w:hAnsi="Times New Roman"/>
          <w:sz w:val="24"/>
          <w:szCs w:val="24"/>
        </w:rPr>
        <w:t>,</w:t>
      </w:r>
      <w:r w:rsidR="00314865">
        <w:rPr>
          <w:rFonts w:ascii="Times New Roman" w:hAnsi="Times New Roman"/>
          <w:sz w:val="24"/>
          <w:szCs w:val="24"/>
        </w:rPr>
        <w:t>177.09</w:t>
      </w:r>
      <w:r w:rsidRPr="00814901">
        <w:rPr>
          <w:rFonts w:ascii="Times New Roman" w:hAnsi="Times New Roman"/>
          <w:sz w:val="24"/>
          <w:szCs w:val="24"/>
        </w:rPr>
        <w:t xml:space="preserve"> in labor costs.</w:t>
      </w:r>
    </w:p>
    <w:p w:rsidR="00013295" w:rsidRPr="00814901" w:rsidRDefault="00013295" w:rsidP="007E5563">
      <w:pPr>
        <w:tabs>
          <w:tab w:val="left" w:pos="-720"/>
          <w:tab w:val="left" w:pos="0"/>
          <w:tab w:val="left" w:pos="378"/>
          <w:tab w:val="left" w:pos="1440"/>
        </w:tabs>
        <w:spacing w:after="0" w:line="480" w:lineRule="auto"/>
        <w:rPr>
          <w:rFonts w:ascii="Times New Roman" w:hAnsi="Times New Roman"/>
          <w:sz w:val="24"/>
          <w:szCs w:val="24"/>
        </w:rPr>
      </w:pPr>
    </w:p>
    <w:p w:rsidR="00013295" w:rsidRPr="00814901" w:rsidRDefault="00013295" w:rsidP="007E5563">
      <w:pPr>
        <w:tabs>
          <w:tab w:val="left" w:pos="-720"/>
          <w:tab w:val="left" w:pos="0"/>
          <w:tab w:val="left" w:pos="378"/>
          <w:tab w:val="left" w:pos="1440"/>
        </w:tabs>
        <w:spacing w:after="0" w:line="480" w:lineRule="auto"/>
        <w:rPr>
          <w:rFonts w:ascii="Times New Roman" w:hAnsi="Times New Roman"/>
          <w:sz w:val="24"/>
          <w:szCs w:val="24"/>
        </w:rPr>
      </w:pPr>
      <w:r w:rsidRPr="00814901">
        <w:rPr>
          <w:rFonts w:ascii="Times New Roman" w:hAnsi="Times New Roman"/>
          <w:sz w:val="24"/>
          <w:szCs w:val="24"/>
        </w:rPr>
        <w:t xml:space="preserve">13.  </w:t>
      </w:r>
      <w:r w:rsidRPr="00814901">
        <w:rPr>
          <w:rFonts w:ascii="Times New Roman" w:hAnsi="Times New Roman"/>
          <w:sz w:val="24"/>
          <w:szCs w:val="24"/>
          <w:u w:val="single"/>
        </w:rPr>
        <w:t>Estimates of Other Total Annual Cost Burden to Respondents and/or Recordkeepers/Capital Costs</w:t>
      </w:r>
    </w:p>
    <w:p w:rsidR="00013295" w:rsidRPr="00814901" w:rsidRDefault="00013295" w:rsidP="007E5563">
      <w:pPr>
        <w:tabs>
          <w:tab w:val="left" w:pos="-720"/>
          <w:tab w:val="left" w:pos="0"/>
          <w:tab w:val="left" w:pos="378"/>
          <w:tab w:val="left" w:pos="1440"/>
        </w:tabs>
        <w:spacing w:after="0" w:line="480" w:lineRule="auto"/>
        <w:rPr>
          <w:rFonts w:ascii="Times New Roman" w:hAnsi="Times New Roman"/>
          <w:sz w:val="24"/>
          <w:szCs w:val="24"/>
        </w:rPr>
      </w:pPr>
      <w:r w:rsidRPr="00814901">
        <w:rPr>
          <w:rFonts w:ascii="Times New Roman" w:hAnsi="Times New Roman"/>
          <w:sz w:val="24"/>
          <w:szCs w:val="24"/>
        </w:rPr>
        <w:tab/>
        <w:t xml:space="preserve">There are no </w:t>
      </w:r>
      <w:r w:rsidR="00BB66FD" w:rsidRPr="00814901">
        <w:rPr>
          <w:rFonts w:ascii="Times New Roman" w:hAnsi="Times New Roman"/>
          <w:sz w:val="24"/>
          <w:szCs w:val="24"/>
        </w:rPr>
        <w:t>capital, start-up, operating, or mainten</w:t>
      </w:r>
      <w:r w:rsidRPr="00814901">
        <w:rPr>
          <w:rFonts w:ascii="Times New Roman" w:hAnsi="Times New Roman"/>
          <w:sz w:val="24"/>
          <w:szCs w:val="24"/>
        </w:rPr>
        <w:t>ance costs</w:t>
      </w:r>
      <w:r w:rsidR="00BB66FD" w:rsidRPr="00814901">
        <w:rPr>
          <w:rFonts w:ascii="Times New Roman" w:hAnsi="Times New Roman"/>
          <w:sz w:val="24"/>
          <w:szCs w:val="24"/>
        </w:rPr>
        <w:t xml:space="preserve"> associated with this </w:t>
      </w:r>
      <w:r w:rsidRPr="00814901">
        <w:rPr>
          <w:rFonts w:ascii="Times New Roman" w:hAnsi="Times New Roman"/>
          <w:sz w:val="24"/>
          <w:szCs w:val="24"/>
        </w:rPr>
        <w:t>information collection.</w:t>
      </w:r>
    </w:p>
    <w:p w:rsidR="00013295" w:rsidRPr="00814901" w:rsidRDefault="00013295" w:rsidP="007E5563">
      <w:pPr>
        <w:tabs>
          <w:tab w:val="left" w:pos="-720"/>
          <w:tab w:val="left" w:pos="0"/>
          <w:tab w:val="left" w:pos="378"/>
          <w:tab w:val="left" w:pos="1440"/>
        </w:tabs>
        <w:spacing w:after="0" w:line="480" w:lineRule="auto"/>
        <w:rPr>
          <w:rFonts w:ascii="Times New Roman" w:hAnsi="Times New Roman"/>
          <w:sz w:val="24"/>
          <w:szCs w:val="24"/>
        </w:rPr>
      </w:pPr>
    </w:p>
    <w:p w:rsidR="00013295" w:rsidRPr="00814901" w:rsidRDefault="00013295" w:rsidP="00C919DB">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 xml:space="preserve">14. </w:t>
      </w:r>
      <w:r w:rsidRPr="00814901">
        <w:rPr>
          <w:rFonts w:ascii="Times New Roman" w:hAnsi="Times New Roman"/>
          <w:sz w:val="24"/>
          <w:szCs w:val="24"/>
          <w:u w:val="single"/>
        </w:rPr>
        <w:t>Annualized Cost to the Federal Government</w:t>
      </w:r>
    </w:p>
    <w:p w:rsidR="008A06E0" w:rsidRPr="00814901" w:rsidRDefault="00C919DB" w:rsidP="008A06E0">
      <w:pPr>
        <w:spacing w:after="0" w:line="480" w:lineRule="auto"/>
        <w:ind w:firstLine="720"/>
        <w:rPr>
          <w:rFonts w:ascii="Times New Roman" w:hAnsi="Times New Roman"/>
          <w:sz w:val="24"/>
          <w:szCs w:val="24"/>
        </w:rPr>
      </w:pPr>
      <w:r w:rsidRPr="00814901">
        <w:rPr>
          <w:rFonts w:ascii="Times New Roman" w:hAnsi="Times New Roman"/>
          <w:sz w:val="24"/>
          <w:szCs w:val="24"/>
        </w:rPr>
        <w:lastRenderedPageBreak/>
        <w:t xml:space="preserve">We estimate approximately </w:t>
      </w:r>
      <w:r w:rsidR="0029567D" w:rsidRPr="00814901">
        <w:rPr>
          <w:rFonts w:ascii="Times New Roman" w:hAnsi="Times New Roman"/>
          <w:sz w:val="24"/>
          <w:szCs w:val="24"/>
        </w:rPr>
        <w:t>1.0</w:t>
      </w:r>
      <w:r w:rsidRPr="00814901">
        <w:rPr>
          <w:rFonts w:ascii="Times New Roman" w:hAnsi="Times New Roman"/>
          <w:sz w:val="24"/>
          <w:szCs w:val="24"/>
        </w:rPr>
        <w:t xml:space="preserve"> FTE </w:t>
      </w:r>
      <w:r w:rsidR="00CA1D8B" w:rsidRPr="00814901">
        <w:rPr>
          <w:rFonts w:ascii="Times New Roman" w:hAnsi="Times New Roman"/>
          <w:sz w:val="24"/>
          <w:szCs w:val="24"/>
        </w:rPr>
        <w:t>($275,0</w:t>
      </w:r>
      <w:r w:rsidRPr="00814901">
        <w:rPr>
          <w:rFonts w:ascii="Times New Roman" w:hAnsi="Times New Roman"/>
          <w:sz w:val="24"/>
          <w:szCs w:val="24"/>
        </w:rPr>
        <w:t xml:space="preserve">00) to </w:t>
      </w:r>
      <w:r w:rsidR="0029567D" w:rsidRPr="00814901">
        <w:rPr>
          <w:rFonts w:ascii="Times New Roman" w:hAnsi="Times New Roman"/>
          <w:sz w:val="24"/>
          <w:szCs w:val="24"/>
        </w:rPr>
        <w:t xml:space="preserve">receive adverse event reports submitted by outsourcing facilities and conduct an initial evaluation of </w:t>
      </w:r>
      <w:r w:rsidR="00CA1D8B" w:rsidRPr="00814901">
        <w:rPr>
          <w:rFonts w:ascii="Times New Roman" w:hAnsi="Times New Roman"/>
          <w:sz w:val="24"/>
          <w:szCs w:val="24"/>
        </w:rPr>
        <w:t xml:space="preserve">the </w:t>
      </w:r>
      <w:r w:rsidR="0029567D" w:rsidRPr="00814901">
        <w:rPr>
          <w:rFonts w:ascii="Times New Roman" w:hAnsi="Times New Roman"/>
          <w:sz w:val="24"/>
          <w:szCs w:val="24"/>
        </w:rPr>
        <w:t xml:space="preserve">reports.  </w:t>
      </w:r>
    </w:p>
    <w:p w:rsidR="00013295" w:rsidRPr="00814901" w:rsidRDefault="00013295" w:rsidP="008A06E0">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 xml:space="preserve">15. </w:t>
      </w:r>
      <w:r w:rsidRPr="00814901">
        <w:rPr>
          <w:rFonts w:ascii="Times New Roman" w:hAnsi="Times New Roman"/>
          <w:sz w:val="24"/>
          <w:szCs w:val="24"/>
          <w:u w:val="single"/>
        </w:rPr>
        <w:t>Explanation for Program Changes or Adjustments</w:t>
      </w:r>
    </w:p>
    <w:p w:rsidR="008A06E0" w:rsidRPr="00814901" w:rsidRDefault="008A06E0" w:rsidP="008A06E0">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ab/>
      </w:r>
      <w:r w:rsidR="00147053" w:rsidRPr="00814901">
        <w:rPr>
          <w:rFonts w:ascii="Times New Roman" w:hAnsi="Times New Roman"/>
          <w:sz w:val="24"/>
          <w:szCs w:val="24"/>
        </w:rPr>
        <w:tab/>
      </w:r>
      <w:r w:rsidRPr="00814901">
        <w:rPr>
          <w:rFonts w:ascii="Times New Roman" w:hAnsi="Times New Roman"/>
          <w:sz w:val="24"/>
          <w:szCs w:val="24"/>
        </w:rPr>
        <w:t xml:space="preserve">This is a new </w:t>
      </w:r>
      <w:r w:rsidR="002243C0" w:rsidRPr="00814901">
        <w:rPr>
          <w:rFonts w:ascii="Times New Roman" w:hAnsi="Times New Roman"/>
          <w:sz w:val="24"/>
          <w:szCs w:val="24"/>
        </w:rPr>
        <w:t xml:space="preserve">data </w:t>
      </w:r>
      <w:r w:rsidRPr="00814901">
        <w:rPr>
          <w:rFonts w:ascii="Times New Roman" w:hAnsi="Times New Roman"/>
          <w:sz w:val="24"/>
          <w:szCs w:val="24"/>
        </w:rPr>
        <w:t>collection.</w:t>
      </w:r>
    </w:p>
    <w:p w:rsidR="008A06E0" w:rsidRPr="00814901" w:rsidRDefault="008A06E0" w:rsidP="008A06E0">
      <w:pPr>
        <w:tabs>
          <w:tab w:val="left" w:pos="-720"/>
          <w:tab w:val="left" w:pos="0"/>
          <w:tab w:val="left" w:pos="378"/>
          <w:tab w:val="left" w:pos="1440"/>
        </w:tabs>
        <w:spacing w:after="0" w:line="480" w:lineRule="auto"/>
        <w:ind w:hanging="378"/>
        <w:rPr>
          <w:rFonts w:ascii="Times New Roman" w:hAnsi="Times New Roman"/>
          <w:sz w:val="24"/>
          <w:szCs w:val="24"/>
        </w:rPr>
      </w:pPr>
    </w:p>
    <w:p w:rsidR="00013295" w:rsidRPr="00814901" w:rsidRDefault="00013295" w:rsidP="007E5563">
      <w:pPr>
        <w:tabs>
          <w:tab w:val="left" w:pos="-720"/>
          <w:tab w:val="left" w:pos="0"/>
          <w:tab w:val="left" w:pos="378"/>
          <w:tab w:val="left" w:pos="1440"/>
        </w:tabs>
        <w:spacing w:after="0" w:line="480" w:lineRule="auto"/>
        <w:ind w:hanging="378"/>
        <w:rPr>
          <w:rFonts w:ascii="Times New Roman" w:hAnsi="Times New Roman"/>
          <w:sz w:val="24"/>
          <w:szCs w:val="24"/>
          <w:u w:val="single"/>
        </w:rPr>
      </w:pPr>
      <w:r w:rsidRPr="00814901">
        <w:rPr>
          <w:rFonts w:ascii="Times New Roman" w:hAnsi="Times New Roman"/>
          <w:sz w:val="24"/>
          <w:szCs w:val="24"/>
        </w:rPr>
        <w:t xml:space="preserve">16.  </w:t>
      </w:r>
      <w:r w:rsidRPr="00814901">
        <w:rPr>
          <w:rFonts w:ascii="Times New Roman" w:hAnsi="Times New Roman"/>
          <w:sz w:val="24"/>
          <w:szCs w:val="24"/>
          <w:u w:val="single"/>
        </w:rPr>
        <w:t>Plans for Tabulation and Publication and Project Time Schedule</w:t>
      </w:r>
    </w:p>
    <w:p w:rsidR="00013295" w:rsidRPr="00814901" w:rsidRDefault="00013295" w:rsidP="007E5563">
      <w:pPr>
        <w:tabs>
          <w:tab w:val="left" w:pos="-720"/>
          <w:tab w:val="left" w:pos="0"/>
          <w:tab w:val="left" w:pos="378"/>
          <w:tab w:val="left" w:pos="1440"/>
        </w:tabs>
        <w:spacing w:after="0" w:line="480" w:lineRule="auto"/>
        <w:rPr>
          <w:rFonts w:ascii="Times New Roman" w:hAnsi="Times New Roman"/>
          <w:sz w:val="24"/>
          <w:szCs w:val="24"/>
        </w:rPr>
      </w:pPr>
      <w:r w:rsidRPr="00814901">
        <w:rPr>
          <w:rFonts w:ascii="Times New Roman" w:hAnsi="Times New Roman"/>
          <w:sz w:val="24"/>
          <w:szCs w:val="24"/>
        </w:rPr>
        <w:tab/>
        <w:t>There are no plans for tabulation and publication and project time scheduling.</w:t>
      </w:r>
    </w:p>
    <w:p w:rsidR="00013295" w:rsidRPr="00814901" w:rsidRDefault="00013295" w:rsidP="007E5563">
      <w:pPr>
        <w:tabs>
          <w:tab w:val="left" w:pos="-720"/>
          <w:tab w:val="left" w:pos="0"/>
          <w:tab w:val="left" w:pos="378"/>
          <w:tab w:val="left" w:pos="1440"/>
        </w:tabs>
        <w:spacing w:after="0" w:line="480" w:lineRule="auto"/>
        <w:ind w:hanging="378"/>
        <w:rPr>
          <w:rFonts w:ascii="Times New Roman" w:hAnsi="Times New Roman"/>
          <w:sz w:val="24"/>
          <w:szCs w:val="24"/>
        </w:rPr>
      </w:pPr>
    </w:p>
    <w:p w:rsidR="00013295" w:rsidRPr="00814901" w:rsidRDefault="00013295" w:rsidP="007E5563">
      <w:pPr>
        <w:tabs>
          <w:tab w:val="left" w:pos="-720"/>
          <w:tab w:val="left" w:pos="0"/>
          <w:tab w:val="left" w:pos="378"/>
          <w:tab w:val="left" w:pos="1440"/>
        </w:tabs>
        <w:spacing w:after="0" w:line="480" w:lineRule="auto"/>
        <w:ind w:hanging="378"/>
        <w:rPr>
          <w:rFonts w:ascii="Times New Roman" w:hAnsi="Times New Roman"/>
          <w:sz w:val="24"/>
          <w:szCs w:val="24"/>
          <w:u w:val="single"/>
        </w:rPr>
      </w:pPr>
      <w:r w:rsidRPr="00814901">
        <w:rPr>
          <w:rFonts w:ascii="Times New Roman" w:hAnsi="Times New Roman"/>
          <w:sz w:val="24"/>
          <w:szCs w:val="24"/>
        </w:rPr>
        <w:t xml:space="preserve">17. </w:t>
      </w:r>
      <w:r w:rsidRPr="00814901">
        <w:rPr>
          <w:rFonts w:ascii="Times New Roman" w:hAnsi="Times New Roman"/>
          <w:sz w:val="24"/>
          <w:szCs w:val="24"/>
          <w:u w:val="single"/>
        </w:rPr>
        <w:t>Reason(s) Display of OMB Expiration Date is Inappropriate</w:t>
      </w:r>
    </w:p>
    <w:p w:rsidR="00013295" w:rsidRPr="00814901" w:rsidRDefault="00013295" w:rsidP="007E5563">
      <w:pPr>
        <w:tabs>
          <w:tab w:val="left" w:pos="-720"/>
          <w:tab w:val="left" w:pos="0"/>
          <w:tab w:val="left" w:pos="378"/>
          <w:tab w:val="left" w:pos="1440"/>
        </w:tabs>
        <w:spacing w:after="0" w:line="480" w:lineRule="auto"/>
        <w:rPr>
          <w:rFonts w:ascii="Times New Roman" w:hAnsi="Times New Roman"/>
          <w:sz w:val="24"/>
          <w:szCs w:val="24"/>
        </w:rPr>
      </w:pPr>
      <w:r w:rsidRPr="00814901">
        <w:rPr>
          <w:rFonts w:ascii="Times New Roman" w:hAnsi="Times New Roman"/>
          <w:sz w:val="24"/>
          <w:szCs w:val="24"/>
        </w:rPr>
        <w:tab/>
        <w:t>The OMB expiration data will be displayed where required.</w:t>
      </w:r>
    </w:p>
    <w:p w:rsidR="00013295" w:rsidRPr="00814901" w:rsidRDefault="00013295" w:rsidP="007E5563">
      <w:pPr>
        <w:tabs>
          <w:tab w:val="left" w:pos="-720"/>
          <w:tab w:val="left" w:pos="0"/>
          <w:tab w:val="left" w:pos="378"/>
          <w:tab w:val="left" w:pos="1440"/>
        </w:tabs>
        <w:spacing w:after="0" w:line="480" w:lineRule="auto"/>
        <w:ind w:hanging="378"/>
        <w:rPr>
          <w:rFonts w:ascii="Times New Roman" w:hAnsi="Times New Roman"/>
          <w:sz w:val="24"/>
          <w:szCs w:val="24"/>
        </w:rPr>
      </w:pPr>
    </w:p>
    <w:p w:rsidR="00013295" w:rsidRPr="00814901" w:rsidRDefault="00013295" w:rsidP="007E5563">
      <w:pPr>
        <w:tabs>
          <w:tab w:val="left" w:pos="-720"/>
          <w:tab w:val="left" w:pos="0"/>
          <w:tab w:val="left" w:pos="378"/>
          <w:tab w:val="left" w:pos="1440"/>
        </w:tabs>
        <w:spacing w:after="0" w:line="480" w:lineRule="auto"/>
        <w:ind w:hanging="378"/>
        <w:rPr>
          <w:rFonts w:ascii="Times New Roman" w:hAnsi="Times New Roman"/>
          <w:sz w:val="24"/>
          <w:szCs w:val="24"/>
        </w:rPr>
      </w:pPr>
      <w:r w:rsidRPr="00814901">
        <w:rPr>
          <w:rFonts w:ascii="Times New Roman" w:hAnsi="Times New Roman"/>
          <w:sz w:val="24"/>
          <w:szCs w:val="24"/>
        </w:rPr>
        <w:t xml:space="preserve">18. </w:t>
      </w:r>
      <w:r w:rsidRPr="00814901">
        <w:rPr>
          <w:rFonts w:ascii="Times New Roman" w:hAnsi="Times New Roman"/>
          <w:sz w:val="24"/>
          <w:szCs w:val="24"/>
          <w:u w:val="single"/>
        </w:rPr>
        <w:t xml:space="preserve">Exceptions to Certification for Paperwork Reduction Act Submissions </w:t>
      </w:r>
    </w:p>
    <w:p w:rsidR="00013295" w:rsidRDefault="00013295" w:rsidP="007E5563">
      <w:pPr>
        <w:tabs>
          <w:tab w:val="left" w:pos="-720"/>
          <w:tab w:val="left" w:pos="0"/>
          <w:tab w:val="left" w:pos="378"/>
          <w:tab w:val="left" w:pos="1440"/>
        </w:tabs>
        <w:spacing w:after="0" w:line="480" w:lineRule="auto"/>
        <w:rPr>
          <w:rFonts w:ascii="Times New Roman" w:hAnsi="Times New Roman"/>
          <w:sz w:val="24"/>
          <w:szCs w:val="24"/>
        </w:rPr>
      </w:pPr>
      <w:r w:rsidRPr="00814901">
        <w:rPr>
          <w:rFonts w:ascii="Times New Roman" w:hAnsi="Times New Roman"/>
          <w:sz w:val="24"/>
          <w:szCs w:val="24"/>
        </w:rPr>
        <w:tab/>
      </w:r>
      <w:r w:rsidR="002243C0" w:rsidRPr="00814901">
        <w:rPr>
          <w:rFonts w:ascii="Times New Roman" w:hAnsi="Times New Roman"/>
          <w:sz w:val="24"/>
          <w:szCs w:val="24"/>
        </w:rPr>
        <w:t>T</w:t>
      </w:r>
      <w:r w:rsidR="00A579B2" w:rsidRPr="00814901">
        <w:rPr>
          <w:rFonts w:ascii="Times New Roman" w:hAnsi="Times New Roman"/>
          <w:sz w:val="24"/>
          <w:szCs w:val="24"/>
        </w:rPr>
        <w:t>here are no exceptions to the certification.</w:t>
      </w:r>
    </w:p>
    <w:p w:rsidR="0065645B" w:rsidRDefault="0065645B" w:rsidP="007E5563">
      <w:pPr>
        <w:tabs>
          <w:tab w:val="left" w:pos="-720"/>
          <w:tab w:val="left" w:pos="0"/>
          <w:tab w:val="left" w:pos="378"/>
          <w:tab w:val="left" w:pos="1440"/>
        </w:tabs>
        <w:spacing w:after="0" w:line="480" w:lineRule="auto"/>
        <w:rPr>
          <w:rFonts w:ascii="Times New Roman" w:hAnsi="Times New Roman"/>
          <w:sz w:val="24"/>
          <w:szCs w:val="24"/>
        </w:rPr>
      </w:pPr>
    </w:p>
    <w:p w:rsidR="0065645B" w:rsidRDefault="0065645B" w:rsidP="007E5563">
      <w:pPr>
        <w:tabs>
          <w:tab w:val="left" w:pos="-720"/>
          <w:tab w:val="left" w:pos="0"/>
          <w:tab w:val="left" w:pos="378"/>
          <w:tab w:val="left" w:pos="1440"/>
        </w:tabs>
        <w:spacing w:after="0" w:line="480" w:lineRule="auto"/>
        <w:rPr>
          <w:rFonts w:ascii="Times New Roman" w:hAnsi="Times New Roman"/>
          <w:sz w:val="24"/>
          <w:szCs w:val="24"/>
        </w:rPr>
      </w:pPr>
    </w:p>
    <w:sectPr w:rsidR="006564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8C8" w:rsidRDefault="00FB58C8" w:rsidP="0085548F">
      <w:pPr>
        <w:spacing w:after="0" w:line="240" w:lineRule="auto"/>
      </w:pPr>
      <w:r>
        <w:separator/>
      </w:r>
    </w:p>
  </w:endnote>
  <w:endnote w:type="continuationSeparator" w:id="0">
    <w:p w:rsidR="00FB58C8" w:rsidRDefault="00FB58C8" w:rsidP="0085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EE" w:rsidRPr="000B2CB4" w:rsidRDefault="003400EE">
    <w:pPr>
      <w:pStyle w:val="Footer"/>
      <w:jc w:val="center"/>
      <w:rPr>
        <w:rFonts w:ascii="Times New Roman" w:hAnsi="Times New Roman"/>
      </w:rPr>
    </w:pPr>
    <w:r w:rsidRPr="000B2CB4">
      <w:rPr>
        <w:rFonts w:ascii="Times New Roman" w:hAnsi="Times New Roman"/>
      </w:rPr>
      <w:fldChar w:fldCharType="begin"/>
    </w:r>
    <w:r w:rsidRPr="000B2CB4">
      <w:rPr>
        <w:rFonts w:ascii="Times New Roman" w:hAnsi="Times New Roman"/>
      </w:rPr>
      <w:instrText xml:space="preserve"> PAGE   \* MERGEFORMAT </w:instrText>
    </w:r>
    <w:r w:rsidRPr="000B2CB4">
      <w:rPr>
        <w:rFonts w:ascii="Times New Roman" w:hAnsi="Times New Roman"/>
      </w:rPr>
      <w:fldChar w:fldCharType="separate"/>
    </w:r>
    <w:r w:rsidR="00C47D0D">
      <w:rPr>
        <w:rFonts w:ascii="Times New Roman" w:hAnsi="Times New Roman"/>
        <w:noProof/>
      </w:rPr>
      <w:t>1</w:t>
    </w:r>
    <w:r w:rsidRPr="000B2CB4">
      <w:rPr>
        <w:rFonts w:ascii="Times New Roman" w:hAnsi="Times New Roman"/>
        <w:noProof/>
      </w:rPr>
      <w:fldChar w:fldCharType="end"/>
    </w:r>
  </w:p>
  <w:p w:rsidR="003400EE" w:rsidRDefault="00340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8C8" w:rsidRDefault="00FB58C8" w:rsidP="0085548F">
      <w:pPr>
        <w:spacing w:after="0" w:line="240" w:lineRule="auto"/>
      </w:pPr>
      <w:r>
        <w:separator/>
      </w:r>
    </w:p>
  </w:footnote>
  <w:footnote w:type="continuationSeparator" w:id="0">
    <w:p w:rsidR="00FB58C8" w:rsidRDefault="00FB58C8" w:rsidP="0085548F">
      <w:pPr>
        <w:spacing w:after="0" w:line="240" w:lineRule="auto"/>
      </w:pPr>
      <w:r>
        <w:continuationSeparator/>
      </w:r>
    </w:p>
  </w:footnote>
  <w:footnote w:id="1">
    <w:p w:rsidR="003400EE" w:rsidRDefault="003400EE" w:rsidP="00305E3F">
      <w:pPr>
        <w:pStyle w:val="FootnoteText"/>
        <w:spacing w:after="120"/>
        <w:rPr>
          <w:rFonts w:ascii="Times New Roman" w:hAnsi="Times New Roman"/>
        </w:rPr>
      </w:pPr>
      <w:r>
        <w:rPr>
          <w:rStyle w:val="FootnoteReference"/>
        </w:rPr>
        <w:footnoteRef/>
      </w:r>
      <w:r>
        <w:rPr>
          <w:rFonts w:ascii="Times New Roman" w:hAnsi="Times New Roman"/>
        </w:rPr>
        <w:t xml:space="preserve"> See 21 CFR 310.305(g).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6107"/>
    <w:multiLevelType w:val="hybridMultilevel"/>
    <w:tmpl w:val="86DACBF4"/>
    <w:lvl w:ilvl="0" w:tplc="0409000F">
      <w:start w:val="1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D76DB3"/>
    <w:multiLevelType w:val="hybridMultilevel"/>
    <w:tmpl w:val="8970F0B0"/>
    <w:lvl w:ilvl="0" w:tplc="AD74E87C">
      <w:start w:val="12"/>
      <w:numFmt w:val="decimal"/>
      <w:lvlText w:val="%1."/>
      <w:lvlJc w:val="left"/>
      <w:pPr>
        <w:tabs>
          <w:tab w:val="num" w:pos="420"/>
        </w:tabs>
        <w:ind w:left="420" w:hanging="420"/>
      </w:pPr>
      <w:rPr>
        <w:strike w:val="0"/>
        <w:dstrike w:val="0"/>
        <w:u w:val="none"/>
        <w:effect w:val="none"/>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14BD3996"/>
    <w:multiLevelType w:val="hybridMultilevel"/>
    <w:tmpl w:val="DFC29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003809"/>
    <w:multiLevelType w:val="hybridMultilevel"/>
    <w:tmpl w:val="E76E0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C6809DE"/>
    <w:multiLevelType w:val="hybridMultilevel"/>
    <w:tmpl w:val="1A9C2CB2"/>
    <w:lvl w:ilvl="0" w:tplc="B4BADC4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5090E28"/>
    <w:multiLevelType w:val="hybridMultilevel"/>
    <w:tmpl w:val="97FC36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9EF6DD1"/>
    <w:multiLevelType w:val="hybridMultilevel"/>
    <w:tmpl w:val="823248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3707FB8"/>
    <w:multiLevelType w:val="hybridMultilevel"/>
    <w:tmpl w:val="1EA05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3A6150D0"/>
    <w:multiLevelType w:val="multilevel"/>
    <w:tmpl w:val="0992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640D2"/>
    <w:multiLevelType w:val="hybridMultilevel"/>
    <w:tmpl w:val="81481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9D776F5"/>
    <w:multiLevelType w:val="multilevel"/>
    <w:tmpl w:val="B164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6B55D1"/>
    <w:multiLevelType w:val="hybridMultilevel"/>
    <w:tmpl w:val="A5FE6DB2"/>
    <w:lvl w:ilvl="0" w:tplc="0409000F">
      <w:start w:val="13"/>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588D5B68"/>
    <w:multiLevelType w:val="hybridMultilevel"/>
    <w:tmpl w:val="E09C7EF4"/>
    <w:lvl w:ilvl="0" w:tplc="73FC2DE4">
      <w:start w:val="12"/>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614609EA"/>
    <w:multiLevelType w:val="hybridMultilevel"/>
    <w:tmpl w:val="6D8AB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D952027"/>
    <w:multiLevelType w:val="multilevel"/>
    <w:tmpl w:val="703A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5"/>
  </w:num>
  <w:num w:numId="4">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2B"/>
    <w:rsid w:val="00001A58"/>
    <w:rsid w:val="0000346E"/>
    <w:rsid w:val="00005752"/>
    <w:rsid w:val="00013295"/>
    <w:rsid w:val="00021ED6"/>
    <w:rsid w:val="00024438"/>
    <w:rsid w:val="00064690"/>
    <w:rsid w:val="00072C3A"/>
    <w:rsid w:val="000900C1"/>
    <w:rsid w:val="00094F87"/>
    <w:rsid w:val="000A684B"/>
    <w:rsid w:val="000B2CB4"/>
    <w:rsid w:val="000B5D9D"/>
    <w:rsid w:val="000C2BFB"/>
    <w:rsid w:val="000D4DEA"/>
    <w:rsid w:val="000D6B06"/>
    <w:rsid w:val="000F222C"/>
    <w:rsid w:val="000F49E9"/>
    <w:rsid w:val="000F5220"/>
    <w:rsid w:val="00102778"/>
    <w:rsid w:val="00102D2F"/>
    <w:rsid w:val="001044FF"/>
    <w:rsid w:val="001166D7"/>
    <w:rsid w:val="00120989"/>
    <w:rsid w:val="0012212C"/>
    <w:rsid w:val="0012773B"/>
    <w:rsid w:val="001331D8"/>
    <w:rsid w:val="00146FB0"/>
    <w:rsid w:val="00147053"/>
    <w:rsid w:val="00154C1F"/>
    <w:rsid w:val="00161388"/>
    <w:rsid w:val="0016161F"/>
    <w:rsid w:val="00165C28"/>
    <w:rsid w:val="00170D26"/>
    <w:rsid w:val="001728E4"/>
    <w:rsid w:val="001A04BF"/>
    <w:rsid w:val="001A711E"/>
    <w:rsid w:val="001B44DA"/>
    <w:rsid w:val="001B67BD"/>
    <w:rsid w:val="001C275F"/>
    <w:rsid w:val="001D04D7"/>
    <w:rsid w:val="001E2E33"/>
    <w:rsid w:val="001E7954"/>
    <w:rsid w:val="001F75B7"/>
    <w:rsid w:val="00203AF6"/>
    <w:rsid w:val="00210458"/>
    <w:rsid w:val="00214A59"/>
    <w:rsid w:val="00217B1A"/>
    <w:rsid w:val="002243C0"/>
    <w:rsid w:val="00231862"/>
    <w:rsid w:val="00237432"/>
    <w:rsid w:val="00257439"/>
    <w:rsid w:val="00261319"/>
    <w:rsid w:val="00271A8C"/>
    <w:rsid w:val="002720CA"/>
    <w:rsid w:val="00281F1B"/>
    <w:rsid w:val="00291243"/>
    <w:rsid w:val="0029567D"/>
    <w:rsid w:val="002958DB"/>
    <w:rsid w:val="002A2508"/>
    <w:rsid w:val="002A42DC"/>
    <w:rsid w:val="002B08FD"/>
    <w:rsid w:val="002B1235"/>
    <w:rsid w:val="002D2D05"/>
    <w:rsid w:val="002D755F"/>
    <w:rsid w:val="002E0695"/>
    <w:rsid w:val="002E06DF"/>
    <w:rsid w:val="002E1D08"/>
    <w:rsid w:val="002E30B0"/>
    <w:rsid w:val="002F1E89"/>
    <w:rsid w:val="002F4318"/>
    <w:rsid w:val="00305E3F"/>
    <w:rsid w:val="00314865"/>
    <w:rsid w:val="00322F9E"/>
    <w:rsid w:val="003258AF"/>
    <w:rsid w:val="00332FC5"/>
    <w:rsid w:val="00336222"/>
    <w:rsid w:val="00337139"/>
    <w:rsid w:val="003400EE"/>
    <w:rsid w:val="00341FF0"/>
    <w:rsid w:val="00347A33"/>
    <w:rsid w:val="003632F0"/>
    <w:rsid w:val="00364B4E"/>
    <w:rsid w:val="0037011E"/>
    <w:rsid w:val="0038231D"/>
    <w:rsid w:val="00387C5A"/>
    <w:rsid w:val="003A1FA4"/>
    <w:rsid w:val="003A6592"/>
    <w:rsid w:val="003A6FC6"/>
    <w:rsid w:val="003C079F"/>
    <w:rsid w:val="003C3FCE"/>
    <w:rsid w:val="003C7B9F"/>
    <w:rsid w:val="003D2744"/>
    <w:rsid w:val="003D62FD"/>
    <w:rsid w:val="003E40AA"/>
    <w:rsid w:val="003F517D"/>
    <w:rsid w:val="00411F9A"/>
    <w:rsid w:val="00415A3A"/>
    <w:rsid w:val="00435E97"/>
    <w:rsid w:val="004628AD"/>
    <w:rsid w:val="004908D9"/>
    <w:rsid w:val="004A0B8B"/>
    <w:rsid w:val="004B369A"/>
    <w:rsid w:val="004D490B"/>
    <w:rsid w:val="004F00C4"/>
    <w:rsid w:val="004F35AF"/>
    <w:rsid w:val="0050662D"/>
    <w:rsid w:val="005142F4"/>
    <w:rsid w:val="00523C99"/>
    <w:rsid w:val="005260D8"/>
    <w:rsid w:val="0052751A"/>
    <w:rsid w:val="005324E4"/>
    <w:rsid w:val="00536EF0"/>
    <w:rsid w:val="00552160"/>
    <w:rsid w:val="005645AA"/>
    <w:rsid w:val="00566570"/>
    <w:rsid w:val="00566916"/>
    <w:rsid w:val="00576505"/>
    <w:rsid w:val="0059077D"/>
    <w:rsid w:val="005A4782"/>
    <w:rsid w:val="005A7715"/>
    <w:rsid w:val="005B14AA"/>
    <w:rsid w:val="005D48CD"/>
    <w:rsid w:val="005F2B62"/>
    <w:rsid w:val="00601381"/>
    <w:rsid w:val="006276C9"/>
    <w:rsid w:val="0063471F"/>
    <w:rsid w:val="0063507D"/>
    <w:rsid w:val="0063668E"/>
    <w:rsid w:val="00643081"/>
    <w:rsid w:val="00644600"/>
    <w:rsid w:val="0065645B"/>
    <w:rsid w:val="00662595"/>
    <w:rsid w:val="00663F4E"/>
    <w:rsid w:val="0066561F"/>
    <w:rsid w:val="0068285A"/>
    <w:rsid w:val="00692E7B"/>
    <w:rsid w:val="006A7B0A"/>
    <w:rsid w:val="006B77D6"/>
    <w:rsid w:val="006D2156"/>
    <w:rsid w:val="006D4FC7"/>
    <w:rsid w:val="006E4F39"/>
    <w:rsid w:val="006E5646"/>
    <w:rsid w:val="006F2F02"/>
    <w:rsid w:val="00700EB6"/>
    <w:rsid w:val="00704B43"/>
    <w:rsid w:val="00710602"/>
    <w:rsid w:val="00715F40"/>
    <w:rsid w:val="00751193"/>
    <w:rsid w:val="007730DC"/>
    <w:rsid w:val="00792894"/>
    <w:rsid w:val="00792923"/>
    <w:rsid w:val="007951D4"/>
    <w:rsid w:val="007979BA"/>
    <w:rsid w:val="007A4766"/>
    <w:rsid w:val="007A6A57"/>
    <w:rsid w:val="007B0568"/>
    <w:rsid w:val="007B087B"/>
    <w:rsid w:val="007B3605"/>
    <w:rsid w:val="007C04F9"/>
    <w:rsid w:val="007E5563"/>
    <w:rsid w:val="007F754C"/>
    <w:rsid w:val="008145B6"/>
    <w:rsid w:val="00814901"/>
    <w:rsid w:val="008259D9"/>
    <w:rsid w:val="0083074D"/>
    <w:rsid w:val="00833F64"/>
    <w:rsid w:val="0085548F"/>
    <w:rsid w:val="008825AA"/>
    <w:rsid w:val="008A06E0"/>
    <w:rsid w:val="008B6D16"/>
    <w:rsid w:val="008D0924"/>
    <w:rsid w:val="008D4E37"/>
    <w:rsid w:val="008D650B"/>
    <w:rsid w:val="00910933"/>
    <w:rsid w:val="009110CD"/>
    <w:rsid w:val="00920878"/>
    <w:rsid w:val="009210B9"/>
    <w:rsid w:val="00921AFB"/>
    <w:rsid w:val="00943755"/>
    <w:rsid w:val="00945E13"/>
    <w:rsid w:val="00955DCC"/>
    <w:rsid w:val="009604FE"/>
    <w:rsid w:val="0097141A"/>
    <w:rsid w:val="0097202B"/>
    <w:rsid w:val="009765A1"/>
    <w:rsid w:val="00981915"/>
    <w:rsid w:val="0098598E"/>
    <w:rsid w:val="0099348E"/>
    <w:rsid w:val="009A228A"/>
    <w:rsid w:val="009A3D33"/>
    <w:rsid w:val="009A5899"/>
    <w:rsid w:val="009B3A88"/>
    <w:rsid w:val="009C044C"/>
    <w:rsid w:val="009D7853"/>
    <w:rsid w:val="009E0235"/>
    <w:rsid w:val="009F6BDA"/>
    <w:rsid w:val="00A11C00"/>
    <w:rsid w:val="00A2722A"/>
    <w:rsid w:val="00A37821"/>
    <w:rsid w:val="00A43EB7"/>
    <w:rsid w:val="00A45D7C"/>
    <w:rsid w:val="00A54C8B"/>
    <w:rsid w:val="00A57290"/>
    <w:rsid w:val="00A579B2"/>
    <w:rsid w:val="00AA3D0F"/>
    <w:rsid w:val="00AB257E"/>
    <w:rsid w:val="00AD07FF"/>
    <w:rsid w:val="00AE3CED"/>
    <w:rsid w:val="00AE56C2"/>
    <w:rsid w:val="00B00A4F"/>
    <w:rsid w:val="00B031E0"/>
    <w:rsid w:val="00B03432"/>
    <w:rsid w:val="00B0784D"/>
    <w:rsid w:val="00B20724"/>
    <w:rsid w:val="00B215C6"/>
    <w:rsid w:val="00B24C79"/>
    <w:rsid w:val="00B334E2"/>
    <w:rsid w:val="00B707AB"/>
    <w:rsid w:val="00B7418B"/>
    <w:rsid w:val="00B74B6B"/>
    <w:rsid w:val="00B75A76"/>
    <w:rsid w:val="00B8518B"/>
    <w:rsid w:val="00B95B03"/>
    <w:rsid w:val="00BB66FD"/>
    <w:rsid w:val="00BC6824"/>
    <w:rsid w:val="00BC6850"/>
    <w:rsid w:val="00BE492E"/>
    <w:rsid w:val="00C0790E"/>
    <w:rsid w:val="00C124AE"/>
    <w:rsid w:val="00C13BDB"/>
    <w:rsid w:val="00C402AD"/>
    <w:rsid w:val="00C44F11"/>
    <w:rsid w:val="00C47D0D"/>
    <w:rsid w:val="00C508EB"/>
    <w:rsid w:val="00C538E3"/>
    <w:rsid w:val="00C628D0"/>
    <w:rsid w:val="00C64065"/>
    <w:rsid w:val="00C919DB"/>
    <w:rsid w:val="00C95B95"/>
    <w:rsid w:val="00C97D3F"/>
    <w:rsid w:val="00CA1D8B"/>
    <w:rsid w:val="00CC52E9"/>
    <w:rsid w:val="00CD4587"/>
    <w:rsid w:val="00CD4C02"/>
    <w:rsid w:val="00CE1F68"/>
    <w:rsid w:val="00CE53C9"/>
    <w:rsid w:val="00CE540F"/>
    <w:rsid w:val="00CF5481"/>
    <w:rsid w:val="00CF5B0F"/>
    <w:rsid w:val="00D1609A"/>
    <w:rsid w:val="00D2469C"/>
    <w:rsid w:val="00D439AD"/>
    <w:rsid w:val="00D534CE"/>
    <w:rsid w:val="00D563B2"/>
    <w:rsid w:val="00D56CB0"/>
    <w:rsid w:val="00D570B3"/>
    <w:rsid w:val="00D617FD"/>
    <w:rsid w:val="00D6323A"/>
    <w:rsid w:val="00D70BAD"/>
    <w:rsid w:val="00D815A3"/>
    <w:rsid w:val="00DA064D"/>
    <w:rsid w:val="00DC5AF2"/>
    <w:rsid w:val="00DD7F4D"/>
    <w:rsid w:val="00DF1918"/>
    <w:rsid w:val="00E177A3"/>
    <w:rsid w:val="00E234C6"/>
    <w:rsid w:val="00E44DB4"/>
    <w:rsid w:val="00E71194"/>
    <w:rsid w:val="00E73099"/>
    <w:rsid w:val="00E771A6"/>
    <w:rsid w:val="00E82E8E"/>
    <w:rsid w:val="00EB3D14"/>
    <w:rsid w:val="00EC4CE3"/>
    <w:rsid w:val="00EE19C9"/>
    <w:rsid w:val="00EE1D24"/>
    <w:rsid w:val="00F1006B"/>
    <w:rsid w:val="00F33599"/>
    <w:rsid w:val="00F445DF"/>
    <w:rsid w:val="00F451A7"/>
    <w:rsid w:val="00F45FDD"/>
    <w:rsid w:val="00F56ED2"/>
    <w:rsid w:val="00F57911"/>
    <w:rsid w:val="00F57AC6"/>
    <w:rsid w:val="00F668C9"/>
    <w:rsid w:val="00F83393"/>
    <w:rsid w:val="00FA3AE8"/>
    <w:rsid w:val="00FB0219"/>
    <w:rsid w:val="00FB1144"/>
    <w:rsid w:val="00FB3DED"/>
    <w:rsid w:val="00FB58C8"/>
    <w:rsid w:val="00FC3FC4"/>
    <w:rsid w:val="00FD186E"/>
    <w:rsid w:val="00FD6660"/>
    <w:rsid w:val="00FE0705"/>
    <w:rsid w:val="00FF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22"/>
    <w:pPr>
      <w:spacing w:after="200" w:line="276" w:lineRule="auto"/>
    </w:pPr>
    <w:rPr>
      <w:sz w:val="22"/>
      <w:szCs w:val="22"/>
    </w:rPr>
  </w:style>
  <w:style w:type="paragraph" w:styleId="Heading1">
    <w:name w:val="heading 1"/>
    <w:basedOn w:val="Normal"/>
    <w:link w:val="Heading1Char"/>
    <w:uiPriority w:val="9"/>
    <w:qFormat/>
    <w:rsid w:val="0097202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97202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202B"/>
    <w:rPr>
      <w:rFonts w:ascii="Times New Roman" w:eastAsia="Times New Roman" w:hAnsi="Times New Roman"/>
      <w:b/>
      <w:bCs/>
      <w:kern w:val="36"/>
      <w:sz w:val="48"/>
      <w:szCs w:val="48"/>
    </w:rPr>
  </w:style>
  <w:style w:type="character" w:customStyle="1" w:styleId="Heading2Char">
    <w:name w:val="Heading 2 Char"/>
    <w:link w:val="Heading2"/>
    <w:uiPriority w:val="9"/>
    <w:rsid w:val="0097202B"/>
    <w:rPr>
      <w:rFonts w:ascii="Times New Roman" w:eastAsia="Times New Roman" w:hAnsi="Times New Roman"/>
      <w:b/>
      <w:bCs/>
      <w:sz w:val="36"/>
      <w:szCs w:val="36"/>
    </w:rPr>
  </w:style>
  <w:style w:type="paragraph" w:styleId="NormalWeb">
    <w:name w:val="Normal (Web)"/>
    <w:basedOn w:val="Normal"/>
    <w:uiPriority w:val="99"/>
    <w:semiHidden/>
    <w:unhideWhenUsed/>
    <w:rsid w:val="0097202B"/>
    <w:pPr>
      <w:spacing w:before="100" w:beforeAutospacing="1" w:after="100" w:afterAutospacing="1" w:line="240" w:lineRule="auto"/>
    </w:pPr>
    <w:rPr>
      <w:rFonts w:ascii="Times New Roman" w:eastAsia="Times New Roman" w:hAnsi="Times New Roman"/>
      <w:sz w:val="24"/>
      <w:szCs w:val="24"/>
    </w:rPr>
  </w:style>
  <w:style w:type="character" w:customStyle="1" w:styleId="printedpage">
    <w:name w:val="printed_page"/>
    <w:rsid w:val="0097202B"/>
  </w:style>
  <w:style w:type="character" w:styleId="Hyperlink">
    <w:name w:val="Hyperlink"/>
    <w:unhideWhenUsed/>
    <w:rsid w:val="0097202B"/>
    <w:rPr>
      <w:color w:val="0000FF"/>
      <w:u w:val="single"/>
    </w:rPr>
  </w:style>
  <w:style w:type="character" w:customStyle="1" w:styleId="e-02">
    <w:name w:val="e-02"/>
    <w:rsid w:val="0097202B"/>
  </w:style>
  <w:style w:type="paragraph" w:customStyle="1" w:styleId="furinf">
    <w:name w:val="furinf"/>
    <w:basedOn w:val="Normal"/>
    <w:rsid w:val="0097202B"/>
    <w:pPr>
      <w:spacing w:before="100" w:beforeAutospacing="1" w:after="100" w:afterAutospacing="1" w:line="240" w:lineRule="auto"/>
    </w:pPr>
    <w:rPr>
      <w:rFonts w:ascii="Times New Roman" w:eastAsia="Times New Roman" w:hAnsi="Times New Roman"/>
      <w:sz w:val="24"/>
      <w:szCs w:val="24"/>
    </w:rPr>
  </w:style>
  <w:style w:type="character" w:customStyle="1" w:styleId="e-04">
    <w:name w:val="e-04"/>
    <w:rsid w:val="0097202B"/>
  </w:style>
  <w:style w:type="paragraph" w:customStyle="1" w:styleId="signaturedate">
    <w:name w:val="signature_date"/>
    <w:basedOn w:val="Normal"/>
    <w:rsid w:val="0097202B"/>
    <w:pPr>
      <w:spacing w:before="100" w:beforeAutospacing="1" w:after="100" w:afterAutospacing="1" w:line="240" w:lineRule="auto"/>
    </w:pPr>
    <w:rPr>
      <w:rFonts w:ascii="Times New Roman" w:eastAsia="Times New Roman" w:hAnsi="Times New Roman"/>
      <w:sz w:val="24"/>
      <w:szCs w:val="24"/>
    </w:rPr>
  </w:style>
  <w:style w:type="paragraph" w:customStyle="1" w:styleId="name">
    <w:name w:val="name"/>
    <w:basedOn w:val="Normal"/>
    <w:rsid w:val="0097202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5548F"/>
    <w:pPr>
      <w:tabs>
        <w:tab w:val="center" w:pos="4680"/>
        <w:tab w:val="right" w:pos="9360"/>
      </w:tabs>
    </w:pPr>
  </w:style>
  <w:style w:type="character" w:customStyle="1" w:styleId="HeaderChar">
    <w:name w:val="Header Char"/>
    <w:link w:val="Header"/>
    <w:uiPriority w:val="99"/>
    <w:rsid w:val="0085548F"/>
    <w:rPr>
      <w:sz w:val="22"/>
      <w:szCs w:val="22"/>
    </w:rPr>
  </w:style>
  <w:style w:type="paragraph" w:styleId="Footer">
    <w:name w:val="footer"/>
    <w:basedOn w:val="Normal"/>
    <w:link w:val="FooterChar"/>
    <w:uiPriority w:val="99"/>
    <w:unhideWhenUsed/>
    <w:rsid w:val="0085548F"/>
    <w:pPr>
      <w:tabs>
        <w:tab w:val="center" w:pos="4680"/>
        <w:tab w:val="right" w:pos="9360"/>
      </w:tabs>
    </w:pPr>
  </w:style>
  <w:style w:type="character" w:customStyle="1" w:styleId="FooterChar">
    <w:name w:val="Footer Char"/>
    <w:link w:val="Footer"/>
    <w:uiPriority w:val="99"/>
    <w:rsid w:val="0085548F"/>
    <w:rPr>
      <w:sz w:val="22"/>
      <w:szCs w:val="22"/>
    </w:rPr>
  </w:style>
  <w:style w:type="paragraph" w:styleId="BodyText2">
    <w:name w:val="Body Text 2"/>
    <w:basedOn w:val="Normal"/>
    <w:link w:val="BodyText2Char"/>
    <w:semiHidden/>
    <w:unhideWhenUsed/>
    <w:rsid w:val="00BE492E"/>
    <w:pPr>
      <w:spacing w:after="0" w:line="240" w:lineRule="auto"/>
    </w:pPr>
    <w:rPr>
      <w:rFonts w:ascii="Times New Roman" w:eastAsia="Times New Roman" w:hAnsi="Times New Roman"/>
      <w:sz w:val="24"/>
      <w:szCs w:val="20"/>
    </w:rPr>
  </w:style>
  <w:style w:type="character" w:customStyle="1" w:styleId="BodyText2Char">
    <w:name w:val="Body Text 2 Char"/>
    <w:link w:val="BodyText2"/>
    <w:semiHidden/>
    <w:rsid w:val="00BE492E"/>
    <w:rPr>
      <w:rFonts w:ascii="Times New Roman" w:eastAsia="Times New Roman" w:hAnsi="Times New Roman"/>
      <w:sz w:val="24"/>
    </w:rPr>
  </w:style>
  <w:style w:type="paragraph" w:styleId="BodyText">
    <w:name w:val="Body Text"/>
    <w:basedOn w:val="Normal"/>
    <w:link w:val="BodyTextChar"/>
    <w:uiPriority w:val="99"/>
    <w:semiHidden/>
    <w:unhideWhenUsed/>
    <w:rsid w:val="00E82E8E"/>
    <w:pPr>
      <w:spacing w:after="120"/>
    </w:pPr>
  </w:style>
  <w:style w:type="character" w:customStyle="1" w:styleId="BodyTextChar">
    <w:name w:val="Body Text Char"/>
    <w:link w:val="BodyText"/>
    <w:uiPriority w:val="99"/>
    <w:semiHidden/>
    <w:rsid w:val="00E82E8E"/>
    <w:rPr>
      <w:sz w:val="22"/>
      <w:szCs w:val="22"/>
    </w:rPr>
  </w:style>
  <w:style w:type="paragraph" w:customStyle="1" w:styleId="Default">
    <w:name w:val="Default"/>
    <w:rsid w:val="00EE19C9"/>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CE540F"/>
    <w:rPr>
      <w:sz w:val="22"/>
      <w:szCs w:val="22"/>
    </w:rPr>
  </w:style>
  <w:style w:type="paragraph" w:styleId="BalloonText">
    <w:name w:val="Balloon Text"/>
    <w:basedOn w:val="Normal"/>
    <w:link w:val="BalloonTextChar"/>
    <w:uiPriority w:val="99"/>
    <w:semiHidden/>
    <w:unhideWhenUsed/>
    <w:rsid w:val="00CE5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540F"/>
    <w:rPr>
      <w:rFonts w:ascii="Tahoma" w:hAnsi="Tahoma" w:cs="Tahoma"/>
      <w:sz w:val="16"/>
      <w:szCs w:val="16"/>
    </w:rPr>
  </w:style>
  <w:style w:type="paragraph" w:styleId="ListParagraph">
    <w:name w:val="List Paragraph"/>
    <w:basedOn w:val="Normal"/>
    <w:uiPriority w:val="34"/>
    <w:qFormat/>
    <w:rsid w:val="00C919DB"/>
    <w:pPr>
      <w:spacing w:after="0" w:line="240" w:lineRule="auto"/>
      <w:ind w:left="720"/>
    </w:pPr>
    <w:rPr>
      <w:rFonts w:eastAsia="Times New Roman" w:cs="Calibri"/>
    </w:rPr>
  </w:style>
  <w:style w:type="character" w:styleId="CommentReference">
    <w:name w:val="annotation reference"/>
    <w:uiPriority w:val="99"/>
    <w:unhideWhenUsed/>
    <w:rsid w:val="009C044C"/>
    <w:rPr>
      <w:sz w:val="16"/>
      <w:szCs w:val="16"/>
    </w:rPr>
  </w:style>
  <w:style w:type="paragraph" w:styleId="CommentText">
    <w:name w:val="annotation text"/>
    <w:basedOn w:val="Normal"/>
    <w:link w:val="CommentTextChar"/>
    <w:uiPriority w:val="99"/>
    <w:unhideWhenUsed/>
    <w:rsid w:val="009C044C"/>
    <w:rPr>
      <w:sz w:val="20"/>
      <w:szCs w:val="20"/>
    </w:rPr>
  </w:style>
  <w:style w:type="character" w:customStyle="1" w:styleId="CommentTextChar">
    <w:name w:val="Comment Text Char"/>
    <w:basedOn w:val="DefaultParagraphFont"/>
    <w:link w:val="CommentText"/>
    <w:uiPriority w:val="99"/>
    <w:rsid w:val="009C044C"/>
  </w:style>
  <w:style w:type="paragraph" w:styleId="CommentSubject">
    <w:name w:val="annotation subject"/>
    <w:basedOn w:val="CommentText"/>
    <w:next w:val="CommentText"/>
    <w:link w:val="CommentSubjectChar"/>
    <w:uiPriority w:val="99"/>
    <w:semiHidden/>
    <w:unhideWhenUsed/>
    <w:rsid w:val="009C044C"/>
    <w:rPr>
      <w:b/>
      <w:bCs/>
    </w:rPr>
  </w:style>
  <w:style w:type="character" w:customStyle="1" w:styleId="CommentSubjectChar">
    <w:name w:val="Comment Subject Char"/>
    <w:link w:val="CommentSubject"/>
    <w:uiPriority w:val="99"/>
    <w:semiHidden/>
    <w:rsid w:val="009C044C"/>
    <w:rPr>
      <w:b/>
      <w:bCs/>
    </w:rPr>
  </w:style>
  <w:style w:type="paragraph" w:styleId="FootnoteText">
    <w:name w:val="footnote text"/>
    <w:basedOn w:val="Normal"/>
    <w:link w:val="FootnoteTextChar"/>
    <w:uiPriority w:val="99"/>
    <w:semiHidden/>
    <w:unhideWhenUsed/>
    <w:rsid w:val="00305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E3F"/>
  </w:style>
  <w:style w:type="character" w:styleId="FootnoteReference">
    <w:name w:val="footnote reference"/>
    <w:semiHidden/>
    <w:unhideWhenUsed/>
    <w:rsid w:val="00305E3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22"/>
    <w:pPr>
      <w:spacing w:after="200" w:line="276" w:lineRule="auto"/>
    </w:pPr>
    <w:rPr>
      <w:sz w:val="22"/>
      <w:szCs w:val="22"/>
    </w:rPr>
  </w:style>
  <w:style w:type="paragraph" w:styleId="Heading1">
    <w:name w:val="heading 1"/>
    <w:basedOn w:val="Normal"/>
    <w:link w:val="Heading1Char"/>
    <w:uiPriority w:val="9"/>
    <w:qFormat/>
    <w:rsid w:val="0097202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97202B"/>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202B"/>
    <w:rPr>
      <w:rFonts w:ascii="Times New Roman" w:eastAsia="Times New Roman" w:hAnsi="Times New Roman"/>
      <w:b/>
      <w:bCs/>
      <w:kern w:val="36"/>
      <w:sz w:val="48"/>
      <w:szCs w:val="48"/>
    </w:rPr>
  </w:style>
  <w:style w:type="character" w:customStyle="1" w:styleId="Heading2Char">
    <w:name w:val="Heading 2 Char"/>
    <w:link w:val="Heading2"/>
    <w:uiPriority w:val="9"/>
    <w:rsid w:val="0097202B"/>
    <w:rPr>
      <w:rFonts w:ascii="Times New Roman" w:eastAsia="Times New Roman" w:hAnsi="Times New Roman"/>
      <w:b/>
      <w:bCs/>
      <w:sz w:val="36"/>
      <w:szCs w:val="36"/>
    </w:rPr>
  </w:style>
  <w:style w:type="paragraph" w:styleId="NormalWeb">
    <w:name w:val="Normal (Web)"/>
    <w:basedOn w:val="Normal"/>
    <w:uiPriority w:val="99"/>
    <w:semiHidden/>
    <w:unhideWhenUsed/>
    <w:rsid w:val="0097202B"/>
    <w:pPr>
      <w:spacing w:before="100" w:beforeAutospacing="1" w:after="100" w:afterAutospacing="1" w:line="240" w:lineRule="auto"/>
    </w:pPr>
    <w:rPr>
      <w:rFonts w:ascii="Times New Roman" w:eastAsia="Times New Roman" w:hAnsi="Times New Roman"/>
      <w:sz w:val="24"/>
      <w:szCs w:val="24"/>
    </w:rPr>
  </w:style>
  <w:style w:type="character" w:customStyle="1" w:styleId="printedpage">
    <w:name w:val="printed_page"/>
    <w:rsid w:val="0097202B"/>
  </w:style>
  <w:style w:type="character" w:styleId="Hyperlink">
    <w:name w:val="Hyperlink"/>
    <w:unhideWhenUsed/>
    <w:rsid w:val="0097202B"/>
    <w:rPr>
      <w:color w:val="0000FF"/>
      <w:u w:val="single"/>
    </w:rPr>
  </w:style>
  <w:style w:type="character" w:customStyle="1" w:styleId="e-02">
    <w:name w:val="e-02"/>
    <w:rsid w:val="0097202B"/>
  </w:style>
  <w:style w:type="paragraph" w:customStyle="1" w:styleId="furinf">
    <w:name w:val="furinf"/>
    <w:basedOn w:val="Normal"/>
    <w:rsid w:val="0097202B"/>
    <w:pPr>
      <w:spacing w:before="100" w:beforeAutospacing="1" w:after="100" w:afterAutospacing="1" w:line="240" w:lineRule="auto"/>
    </w:pPr>
    <w:rPr>
      <w:rFonts w:ascii="Times New Roman" w:eastAsia="Times New Roman" w:hAnsi="Times New Roman"/>
      <w:sz w:val="24"/>
      <w:szCs w:val="24"/>
    </w:rPr>
  </w:style>
  <w:style w:type="character" w:customStyle="1" w:styleId="e-04">
    <w:name w:val="e-04"/>
    <w:rsid w:val="0097202B"/>
  </w:style>
  <w:style w:type="paragraph" w:customStyle="1" w:styleId="signaturedate">
    <w:name w:val="signature_date"/>
    <w:basedOn w:val="Normal"/>
    <w:rsid w:val="0097202B"/>
    <w:pPr>
      <w:spacing w:before="100" w:beforeAutospacing="1" w:after="100" w:afterAutospacing="1" w:line="240" w:lineRule="auto"/>
    </w:pPr>
    <w:rPr>
      <w:rFonts w:ascii="Times New Roman" w:eastAsia="Times New Roman" w:hAnsi="Times New Roman"/>
      <w:sz w:val="24"/>
      <w:szCs w:val="24"/>
    </w:rPr>
  </w:style>
  <w:style w:type="paragraph" w:customStyle="1" w:styleId="name">
    <w:name w:val="name"/>
    <w:basedOn w:val="Normal"/>
    <w:rsid w:val="0097202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5548F"/>
    <w:pPr>
      <w:tabs>
        <w:tab w:val="center" w:pos="4680"/>
        <w:tab w:val="right" w:pos="9360"/>
      </w:tabs>
    </w:pPr>
  </w:style>
  <w:style w:type="character" w:customStyle="1" w:styleId="HeaderChar">
    <w:name w:val="Header Char"/>
    <w:link w:val="Header"/>
    <w:uiPriority w:val="99"/>
    <w:rsid w:val="0085548F"/>
    <w:rPr>
      <w:sz w:val="22"/>
      <w:szCs w:val="22"/>
    </w:rPr>
  </w:style>
  <w:style w:type="paragraph" w:styleId="Footer">
    <w:name w:val="footer"/>
    <w:basedOn w:val="Normal"/>
    <w:link w:val="FooterChar"/>
    <w:uiPriority w:val="99"/>
    <w:unhideWhenUsed/>
    <w:rsid w:val="0085548F"/>
    <w:pPr>
      <w:tabs>
        <w:tab w:val="center" w:pos="4680"/>
        <w:tab w:val="right" w:pos="9360"/>
      </w:tabs>
    </w:pPr>
  </w:style>
  <w:style w:type="character" w:customStyle="1" w:styleId="FooterChar">
    <w:name w:val="Footer Char"/>
    <w:link w:val="Footer"/>
    <w:uiPriority w:val="99"/>
    <w:rsid w:val="0085548F"/>
    <w:rPr>
      <w:sz w:val="22"/>
      <w:szCs w:val="22"/>
    </w:rPr>
  </w:style>
  <w:style w:type="paragraph" w:styleId="BodyText2">
    <w:name w:val="Body Text 2"/>
    <w:basedOn w:val="Normal"/>
    <w:link w:val="BodyText2Char"/>
    <w:semiHidden/>
    <w:unhideWhenUsed/>
    <w:rsid w:val="00BE492E"/>
    <w:pPr>
      <w:spacing w:after="0" w:line="240" w:lineRule="auto"/>
    </w:pPr>
    <w:rPr>
      <w:rFonts w:ascii="Times New Roman" w:eastAsia="Times New Roman" w:hAnsi="Times New Roman"/>
      <w:sz w:val="24"/>
      <w:szCs w:val="20"/>
    </w:rPr>
  </w:style>
  <w:style w:type="character" w:customStyle="1" w:styleId="BodyText2Char">
    <w:name w:val="Body Text 2 Char"/>
    <w:link w:val="BodyText2"/>
    <w:semiHidden/>
    <w:rsid w:val="00BE492E"/>
    <w:rPr>
      <w:rFonts w:ascii="Times New Roman" w:eastAsia="Times New Roman" w:hAnsi="Times New Roman"/>
      <w:sz w:val="24"/>
    </w:rPr>
  </w:style>
  <w:style w:type="paragraph" w:styleId="BodyText">
    <w:name w:val="Body Text"/>
    <w:basedOn w:val="Normal"/>
    <w:link w:val="BodyTextChar"/>
    <w:uiPriority w:val="99"/>
    <w:semiHidden/>
    <w:unhideWhenUsed/>
    <w:rsid w:val="00E82E8E"/>
    <w:pPr>
      <w:spacing w:after="120"/>
    </w:pPr>
  </w:style>
  <w:style w:type="character" w:customStyle="1" w:styleId="BodyTextChar">
    <w:name w:val="Body Text Char"/>
    <w:link w:val="BodyText"/>
    <w:uiPriority w:val="99"/>
    <w:semiHidden/>
    <w:rsid w:val="00E82E8E"/>
    <w:rPr>
      <w:sz w:val="22"/>
      <w:szCs w:val="22"/>
    </w:rPr>
  </w:style>
  <w:style w:type="paragraph" w:customStyle="1" w:styleId="Default">
    <w:name w:val="Default"/>
    <w:rsid w:val="00EE19C9"/>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CE540F"/>
    <w:rPr>
      <w:sz w:val="22"/>
      <w:szCs w:val="22"/>
    </w:rPr>
  </w:style>
  <w:style w:type="paragraph" w:styleId="BalloonText">
    <w:name w:val="Balloon Text"/>
    <w:basedOn w:val="Normal"/>
    <w:link w:val="BalloonTextChar"/>
    <w:uiPriority w:val="99"/>
    <w:semiHidden/>
    <w:unhideWhenUsed/>
    <w:rsid w:val="00CE5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540F"/>
    <w:rPr>
      <w:rFonts w:ascii="Tahoma" w:hAnsi="Tahoma" w:cs="Tahoma"/>
      <w:sz w:val="16"/>
      <w:szCs w:val="16"/>
    </w:rPr>
  </w:style>
  <w:style w:type="paragraph" w:styleId="ListParagraph">
    <w:name w:val="List Paragraph"/>
    <w:basedOn w:val="Normal"/>
    <w:uiPriority w:val="34"/>
    <w:qFormat/>
    <w:rsid w:val="00C919DB"/>
    <w:pPr>
      <w:spacing w:after="0" w:line="240" w:lineRule="auto"/>
      <w:ind w:left="720"/>
    </w:pPr>
    <w:rPr>
      <w:rFonts w:eastAsia="Times New Roman" w:cs="Calibri"/>
    </w:rPr>
  </w:style>
  <w:style w:type="character" w:styleId="CommentReference">
    <w:name w:val="annotation reference"/>
    <w:uiPriority w:val="99"/>
    <w:unhideWhenUsed/>
    <w:rsid w:val="009C044C"/>
    <w:rPr>
      <w:sz w:val="16"/>
      <w:szCs w:val="16"/>
    </w:rPr>
  </w:style>
  <w:style w:type="paragraph" w:styleId="CommentText">
    <w:name w:val="annotation text"/>
    <w:basedOn w:val="Normal"/>
    <w:link w:val="CommentTextChar"/>
    <w:uiPriority w:val="99"/>
    <w:unhideWhenUsed/>
    <w:rsid w:val="009C044C"/>
    <w:rPr>
      <w:sz w:val="20"/>
      <w:szCs w:val="20"/>
    </w:rPr>
  </w:style>
  <w:style w:type="character" w:customStyle="1" w:styleId="CommentTextChar">
    <w:name w:val="Comment Text Char"/>
    <w:basedOn w:val="DefaultParagraphFont"/>
    <w:link w:val="CommentText"/>
    <w:uiPriority w:val="99"/>
    <w:rsid w:val="009C044C"/>
  </w:style>
  <w:style w:type="paragraph" w:styleId="CommentSubject">
    <w:name w:val="annotation subject"/>
    <w:basedOn w:val="CommentText"/>
    <w:next w:val="CommentText"/>
    <w:link w:val="CommentSubjectChar"/>
    <w:uiPriority w:val="99"/>
    <w:semiHidden/>
    <w:unhideWhenUsed/>
    <w:rsid w:val="009C044C"/>
    <w:rPr>
      <w:b/>
      <w:bCs/>
    </w:rPr>
  </w:style>
  <w:style w:type="character" w:customStyle="1" w:styleId="CommentSubjectChar">
    <w:name w:val="Comment Subject Char"/>
    <w:link w:val="CommentSubject"/>
    <w:uiPriority w:val="99"/>
    <w:semiHidden/>
    <w:rsid w:val="009C044C"/>
    <w:rPr>
      <w:b/>
      <w:bCs/>
    </w:rPr>
  </w:style>
  <w:style w:type="paragraph" w:styleId="FootnoteText">
    <w:name w:val="footnote text"/>
    <w:basedOn w:val="Normal"/>
    <w:link w:val="FootnoteTextChar"/>
    <w:uiPriority w:val="99"/>
    <w:semiHidden/>
    <w:unhideWhenUsed/>
    <w:rsid w:val="00305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E3F"/>
  </w:style>
  <w:style w:type="character" w:styleId="FootnoteReference">
    <w:name w:val="footnote reference"/>
    <w:semiHidden/>
    <w:unhideWhenUsed/>
    <w:rsid w:val="00305E3F"/>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2060">
      <w:bodyDiv w:val="1"/>
      <w:marLeft w:val="0"/>
      <w:marRight w:val="0"/>
      <w:marTop w:val="0"/>
      <w:marBottom w:val="0"/>
      <w:divBdr>
        <w:top w:val="none" w:sz="0" w:space="0" w:color="auto"/>
        <w:left w:val="none" w:sz="0" w:space="0" w:color="auto"/>
        <w:bottom w:val="none" w:sz="0" w:space="0" w:color="auto"/>
        <w:right w:val="none" w:sz="0" w:space="0" w:color="auto"/>
      </w:divBdr>
    </w:div>
    <w:div w:id="144972169">
      <w:bodyDiv w:val="1"/>
      <w:marLeft w:val="0"/>
      <w:marRight w:val="0"/>
      <w:marTop w:val="0"/>
      <w:marBottom w:val="0"/>
      <w:divBdr>
        <w:top w:val="none" w:sz="0" w:space="0" w:color="auto"/>
        <w:left w:val="none" w:sz="0" w:space="0" w:color="auto"/>
        <w:bottom w:val="none" w:sz="0" w:space="0" w:color="auto"/>
        <w:right w:val="none" w:sz="0" w:space="0" w:color="auto"/>
      </w:divBdr>
    </w:div>
    <w:div w:id="159659564">
      <w:bodyDiv w:val="1"/>
      <w:marLeft w:val="0"/>
      <w:marRight w:val="0"/>
      <w:marTop w:val="0"/>
      <w:marBottom w:val="0"/>
      <w:divBdr>
        <w:top w:val="none" w:sz="0" w:space="0" w:color="auto"/>
        <w:left w:val="none" w:sz="0" w:space="0" w:color="auto"/>
        <w:bottom w:val="none" w:sz="0" w:space="0" w:color="auto"/>
        <w:right w:val="none" w:sz="0" w:space="0" w:color="auto"/>
      </w:divBdr>
    </w:div>
    <w:div w:id="275405722">
      <w:bodyDiv w:val="1"/>
      <w:marLeft w:val="0"/>
      <w:marRight w:val="0"/>
      <w:marTop w:val="0"/>
      <w:marBottom w:val="0"/>
      <w:divBdr>
        <w:top w:val="none" w:sz="0" w:space="0" w:color="auto"/>
        <w:left w:val="none" w:sz="0" w:space="0" w:color="auto"/>
        <w:bottom w:val="none" w:sz="0" w:space="0" w:color="auto"/>
        <w:right w:val="none" w:sz="0" w:space="0" w:color="auto"/>
      </w:divBdr>
    </w:div>
    <w:div w:id="300422228">
      <w:bodyDiv w:val="1"/>
      <w:marLeft w:val="0"/>
      <w:marRight w:val="0"/>
      <w:marTop w:val="0"/>
      <w:marBottom w:val="0"/>
      <w:divBdr>
        <w:top w:val="none" w:sz="0" w:space="0" w:color="auto"/>
        <w:left w:val="none" w:sz="0" w:space="0" w:color="auto"/>
        <w:bottom w:val="none" w:sz="0" w:space="0" w:color="auto"/>
        <w:right w:val="none" w:sz="0" w:space="0" w:color="auto"/>
      </w:divBdr>
    </w:div>
    <w:div w:id="310407151">
      <w:bodyDiv w:val="1"/>
      <w:marLeft w:val="0"/>
      <w:marRight w:val="0"/>
      <w:marTop w:val="0"/>
      <w:marBottom w:val="0"/>
      <w:divBdr>
        <w:top w:val="none" w:sz="0" w:space="0" w:color="auto"/>
        <w:left w:val="none" w:sz="0" w:space="0" w:color="auto"/>
        <w:bottom w:val="none" w:sz="0" w:space="0" w:color="auto"/>
        <w:right w:val="none" w:sz="0" w:space="0" w:color="auto"/>
      </w:divBdr>
    </w:div>
    <w:div w:id="376593066">
      <w:bodyDiv w:val="1"/>
      <w:marLeft w:val="0"/>
      <w:marRight w:val="0"/>
      <w:marTop w:val="0"/>
      <w:marBottom w:val="0"/>
      <w:divBdr>
        <w:top w:val="none" w:sz="0" w:space="0" w:color="auto"/>
        <w:left w:val="none" w:sz="0" w:space="0" w:color="auto"/>
        <w:bottom w:val="none" w:sz="0" w:space="0" w:color="auto"/>
        <w:right w:val="none" w:sz="0" w:space="0" w:color="auto"/>
      </w:divBdr>
    </w:div>
    <w:div w:id="430397055">
      <w:bodyDiv w:val="1"/>
      <w:marLeft w:val="0"/>
      <w:marRight w:val="0"/>
      <w:marTop w:val="0"/>
      <w:marBottom w:val="0"/>
      <w:divBdr>
        <w:top w:val="none" w:sz="0" w:space="0" w:color="auto"/>
        <w:left w:val="none" w:sz="0" w:space="0" w:color="auto"/>
        <w:bottom w:val="none" w:sz="0" w:space="0" w:color="auto"/>
        <w:right w:val="none" w:sz="0" w:space="0" w:color="auto"/>
      </w:divBdr>
      <w:divsChild>
        <w:div w:id="130096608">
          <w:marLeft w:val="0"/>
          <w:marRight w:val="0"/>
          <w:marTop w:val="0"/>
          <w:marBottom w:val="0"/>
          <w:divBdr>
            <w:top w:val="none" w:sz="0" w:space="0" w:color="auto"/>
            <w:left w:val="none" w:sz="0" w:space="0" w:color="auto"/>
            <w:bottom w:val="none" w:sz="0" w:space="0" w:color="auto"/>
            <w:right w:val="none" w:sz="0" w:space="0" w:color="auto"/>
          </w:divBdr>
          <w:divsChild>
            <w:div w:id="232812142">
              <w:marLeft w:val="0"/>
              <w:marRight w:val="0"/>
              <w:marTop w:val="0"/>
              <w:marBottom w:val="0"/>
              <w:divBdr>
                <w:top w:val="none" w:sz="0" w:space="0" w:color="auto"/>
                <w:left w:val="none" w:sz="0" w:space="0" w:color="auto"/>
                <w:bottom w:val="none" w:sz="0" w:space="0" w:color="auto"/>
                <w:right w:val="none" w:sz="0" w:space="0" w:color="auto"/>
              </w:divBdr>
              <w:divsChild>
                <w:div w:id="944655522">
                  <w:marLeft w:val="0"/>
                  <w:marRight w:val="0"/>
                  <w:marTop w:val="0"/>
                  <w:marBottom w:val="0"/>
                  <w:divBdr>
                    <w:top w:val="none" w:sz="0" w:space="0" w:color="auto"/>
                    <w:left w:val="none" w:sz="0" w:space="0" w:color="auto"/>
                    <w:bottom w:val="none" w:sz="0" w:space="0" w:color="auto"/>
                    <w:right w:val="none" w:sz="0" w:space="0" w:color="auto"/>
                  </w:divBdr>
                  <w:divsChild>
                    <w:div w:id="1857229453">
                      <w:marLeft w:val="0"/>
                      <w:marRight w:val="0"/>
                      <w:marTop w:val="0"/>
                      <w:marBottom w:val="0"/>
                      <w:divBdr>
                        <w:top w:val="none" w:sz="0" w:space="0" w:color="auto"/>
                        <w:left w:val="none" w:sz="0" w:space="0" w:color="auto"/>
                        <w:bottom w:val="none" w:sz="0" w:space="0" w:color="auto"/>
                        <w:right w:val="none" w:sz="0" w:space="0" w:color="auto"/>
                      </w:divBdr>
                      <w:divsChild>
                        <w:div w:id="1690520217">
                          <w:marLeft w:val="0"/>
                          <w:marRight w:val="0"/>
                          <w:marTop w:val="0"/>
                          <w:marBottom w:val="0"/>
                          <w:divBdr>
                            <w:top w:val="none" w:sz="0" w:space="0" w:color="auto"/>
                            <w:left w:val="none" w:sz="0" w:space="0" w:color="auto"/>
                            <w:bottom w:val="none" w:sz="0" w:space="0" w:color="auto"/>
                            <w:right w:val="none" w:sz="0" w:space="0" w:color="auto"/>
                          </w:divBdr>
                          <w:divsChild>
                            <w:div w:id="8133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99597">
      <w:bodyDiv w:val="1"/>
      <w:marLeft w:val="0"/>
      <w:marRight w:val="0"/>
      <w:marTop w:val="0"/>
      <w:marBottom w:val="0"/>
      <w:divBdr>
        <w:top w:val="none" w:sz="0" w:space="0" w:color="auto"/>
        <w:left w:val="none" w:sz="0" w:space="0" w:color="auto"/>
        <w:bottom w:val="none" w:sz="0" w:space="0" w:color="auto"/>
        <w:right w:val="none" w:sz="0" w:space="0" w:color="auto"/>
      </w:divBdr>
    </w:div>
    <w:div w:id="489952496">
      <w:bodyDiv w:val="1"/>
      <w:marLeft w:val="0"/>
      <w:marRight w:val="0"/>
      <w:marTop w:val="0"/>
      <w:marBottom w:val="0"/>
      <w:divBdr>
        <w:top w:val="none" w:sz="0" w:space="0" w:color="auto"/>
        <w:left w:val="none" w:sz="0" w:space="0" w:color="auto"/>
        <w:bottom w:val="none" w:sz="0" w:space="0" w:color="auto"/>
        <w:right w:val="none" w:sz="0" w:space="0" w:color="auto"/>
      </w:divBdr>
    </w:div>
    <w:div w:id="749236128">
      <w:bodyDiv w:val="1"/>
      <w:marLeft w:val="0"/>
      <w:marRight w:val="0"/>
      <w:marTop w:val="0"/>
      <w:marBottom w:val="0"/>
      <w:divBdr>
        <w:top w:val="none" w:sz="0" w:space="0" w:color="auto"/>
        <w:left w:val="none" w:sz="0" w:space="0" w:color="auto"/>
        <w:bottom w:val="none" w:sz="0" w:space="0" w:color="auto"/>
        <w:right w:val="none" w:sz="0" w:space="0" w:color="auto"/>
      </w:divBdr>
    </w:div>
    <w:div w:id="900940597">
      <w:bodyDiv w:val="1"/>
      <w:marLeft w:val="0"/>
      <w:marRight w:val="0"/>
      <w:marTop w:val="0"/>
      <w:marBottom w:val="0"/>
      <w:divBdr>
        <w:top w:val="none" w:sz="0" w:space="0" w:color="auto"/>
        <w:left w:val="none" w:sz="0" w:space="0" w:color="auto"/>
        <w:bottom w:val="none" w:sz="0" w:space="0" w:color="auto"/>
        <w:right w:val="none" w:sz="0" w:space="0" w:color="auto"/>
      </w:divBdr>
    </w:div>
    <w:div w:id="973290601">
      <w:bodyDiv w:val="1"/>
      <w:marLeft w:val="0"/>
      <w:marRight w:val="0"/>
      <w:marTop w:val="0"/>
      <w:marBottom w:val="0"/>
      <w:divBdr>
        <w:top w:val="none" w:sz="0" w:space="0" w:color="auto"/>
        <w:left w:val="none" w:sz="0" w:space="0" w:color="auto"/>
        <w:bottom w:val="none" w:sz="0" w:space="0" w:color="auto"/>
        <w:right w:val="none" w:sz="0" w:space="0" w:color="auto"/>
      </w:divBdr>
      <w:divsChild>
        <w:div w:id="1844583861">
          <w:marLeft w:val="0"/>
          <w:marRight w:val="0"/>
          <w:marTop w:val="0"/>
          <w:marBottom w:val="0"/>
          <w:divBdr>
            <w:top w:val="none" w:sz="0" w:space="0" w:color="auto"/>
            <w:left w:val="none" w:sz="0" w:space="0" w:color="auto"/>
            <w:bottom w:val="none" w:sz="0" w:space="0" w:color="auto"/>
            <w:right w:val="none" w:sz="0" w:space="0" w:color="auto"/>
          </w:divBdr>
          <w:divsChild>
            <w:div w:id="1536383325">
              <w:marLeft w:val="0"/>
              <w:marRight w:val="0"/>
              <w:marTop w:val="0"/>
              <w:marBottom w:val="0"/>
              <w:divBdr>
                <w:top w:val="none" w:sz="0" w:space="0" w:color="auto"/>
                <w:left w:val="none" w:sz="0" w:space="0" w:color="auto"/>
                <w:bottom w:val="none" w:sz="0" w:space="0" w:color="auto"/>
                <w:right w:val="none" w:sz="0" w:space="0" w:color="auto"/>
              </w:divBdr>
              <w:divsChild>
                <w:div w:id="1046442648">
                  <w:marLeft w:val="0"/>
                  <w:marRight w:val="0"/>
                  <w:marTop w:val="0"/>
                  <w:marBottom w:val="0"/>
                  <w:divBdr>
                    <w:top w:val="none" w:sz="0" w:space="0" w:color="auto"/>
                    <w:left w:val="none" w:sz="0" w:space="0" w:color="auto"/>
                    <w:bottom w:val="none" w:sz="0" w:space="0" w:color="auto"/>
                    <w:right w:val="none" w:sz="0" w:space="0" w:color="auto"/>
                  </w:divBdr>
                  <w:divsChild>
                    <w:div w:id="1037118752">
                      <w:marLeft w:val="0"/>
                      <w:marRight w:val="0"/>
                      <w:marTop w:val="0"/>
                      <w:marBottom w:val="0"/>
                      <w:divBdr>
                        <w:top w:val="none" w:sz="0" w:space="0" w:color="auto"/>
                        <w:left w:val="none" w:sz="0" w:space="0" w:color="auto"/>
                        <w:bottom w:val="none" w:sz="0" w:space="0" w:color="auto"/>
                        <w:right w:val="none" w:sz="0" w:space="0" w:color="auto"/>
                      </w:divBdr>
                      <w:divsChild>
                        <w:div w:id="2049793956">
                          <w:marLeft w:val="0"/>
                          <w:marRight w:val="0"/>
                          <w:marTop w:val="0"/>
                          <w:marBottom w:val="0"/>
                          <w:divBdr>
                            <w:top w:val="none" w:sz="0" w:space="0" w:color="auto"/>
                            <w:left w:val="none" w:sz="0" w:space="0" w:color="auto"/>
                            <w:bottom w:val="none" w:sz="0" w:space="0" w:color="auto"/>
                            <w:right w:val="none" w:sz="0" w:space="0" w:color="auto"/>
                          </w:divBdr>
                          <w:divsChild>
                            <w:div w:id="8382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260137">
      <w:bodyDiv w:val="1"/>
      <w:marLeft w:val="0"/>
      <w:marRight w:val="0"/>
      <w:marTop w:val="0"/>
      <w:marBottom w:val="0"/>
      <w:divBdr>
        <w:top w:val="none" w:sz="0" w:space="0" w:color="auto"/>
        <w:left w:val="none" w:sz="0" w:space="0" w:color="auto"/>
        <w:bottom w:val="none" w:sz="0" w:space="0" w:color="auto"/>
        <w:right w:val="none" w:sz="0" w:space="0" w:color="auto"/>
      </w:divBdr>
    </w:div>
    <w:div w:id="1099985525">
      <w:bodyDiv w:val="1"/>
      <w:marLeft w:val="0"/>
      <w:marRight w:val="0"/>
      <w:marTop w:val="0"/>
      <w:marBottom w:val="0"/>
      <w:divBdr>
        <w:top w:val="none" w:sz="0" w:space="0" w:color="auto"/>
        <w:left w:val="none" w:sz="0" w:space="0" w:color="auto"/>
        <w:bottom w:val="none" w:sz="0" w:space="0" w:color="auto"/>
        <w:right w:val="none" w:sz="0" w:space="0" w:color="auto"/>
      </w:divBdr>
    </w:div>
    <w:div w:id="1180437028">
      <w:bodyDiv w:val="1"/>
      <w:marLeft w:val="0"/>
      <w:marRight w:val="0"/>
      <w:marTop w:val="0"/>
      <w:marBottom w:val="0"/>
      <w:divBdr>
        <w:top w:val="none" w:sz="0" w:space="0" w:color="auto"/>
        <w:left w:val="none" w:sz="0" w:space="0" w:color="auto"/>
        <w:bottom w:val="none" w:sz="0" w:space="0" w:color="auto"/>
        <w:right w:val="none" w:sz="0" w:space="0" w:color="auto"/>
      </w:divBdr>
    </w:div>
    <w:div w:id="1314598148">
      <w:bodyDiv w:val="1"/>
      <w:marLeft w:val="0"/>
      <w:marRight w:val="0"/>
      <w:marTop w:val="0"/>
      <w:marBottom w:val="0"/>
      <w:divBdr>
        <w:top w:val="none" w:sz="0" w:space="0" w:color="auto"/>
        <w:left w:val="none" w:sz="0" w:space="0" w:color="auto"/>
        <w:bottom w:val="none" w:sz="0" w:space="0" w:color="auto"/>
        <w:right w:val="none" w:sz="0" w:space="0" w:color="auto"/>
      </w:divBdr>
    </w:div>
    <w:div w:id="1352027750">
      <w:bodyDiv w:val="1"/>
      <w:marLeft w:val="0"/>
      <w:marRight w:val="0"/>
      <w:marTop w:val="0"/>
      <w:marBottom w:val="0"/>
      <w:divBdr>
        <w:top w:val="none" w:sz="0" w:space="0" w:color="auto"/>
        <w:left w:val="none" w:sz="0" w:space="0" w:color="auto"/>
        <w:bottom w:val="none" w:sz="0" w:space="0" w:color="auto"/>
        <w:right w:val="none" w:sz="0" w:space="0" w:color="auto"/>
      </w:divBdr>
    </w:div>
    <w:div w:id="1404789340">
      <w:bodyDiv w:val="1"/>
      <w:marLeft w:val="0"/>
      <w:marRight w:val="0"/>
      <w:marTop w:val="0"/>
      <w:marBottom w:val="0"/>
      <w:divBdr>
        <w:top w:val="none" w:sz="0" w:space="0" w:color="auto"/>
        <w:left w:val="none" w:sz="0" w:space="0" w:color="auto"/>
        <w:bottom w:val="none" w:sz="0" w:space="0" w:color="auto"/>
        <w:right w:val="none" w:sz="0" w:space="0" w:color="auto"/>
      </w:divBdr>
    </w:div>
    <w:div w:id="1425342471">
      <w:bodyDiv w:val="1"/>
      <w:marLeft w:val="0"/>
      <w:marRight w:val="0"/>
      <w:marTop w:val="0"/>
      <w:marBottom w:val="0"/>
      <w:divBdr>
        <w:top w:val="none" w:sz="0" w:space="0" w:color="auto"/>
        <w:left w:val="none" w:sz="0" w:space="0" w:color="auto"/>
        <w:bottom w:val="none" w:sz="0" w:space="0" w:color="auto"/>
        <w:right w:val="none" w:sz="0" w:space="0" w:color="auto"/>
      </w:divBdr>
      <w:divsChild>
        <w:div w:id="1234655647">
          <w:marLeft w:val="0"/>
          <w:marRight w:val="0"/>
          <w:marTop w:val="0"/>
          <w:marBottom w:val="0"/>
          <w:divBdr>
            <w:top w:val="none" w:sz="0" w:space="0" w:color="auto"/>
            <w:left w:val="none" w:sz="0" w:space="0" w:color="auto"/>
            <w:bottom w:val="none" w:sz="0" w:space="0" w:color="auto"/>
            <w:right w:val="none" w:sz="0" w:space="0" w:color="auto"/>
          </w:divBdr>
          <w:divsChild>
            <w:div w:id="1155991377">
              <w:marLeft w:val="0"/>
              <w:marRight w:val="0"/>
              <w:marTop w:val="0"/>
              <w:marBottom w:val="0"/>
              <w:divBdr>
                <w:top w:val="none" w:sz="0" w:space="0" w:color="auto"/>
                <w:left w:val="none" w:sz="0" w:space="0" w:color="auto"/>
                <w:bottom w:val="none" w:sz="0" w:space="0" w:color="auto"/>
                <w:right w:val="none" w:sz="0" w:space="0" w:color="auto"/>
              </w:divBdr>
              <w:divsChild>
                <w:div w:id="983241748">
                  <w:marLeft w:val="0"/>
                  <w:marRight w:val="0"/>
                  <w:marTop w:val="0"/>
                  <w:marBottom w:val="0"/>
                  <w:divBdr>
                    <w:top w:val="none" w:sz="0" w:space="0" w:color="auto"/>
                    <w:left w:val="none" w:sz="0" w:space="0" w:color="auto"/>
                    <w:bottom w:val="none" w:sz="0" w:space="0" w:color="auto"/>
                    <w:right w:val="none" w:sz="0" w:space="0" w:color="auto"/>
                  </w:divBdr>
                  <w:divsChild>
                    <w:div w:id="845483424">
                      <w:marLeft w:val="0"/>
                      <w:marRight w:val="0"/>
                      <w:marTop w:val="0"/>
                      <w:marBottom w:val="0"/>
                      <w:divBdr>
                        <w:top w:val="none" w:sz="0" w:space="0" w:color="auto"/>
                        <w:left w:val="none" w:sz="0" w:space="0" w:color="auto"/>
                        <w:bottom w:val="none" w:sz="0" w:space="0" w:color="auto"/>
                        <w:right w:val="none" w:sz="0" w:space="0" w:color="auto"/>
                      </w:divBdr>
                      <w:divsChild>
                        <w:div w:id="643389391">
                          <w:marLeft w:val="0"/>
                          <w:marRight w:val="0"/>
                          <w:marTop w:val="0"/>
                          <w:marBottom w:val="0"/>
                          <w:divBdr>
                            <w:top w:val="none" w:sz="0" w:space="0" w:color="auto"/>
                            <w:left w:val="none" w:sz="0" w:space="0" w:color="auto"/>
                            <w:bottom w:val="none" w:sz="0" w:space="0" w:color="auto"/>
                            <w:right w:val="none" w:sz="0" w:space="0" w:color="auto"/>
                          </w:divBdr>
                          <w:divsChild>
                            <w:div w:id="21092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228381">
      <w:bodyDiv w:val="1"/>
      <w:marLeft w:val="0"/>
      <w:marRight w:val="0"/>
      <w:marTop w:val="0"/>
      <w:marBottom w:val="0"/>
      <w:divBdr>
        <w:top w:val="none" w:sz="0" w:space="0" w:color="auto"/>
        <w:left w:val="none" w:sz="0" w:space="0" w:color="auto"/>
        <w:bottom w:val="none" w:sz="0" w:space="0" w:color="auto"/>
        <w:right w:val="none" w:sz="0" w:space="0" w:color="auto"/>
      </w:divBdr>
    </w:div>
    <w:div w:id="1759786643">
      <w:bodyDiv w:val="1"/>
      <w:marLeft w:val="0"/>
      <w:marRight w:val="0"/>
      <w:marTop w:val="0"/>
      <w:marBottom w:val="0"/>
      <w:divBdr>
        <w:top w:val="none" w:sz="0" w:space="0" w:color="auto"/>
        <w:left w:val="none" w:sz="0" w:space="0" w:color="auto"/>
        <w:bottom w:val="none" w:sz="0" w:space="0" w:color="auto"/>
        <w:right w:val="none" w:sz="0" w:space="0" w:color="auto"/>
      </w:divBdr>
      <w:divsChild>
        <w:div w:id="1371609292">
          <w:marLeft w:val="0"/>
          <w:marRight w:val="0"/>
          <w:marTop w:val="0"/>
          <w:marBottom w:val="0"/>
          <w:divBdr>
            <w:top w:val="none" w:sz="0" w:space="0" w:color="auto"/>
            <w:left w:val="none" w:sz="0" w:space="0" w:color="auto"/>
            <w:bottom w:val="none" w:sz="0" w:space="0" w:color="auto"/>
            <w:right w:val="none" w:sz="0" w:space="0" w:color="auto"/>
          </w:divBdr>
          <w:divsChild>
            <w:div w:id="730618792">
              <w:marLeft w:val="0"/>
              <w:marRight w:val="0"/>
              <w:marTop w:val="0"/>
              <w:marBottom w:val="0"/>
              <w:divBdr>
                <w:top w:val="none" w:sz="0" w:space="0" w:color="auto"/>
                <w:left w:val="none" w:sz="0" w:space="0" w:color="auto"/>
                <w:bottom w:val="none" w:sz="0" w:space="0" w:color="auto"/>
                <w:right w:val="none" w:sz="0" w:space="0" w:color="auto"/>
              </w:divBdr>
              <w:divsChild>
                <w:div w:id="1611624650">
                  <w:marLeft w:val="0"/>
                  <w:marRight w:val="0"/>
                  <w:marTop w:val="0"/>
                  <w:marBottom w:val="0"/>
                  <w:divBdr>
                    <w:top w:val="none" w:sz="0" w:space="0" w:color="auto"/>
                    <w:left w:val="none" w:sz="0" w:space="0" w:color="auto"/>
                    <w:bottom w:val="none" w:sz="0" w:space="0" w:color="auto"/>
                    <w:right w:val="none" w:sz="0" w:space="0" w:color="auto"/>
                  </w:divBdr>
                  <w:divsChild>
                    <w:div w:id="1698120671">
                      <w:marLeft w:val="0"/>
                      <w:marRight w:val="0"/>
                      <w:marTop w:val="0"/>
                      <w:marBottom w:val="0"/>
                      <w:divBdr>
                        <w:top w:val="none" w:sz="0" w:space="0" w:color="auto"/>
                        <w:left w:val="none" w:sz="0" w:space="0" w:color="auto"/>
                        <w:bottom w:val="none" w:sz="0" w:space="0" w:color="auto"/>
                        <w:right w:val="none" w:sz="0" w:space="0" w:color="auto"/>
                      </w:divBdr>
                      <w:divsChild>
                        <w:div w:id="907954821">
                          <w:marLeft w:val="0"/>
                          <w:marRight w:val="0"/>
                          <w:marTop w:val="0"/>
                          <w:marBottom w:val="0"/>
                          <w:divBdr>
                            <w:top w:val="none" w:sz="0" w:space="0" w:color="auto"/>
                            <w:left w:val="none" w:sz="0" w:space="0" w:color="auto"/>
                            <w:bottom w:val="none" w:sz="0" w:space="0" w:color="auto"/>
                            <w:right w:val="none" w:sz="0" w:space="0" w:color="auto"/>
                          </w:divBdr>
                          <w:divsChild>
                            <w:div w:id="9717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729575">
      <w:bodyDiv w:val="1"/>
      <w:marLeft w:val="0"/>
      <w:marRight w:val="0"/>
      <w:marTop w:val="0"/>
      <w:marBottom w:val="0"/>
      <w:divBdr>
        <w:top w:val="none" w:sz="0" w:space="0" w:color="auto"/>
        <w:left w:val="none" w:sz="0" w:space="0" w:color="auto"/>
        <w:bottom w:val="none" w:sz="0" w:space="0" w:color="auto"/>
        <w:right w:val="none" w:sz="0" w:space="0" w:color="auto"/>
      </w:divBdr>
    </w:div>
    <w:div w:id="1931231616">
      <w:bodyDiv w:val="1"/>
      <w:marLeft w:val="0"/>
      <w:marRight w:val="0"/>
      <w:marTop w:val="0"/>
      <w:marBottom w:val="0"/>
      <w:divBdr>
        <w:top w:val="none" w:sz="0" w:space="0" w:color="auto"/>
        <w:left w:val="none" w:sz="0" w:space="0" w:color="auto"/>
        <w:bottom w:val="none" w:sz="0" w:space="0" w:color="auto"/>
        <w:right w:val="none" w:sz="0" w:space="0" w:color="auto"/>
      </w:divBdr>
      <w:divsChild>
        <w:div w:id="1308709923">
          <w:marLeft w:val="0"/>
          <w:marRight w:val="0"/>
          <w:marTop w:val="0"/>
          <w:marBottom w:val="0"/>
          <w:divBdr>
            <w:top w:val="none" w:sz="0" w:space="0" w:color="auto"/>
            <w:left w:val="none" w:sz="0" w:space="0" w:color="auto"/>
            <w:bottom w:val="none" w:sz="0" w:space="0" w:color="auto"/>
            <w:right w:val="none" w:sz="0" w:space="0" w:color="auto"/>
          </w:divBdr>
          <w:divsChild>
            <w:div w:id="1611280493">
              <w:marLeft w:val="0"/>
              <w:marRight w:val="0"/>
              <w:marTop w:val="0"/>
              <w:marBottom w:val="0"/>
              <w:divBdr>
                <w:top w:val="none" w:sz="0" w:space="0" w:color="auto"/>
                <w:left w:val="none" w:sz="0" w:space="0" w:color="auto"/>
                <w:bottom w:val="none" w:sz="0" w:space="0" w:color="auto"/>
                <w:right w:val="none" w:sz="0" w:space="0" w:color="auto"/>
              </w:divBdr>
              <w:divsChild>
                <w:div w:id="1907177575">
                  <w:marLeft w:val="0"/>
                  <w:marRight w:val="0"/>
                  <w:marTop w:val="0"/>
                  <w:marBottom w:val="0"/>
                  <w:divBdr>
                    <w:top w:val="none" w:sz="0" w:space="0" w:color="auto"/>
                    <w:left w:val="none" w:sz="0" w:space="0" w:color="auto"/>
                    <w:bottom w:val="none" w:sz="0" w:space="0" w:color="auto"/>
                    <w:right w:val="none" w:sz="0" w:space="0" w:color="auto"/>
                  </w:divBdr>
                  <w:divsChild>
                    <w:div w:id="609625280">
                      <w:marLeft w:val="0"/>
                      <w:marRight w:val="0"/>
                      <w:marTop w:val="0"/>
                      <w:marBottom w:val="0"/>
                      <w:divBdr>
                        <w:top w:val="none" w:sz="0" w:space="0" w:color="auto"/>
                        <w:left w:val="none" w:sz="0" w:space="0" w:color="auto"/>
                        <w:bottom w:val="none" w:sz="0" w:space="0" w:color="auto"/>
                        <w:right w:val="none" w:sz="0" w:space="0" w:color="auto"/>
                      </w:divBdr>
                      <w:divsChild>
                        <w:div w:id="950431232">
                          <w:marLeft w:val="0"/>
                          <w:marRight w:val="0"/>
                          <w:marTop w:val="0"/>
                          <w:marBottom w:val="0"/>
                          <w:divBdr>
                            <w:top w:val="none" w:sz="0" w:space="0" w:color="auto"/>
                            <w:left w:val="none" w:sz="0" w:space="0" w:color="auto"/>
                            <w:bottom w:val="none" w:sz="0" w:space="0" w:color="auto"/>
                            <w:right w:val="none" w:sz="0" w:space="0" w:color="auto"/>
                          </w:divBdr>
                          <w:divsChild>
                            <w:div w:id="16836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415402">
      <w:bodyDiv w:val="1"/>
      <w:marLeft w:val="0"/>
      <w:marRight w:val="0"/>
      <w:marTop w:val="0"/>
      <w:marBottom w:val="0"/>
      <w:divBdr>
        <w:top w:val="none" w:sz="0" w:space="0" w:color="auto"/>
        <w:left w:val="none" w:sz="0" w:space="0" w:color="auto"/>
        <w:bottom w:val="none" w:sz="0" w:space="0" w:color="auto"/>
        <w:right w:val="none" w:sz="0" w:space="0" w:color="auto"/>
      </w:divBdr>
      <w:divsChild>
        <w:div w:id="1110780557">
          <w:marLeft w:val="0"/>
          <w:marRight w:val="0"/>
          <w:marTop w:val="0"/>
          <w:marBottom w:val="0"/>
          <w:divBdr>
            <w:top w:val="none" w:sz="0" w:space="0" w:color="auto"/>
            <w:left w:val="none" w:sz="0" w:space="0" w:color="auto"/>
            <w:bottom w:val="none" w:sz="0" w:space="0" w:color="auto"/>
            <w:right w:val="none" w:sz="0" w:space="0" w:color="auto"/>
          </w:divBdr>
          <w:divsChild>
            <w:div w:id="584999417">
              <w:marLeft w:val="0"/>
              <w:marRight w:val="0"/>
              <w:marTop w:val="0"/>
              <w:marBottom w:val="0"/>
              <w:divBdr>
                <w:top w:val="none" w:sz="0" w:space="0" w:color="auto"/>
                <w:left w:val="none" w:sz="0" w:space="0" w:color="auto"/>
                <w:bottom w:val="none" w:sz="0" w:space="0" w:color="auto"/>
                <w:right w:val="none" w:sz="0" w:space="0" w:color="auto"/>
              </w:divBdr>
              <w:divsChild>
                <w:div w:id="703871344">
                  <w:marLeft w:val="0"/>
                  <w:marRight w:val="0"/>
                  <w:marTop w:val="0"/>
                  <w:marBottom w:val="0"/>
                  <w:divBdr>
                    <w:top w:val="none" w:sz="0" w:space="0" w:color="auto"/>
                    <w:left w:val="none" w:sz="0" w:space="0" w:color="auto"/>
                    <w:bottom w:val="none" w:sz="0" w:space="0" w:color="auto"/>
                    <w:right w:val="none" w:sz="0" w:space="0" w:color="auto"/>
                  </w:divBdr>
                  <w:divsChild>
                    <w:div w:id="740101834">
                      <w:marLeft w:val="0"/>
                      <w:marRight w:val="0"/>
                      <w:marTop w:val="0"/>
                      <w:marBottom w:val="0"/>
                      <w:divBdr>
                        <w:top w:val="none" w:sz="0" w:space="0" w:color="auto"/>
                        <w:left w:val="none" w:sz="0" w:space="0" w:color="auto"/>
                        <w:bottom w:val="none" w:sz="0" w:space="0" w:color="auto"/>
                        <w:right w:val="none" w:sz="0" w:space="0" w:color="auto"/>
                      </w:divBdr>
                    </w:div>
                    <w:div w:id="1029263393">
                      <w:marLeft w:val="0"/>
                      <w:marRight w:val="0"/>
                      <w:marTop w:val="0"/>
                      <w:marBottom w:val="0"/>
                      <w:divBdr>
                        <w:top w:val="none" w:sz="0" w:space="0" w:color="auto"/>
                        <w:left w:val="none" w:sz="0" w:space="0" w:color="auto"/>
                        <w:bottom w:val="none" w:sz="0" w:space="0" w:color="auto"/>
                        <w:right w:val="none" w:sz="0" w:space="0" w:color="auto"/>
                      </w:divBdr>
                      <w:divsChild>
                        <w:div w:id="1085803826">
                          <w:marLeft w:val="0"/>
                          <w:marRight w:val="0"/>
                          <w:marTop w:val="0"/>
                          <w:marBottom w:val="0"/>
                          <w:divBdr>
                            <w:top w:val="none" w:sz="0" w:space="0" w:color="auto"/>
                            <w:left w:val="none" w:sz="0" w:space="0" w:color="auto"/>
                            <w:bottom w:val="none" w:sz="0" w:space="0" w:color="auto"/>
                            <w:right w:val="none" w:sz="0" w:space="0" w:color="auto"/>
                          </w:divBdr>
                          <w:divsChild>
                            <w:div w:id="53745632">
                              <w:marLeft w:val="0"/>
                              <w:marRight w:val="0"/>
                              <w:marTop w:val="0"/>
                              <w:marBottom w:val="0"/>
                              <w:divBdr>
                                <w:top w:val="none" w:sz="0" w:space="0" w:color="auto"/>
                                <w:left w:val="none" w:sz="0" w:space="0" w:color="auto"/>
                                <w:bottom w:val="none" w:sz="0" w:space="0" w:color="auto"/>
                                <w:right w:val="none" w:sz="0" w:space="0" w:color="auto"/>
                              </w:divBdr>
                            </w:div>
                            <w:div w:id="97603456">
                              <w:marLeft w:val="0"/>
                              <w:marRight w:val="0"/>
                              <w:marTop w:val="0"/>
                              <w:marBottom w:val="0"/>
                              <w:divBdr>
                                <w:top w:val="none" w:sz="0" w:space="0" w:color="auto"/>
                                <w:left w:val="none" w:sz="0" w:space="0" w:color="auto"/>
                                <w:bottom w:val="none" w:sz="0" w:space="0" w:color="auto"/>
                                <w:right w:val="none" w:sz="0" w:space="0" w:color="auto"/>
                              </w:divBdr>
                            </w:div>
                            <w:div w:id="328682172">
                              <w:marLeft w:val="0"/>
                              <w:marRight w:val="0"/>
                              <w:marTop w:val="0"/>
                              <w:marBottom w:val="0"/>
                              <w:divBdr>
                                <w:top w:val="none" w:sz="0" w:space="0" w:color="auto"/>
                                <w:left w:val="none" w:sz="0" w:space="0" w:color="auto"/>
                                <w:bottom w:val="none" w:sz="0" w:space="0" w:color="auto"/>
                                <w:right w:val="none" w:sz="0" w:space="0" w:color="auto"/>
                              </w:divBdr>
                            </w:div>
                            <w:div w:id="370956926">
                              <w:marLeft w:val="0"/>
                              <w:marRight w:val="0"/>
                              <w:marTop w:val="0"/>
                              <w:marBottom w:val="0"/>
                              <w:divBdr>
                                <w:top w:val="none" w:sz="0" w:space="0" w:color="auto"/>
                                <w:left w:val="none" w:sz="0" w:space="0" w:color="auto"/>
                                <w:bottom w:val="none" w:sz="0" w:space="0" w:color="auto"/>
                                <w:right w:val="none" w:sz="0" w:space="0" w:color="auto"/>
                              </w:divBdr>
                              <w:divsChild>
                                <w:div w:id="279991592">
                                  <w:marLeft w:val="0"/>
                                  <w:marRight w:val="0"/>
                                  <w:marTop w:val="0"/>
                                  <w:marBottom w:val="0"/>
                                  <w:divBdr>
                                    <w:top w:val="none" w:sz="0" w:space="0" w:color="auto"/>
                                    <w:left w:val="none" w:sz="0" w:space="0" w:color="auto"/>
                                    <w:bottom w:val="none" w:sz="0" w:space="0" w:color="auto"/>
                                    <w:right w:val="none" w:sz="0" w:space="0" w:color="auto"/>
                                  </w:divBdr>
                                </w:div>
                              </w:divsChild>
                            </w:div>
                            <w:div w:id="975454556">
                              <w:marLeft w:val="0"/>
                              <w:marRight w:val="0"/>
                              <w:marTop w:val="0"/>
                              <w:marBottom w:val="0"/>
                              <w:divBdr>
                                <w:top w:val="none" w:sz="0" w:space="0" w:color="auto"/>
                                <w:left w:val="none" w:sz="0" w:space="0" w:color="auto"/>
                                <w:bottom w:val="none" w:sz="0" w:space="0" w:color="auto"/>
                                <w:right w:val="none" w:sz="0" w:space="0" w:color="auto"/>
                              </w:divBdr>
                            </w:div>
                            <w:div w:id="1010448513">
                              <w:marLeft w:val="0"/>
                              <w:marRight w:val="0"/>
                              <w:marTop w:val="0"/>
                              <w:marBottom w:val="0"/>
                              <w:divBdr>
                                <w:top w:val="none" w:sz="0" w:space="0" w:color="auto"/>
                                <w:left w:val="none" w:sz="0" w:space="0" w:color="auto"/>
                                <w:bottom w:val="none" w:sz="0" w:space="0" w:color="auto"/>
                                <w:right w:val="none" w:sz="0" w:space="0" w:color="auto"/>
                              </w:divBdr>
                            </w:div>
                            <w:div w:id="1021786354">
                              <w:marLeft w:val="0"/>
                              <w:marRight w:val="0"/>
                              <w:marTop w:val="0"/>
                              <w:marBottom w:val="0"/>
                              <w:divBdr>
                                <w:top w:val="none" w:sz="0" w:space="0" w:color="auto"/>
                                <w:left w:val="none" w:sz="0" w:space="0" w:color="auto"/>
                                <w:bottom w:val="none" w:sz="0" w:space="0" w:color="auto"/>
                                <w:right w:val="none" w:sz="0" w:space="0" w:color="auto"/>
                              </w:divBdr>
                            </w:div>
                            <w:div w:id="1034506007">
                              <w:marLeft w:val="0"/>
                              <w:marRight w:val="0"/>
                              <w:marTop w:val="0"/>
                              <w:marBottom w:val="0"/>
                              <w:divBdr>
                                <w:top w:val="none" w:sz="0" w:space="0" w:color="auto"/>
                                <w:left w:val="none" w:sz="0" w:space="0" w:color="auto"/>
                                <w:bottom w:val="none" w:sz="0" w:space="0" w:color="auto"/>
                                <w:right w:val="none" w:sz="0" w:space="0" w:color="auto"/>
                              </w:divBdr>
                            </w:div>
                            <w:div w:id="1103577175">
                              <w:marLeft w:val="0"/>
                              <w:marRight w:val="0"/>
                              <w:marTop w:val="0"/>
                              <w:marBottom w:val="0"/>
                              <w:divBdr>
                                <w:top w:val="none" w:sz="0" w:space="0" w:color="auto"/>
                                <w:left w:val="none" w:sz="0" w:space="0" w:color="auto"/>
                                <w:bottom w:val="none" w:sz="0" w:space="0" w:color="auto"/>
                                <w:right w:val="none" w:sz="0" w:space="0" w:color="auto"/>
                              </w:divBdr>
                            </w:div>
                            <w:div w:id="1358311285">
                              <w:marLeft w:val="0"/>
                              <w:marRight w:val="0"/>
                              <w:marTop w:val="0"/>
                              <w:marBottom w:val="0"/>
                              <w:divBdr>
                                <w:top w:val="none" w:sz="0" w:space="0" w:color="auto"/>
                                <w:left w:val="none" w:sz="0" w:space="0" w:color="auto"/>
                                <w:bottom w:val="none" w:sz="0" w:space="0" w:color="auto"/>
                                <w:right w:val="none" w:sz="0" w:space="0" w:color="auto"/>
                              </w:divBdr>
                            </w:div>
                            <w:div w:id="1495876517">
                              <w:marLeft w:val="0"/>
                              <w:marRight w:val="0"/>
                              <w:marTop w:val="0"/>
                              <w:marBottom w:val="0"/>
                              <w:divBdr>
                                <w:top w:val="none" w:sz="0" w:space="0" w:color="auto"/>
                                <w:left w:val="none" w:sz="0" w:space="0" w:color="auto"/>
                                <w:bottom w:val="none" w:sz="0" w:space="0" w:color="auto"/>
                                <w:right w:val="none" w:sz="0" w:space="0" w:color="auto"/>
                              </w:divBdr>
                            </w:div>
                            <w:div w:id="1599021322">
                              <w:marLeft w:val="0"/>
                              <w:marRight w:val="0"/>
                              <w:marTop w:val="0"/>
                              <w:marBottom w:val="0"/>
                              <w:divBdr>
                                <w:top w:val="none" w:sz="0" w:space="0" w:color="auto"/>
                                <w:left w:val="none" w:sz="0" w:space="0" w:color="auto"/>
                                <w:bottom w:val="none" w:sz="0" w:space="0" w:color="auto"/>
                                <w:right w:val="none" w:sz="0" w:space="0" w:color="auto"/>
                              </w:divBdr>
                            </w:div>
                            <w:div w:id="1766227943">
                              <w:marLeft w:val="0"/>
                              <w:marRight w:val="0"/>
                              <w:marTop w:val="0"/>
                              <w:marBottom w:val="0"/>
                              <w:divBdr>
                                <w:top w:val="none" w:sz="0" w:space="0" w:color="auto"/>
                                <w:left w:val="none" w:sz="0" w:space="0" w:color="auto"/>
                                <w:bottom w:val="none" w:sz="0" w:space="0" w:color="auto"/>
                                <w:right w:val="none" w:sz="0" w:space="0" w:color="auto"/>
                              </w:divBdr>
                            </w:div>
                            <w:div w:id="1771388345">
                              <w:marLeft w:val="0"/>
                              <w:marRight w:val="0"/>
                              <w:marTop w:val="0"/>
                              <w:marBottom w:val="0"/>
                              <w:divBdr>
                                <w:top w:val="none" w:sz="0" w:space="0" w:color="auto"/>
                                <w:left w:val="none" w:sz="0" w:space="0" w:color="auto"/>
                                <w:bottom w:val="none" w:sz="0" w:space="0" w:color="auto"/>
                                <w:right w:val="none" w:sz="0" w:space="0" w:color="auto"/>
                              </w:divBdr>
                            </w:div>
                            <w:div w:id="1788503406">
                              <w:marLeft w:val="0"/>
                              <w:marRight w:val="0"/>
                              <w:marTop w:val="0"/>
                              <w:marBottom w:val="0"/>
                              <w:divBdr>
                                <w:top w:val="none" w:sz="0" w:space="0" w:color="auto"/>
                                <w:left w:val="none" w:sz="0" w:space="0" w:color="auto"/>
                                <w:bottom w:val="none" w:sz="0" w:space="0" w:color="auto"/>
                                <w:right w:val="none" w:sz="0" w:space="0" w:color="auto"/>
                              </w:divBdr>
                            </w:div>
                            <w:div w:id="1831360084">
                              <w:marLeft w:val="0"/>
                              <w:marRight w:val="0"/>
                              <w:marTop w:val="0"/>
                              <w:marBottom w:val="0"/>
                              <w:divBdr>
                                <w:top w:val="none" w:sz="0" w:space="0" w:color="auto"/>
                                <w:left w:val="none" w:sz="0" w:space="0" w:color="auto"/>
                                <w:bottom w:val="none" w:sz="0" w:space="0" w:color="auto"/>
                                <w:right w:val="none" w:sz="0" w:space="0" w:color="auto"/>
                              </w:divBdr>
                            </w:div>
                            <w:div w:id="1883903977">
                              <w:marLeft w:val="0"/>
                              <w:marRight w:val="0"/>
                              <w:marTop w:val="0"/>
                              <w:marBottom w:val="0"/>
                              <w:divBdr>
                                <w:top w:val="none" w:sz="0" w:space="0" w:color="auto"/>
                                <w:left w:val="none" w:sz="0" w:space="0" w:color="auto"/>
                                <w:bottom w:val="none" w:sz="0" w:space="0" w:color="auto"/>
                                <w:right w:val="none" w:sz="0" w:space="0" w:color="auto"/>
                              </w:divBdr>
                            </w:div>
                            <w:div w:id="1935549117">
                              <w:marLeft w:val="0"/>
                              <w:marRight w:val="0"/>
                              <w:marTop w:val="0"/>
                              <w:marBottom w:val="0"/>
                              <w:divBdr>
                                <w:top w:val="none" w:sz="0" w:space="0" w:color="auto"/>
                                <w:left w:val="none" w:sz="0" w:space="0" w:color="auto"/>
                                <w:bottom w:val="none" w:sz="0" w:space="0" w:color="auto"/>
                                <w:right w:val="none" w:sz="0" w:space="0" w:color="auto"/>
                              </w:divBdr>
                            </w:div>
                            <w:div w:id="2055959283">
                              <w:marLeft w:val="0"/>
                              <w:marRight w:val="0"/>
                              <w:marTop w:val="0"/>
                              <w:marBottom w:val="0"/>
                              <w:divBdr>
                                <w:top w:val="none" w:sz="0" w:space="0" w:color="auto"/>
                                <w:left w:val="none" w:sz="0" w:space="0" w:color="auto"/>
                                <w:bottom w:val="none" w:sz="0" w:space="0" w:color="auto"/>
                                <w:right w:val="none" w:sz="0" w:space="0" w:color="auto"/>
                              </w:divBdr>
                            </w:div>
                            <w:div w:id="2074506630">
                              <w:marLeft w:val="0"/>
                              <w:marRight w:val="0"/>
                              <w:marTop w:val="0"/>
                              <w:marBottom w:val="0"/>
                              <w:divBdr>
                                <w:top w:val="none" w:sz="0" w:space="0" w:color="auto"/>
                                <w:left w:val="none" w:sz="0" w:space="0" w:color="auto"/>
                                <w:bottom w:val="none" w:sz="0" w:space="0" w:color="auto"/>
                                <w:right w:val="none" w:sz="0" w:space="0" w:color="auto"/>
                              </w:divBdr>
                              <w:divsChild>
                                <w:div w:id="14400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947841">
      <w:bodyDiv w:val="1"/>
      <w:marLeft w:val="0"/>
      <w:marRight w:val="0"/>
      <w:marTop w:val="0"/>
      <w:marBottom w:val="0"/>
      <w:divBdr>
        <w:top w:val="none" w:sz="0" w:space="0" w:color="auto"/>
        <w:left w:val="none" w:sz="0" w:space="0" w:color="auto"/>
        <w:bottom w:val="none" w:sz="0" w:space="0" w:color="auto"/>
        <w:right w:val="none" w:sz="0" w:space="0" w:color="auto"/>
      </w:divBdr>
    </w:div>
    <w:div w:id="21071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6882</Words>
  <Characters>39233</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46023</CharactersWithSpaces>
  <SharedDoc>false</SharedDoc>
  <HLinks>
    <vt:vector size="12" baseType="variant">
      <vt:variant>
        <vt:i4>4259934</vt:i4>
      </vt:variant>
      <vt:variant>
        <vt:i4>3</vt:i4>
      </vt:variant>
      <vt:variant>
        <vt:i4>0</vt:i4>
      </vt:variant>
      <vt:variant>
        <vt:i4>5</vt:i4>
      </vt:variant>
      <vt:variant>
        <vt:lpwstr>http://api.fdsys.gov/link?collection=uscode&amp;title=21&amp;year=mostrecent&amp;section=353&amp;type=usc&amp;link-type=html</vt:lpwstr>
      </vt:variant>
      <vt:variant>
        <vt:lpwstr/>
      </vt:variant>
      <vt:variant>
        <vt:i4>4259934</vt:i4>
      </vt:variant>
      <vt:variant>
        <vt:i4>0</vt:i4>
      </vt:variant>
      <vt:variant>
        <vt:i4>0</vt:i4>
      </vt:variant>
      <vt:variant>
        <vt:i4>5</vt:i4>
      </vt:variant>
      <vt:variant>
        <vt:lpwstr>http://api.fdsys.gov/link?collection=uscode&amp;title=21&amp;year=mostrecent&amp;section=353&amp;type=usc&amp;link-type=html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Muller, Howard P</dc:creator>
  <cp:lastModifiedBy>Mizrachi, Ila</cp:lastModifiedBy>
  <cp:revision>3</cp:revision>
  <dcterms:created xsi:type="dcterms:W3CDTF">2015-07-10T16:47:00Z</dcterms:created>
  <dcterms:modified xsi:type="dcterms:W3CDTF">2015-07-20T18:01:00Z</dcterms:modified>
</cp:coreProperties>
</file>