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720" w:rsidRDefault="00490720">
      <w:pPr>
        <w:widowControl/>
        <w:autoSpaceDE/>
        <w:autoSpaceDN/>
        <w:adjustRightInd/>
        <w:rPr>
          <w:b/>
          <w:bCs/>
          <w:sz w:val="32"/>
          <w:szCs w:val="32"/>
        </w:rPr>
      </w:pPr>
    </w:p>
    <w:p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rsidR="00BA1A0C" w:rsidRDefault="00BA1A0C" w:rsidP="00CE5AA9">
      <w:pPr>
        <w:tabs>
          <w:tab w:val="center" w:pos="4680"/>
        </w:tabs>
        <w:spacing w:before="120"/>
        <w:jc w:val="center"/>
        <w:rPr>
          <w:b/>
          <w:bCs/>
          <w:sz w:val="32"/>
          <w:szCs w:val="32"/>
        </w:rPr>
      </w:pPr>
    </w:p>
    <w:p w:rsidR="009B3794" w:rsidRDefault="00031F8C" w:rsidP="00CE5AA9">
      <w:pPr>
        <w:tabs>
          <w:tab w:val="center" w:pos="4680"/>
        </w:tabs>
        <w:spacing w:before="120"/>
        <w:jc w:val="center"/>
        <w:rPr>
          <w:b/>
          <w:bCs/>
          <w:sz w:val="32"/>
          <w:szCs w:val="32"/>
        </w:rPr>
      </w:pPr>
      <w:r>
        <w:rPr>
          <w:b/>
          <w:bCs/>
          <w:sz w:val="32"/>
          <w:szCs w:val="32"/>
        </w:rPr>
        <w:t>Rural Access to Emergency Devices Grant Program</w:t>
      </w:r>
    </w:p>
    <w:p w:rsidR="00BA1A0C" w:rsidRDefault="00BA1A0C" w:rsidP="00CE5AA9">
      <w:pPr>
        <w:tabs>
          <w:tab w:val="center" w:pos="4680"/>
        </w:tabs>
        <w:spacing w:before="120"/>
        <w:jc w:val="center"/>
        <w:rPr>
          <w:b/>
          <w:bCs/>
          <w:sz w:val="32"/>
          <w:szCs w:val="32"/>
        </w:rPr>
      </w:pPr>
    </w:p>
    <w:p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-XXXX</w:t>
      </w:r>
    </w:p>
    <w:p w:rsidR="00BA1A0C" w:rsidRDefault="00BA1A0C" w:rsidP="00CE5AA9">
      <w:pPr>
        <w:tabs>
          <w:tab w:val="center" w:pos="4680"/>
        </w:tabs>
        <w:spacing w:before="120"/>
        <w:jc w:val="center"/>
        <w:rPr>
          <w:b/>
          <w:bCs/>
          <w:sz w:val="32"/>
          <w:szCs w:val="32"/>
        </w:rPr>
      </w:pPr>
    </w:p>
    <w:p w:rsidR="009B3794" w:rsidRPr="00BA1A0C" w:rsidRDefault="009B3794" w:rsidP="00CE5AA9">
      <w:pPr>
        <w:tabs>
          <w:tab w:val="center" w:pos="4680"/>
        </w:tabs>
        <w:spacing w:before="120"/>
        <w:jc w:val="center"/>
        <w:rPr>
          <w:b/>
          <w:bCs/>
          <w:sz w:val="32"/>
          <w:szCs w:val="32"/>
        </w:rPr>
      </w:pPr>
    </w:p>
    <w:p w:rsidR="009B3794" w:rsidRDefault="009B3794" w:rsidP="00CA3DA6">
      <w:pPr>
        <w:spacing w:before="120"/>
        <w:rPr>
          <w:b/>
          <w:bCs/>
          <w:sz w:val="24"/>
        </w:rPr>
      </w:pPr>
      <w:r>
        <w:rPr>
          <w:b/>
          <w:bCs/>
          <w:sz w:val="24"/>
        </w:rPr>
        <w:t>A.</w:t>
      </w:r>
      <w:r>
        <w:rPr>
          <w:b/>
          <w:bCs/>
          <w:sz w:val="24"/>
        </w:rPr>
        <w:tab/>
        <w:t>Justification</w:t>
      </w:r>
    </w:p>
    <w:p w:rsidR="009B3794" w:rsidRPr="007F3E16" w:rsidRDefault="009B3794" w:rsidP="00CA3DA6">
      <w:pPr>
        <w:numPr>
          <w:ilvl w:val="0"/>
          <w:numId w:val="2"/>
        </w:numPr>
        <w:tabs>
          <w:tab w:val="clear" w:pos="1080"/>
          <w:tab w:val="num" w:pos="360"/>
        </w:tabs>
        <w:spacing w:before="240"/>
        <w:ind w:left="360"/>
        <w:rPr>
          <w:b/>
          <w:sz w:val="24"/>
        </w:rPr>
      </w:pPr>
      <w:r>
        <w:rPr>
          <w:b/>
          <w:sz w:val="24"/>
          <w:u w:val="single"/>
        </w:rPr>
        <w:t>Circumstances Making the Collection of Information Necessary</w:t>
      </w:r>
    </w:p>
    <w:p w:rsidR="007F3E16" w:rsidRDefault="007F3E16" w:rsidP="007F3E16">
      <w:pPr>
        <w:spacing w:before="240"/>
        <w:ind w:left="360"/>
        <w:rPr>
          <w:b/>
          <w:sz w:val="24"/>
        </w:rPr>
      </w:pPr>
    </w:p>
    <w:p w:rsidR="00031F8C" w:rsidRDefault="00031F8C" w:rsidP="00993C39">
      <w:pPr>
        <w:ind w:left="360"/>
        <w:rPr>
          <w:sz w:val="24"/>
        </w:rPr>
      </w:pPr>
      <w:r w:rsidRPr="00031F8C">
        <w:rPr>
          <w:sz w:val="24"/>
        </w:rPr>
        <w:t xml:space="preserve">The Health Resources and Services Administration (HRSA)’s Federal Office of Rural Health Policy (FORHP) is requesting OMB approval to collect information on grantee activities and on new performance measures electronically through the HRSA Electronic Handbook (EHB). </w:t>
      </w:r>
      <w:r w:rsidR="008C18B6">
        <w:rPr>
          <w:sz w:val="24"/>
        </w:rPr>
        <w:t xml:space="preserve"> </w:t>
      </w:r>
      <w:r w:rsidRPr="00031F8C">
        <w:rPr>
          <w:sz w:val="24"/>
        </w:rPr>
        <w:t>The EHB is a web-based portal that grantees use to submit information to HRSA.</w:t>
      </w:r>
      <w:r w:rsidR="008C18B6">
        <w:rPr>
          <w:sz w:val="24"/>
        </w:rPr>
        <w:t xml:space="preserve"> </w:t>
      </w:r>
      <w:r w:rsidRPr="00031F8C">
        <w:rPr>
          <w:sz w:val="24"/>
        </w:rPr>
        <w:t xml:space="preserve"> The Rural </w:t>
      </w:r>
      <w:r>
        <w:rPr>
          <w:sz w:val="24"/>
        </w:rPr>
        <w:t>Access to Emergency Devices Grant Program</w:t>
      </w:r>
      <w:r w:rsidRPr="00031F8C">
        <w:rPr>
          <w:sz w:val="24"/>
        </w:rPr>
        <w:t xml:space="preserve"> Performance Measures form is a tool that allows FORHP to measure the impact of the grant funding.</w:t>
      </w:r>
    </w:p>
    <w:p w:rsidR="00993C39" w:rsidRPr="00031F8C" w:rsidRDefault="00993C39" w:rsidP="00993C39">
      <w:pPr>
        <w:ind w:left="360"/>
        <w:rPr>
          <w:sz w:val="24"/>
        </w:rPr>
      </w:pPr>
    </w:p>
    <w:p w:rsidR="00031F8C" w:rsidRPr="00031F8C" w:rsidRDefault="00031F8C" w:rsidP="00993C39">
      <w:pPr>
        <w:ind w:left="360"/>
        <w:rPr>
          <w:sz w:val="24"/>
        </w:rPr>
      </w:pPr>
      <w:r w:rsidRPr="00031F8C">
        <w:rPr>
          <w:sz w:val="24"/>
        </w:rPr>
        <w:t xml:space="preserve">It should be noted that in its authorizing language (SEC. 711. [42 U.S.C. 912]), Congress charged </w:t>
      </w:r>
      <w:r>
        <w:rPr>
          <w:sz w:val="24"/>
        </w:rPr>
        <w:t>F</w:t>
      </w:r>
      <w:r w:rsidRPr="00031F8C">
        <w:rPr>
          <w:sz w:val="24"/>
        </w:rPr>
        <w:t xml:space="preserve">ORHP with “administering grants, cooperative agreements, and contracts to provide technical assistance and other activities as necessary to support activities related to improving health care in rural areas.” </w:t>
      </w:r>
      <w:r w:rsidR="008C18B6">
        <w:rPr>
          <w:sz w:val="24"/>
        </w:rPr>
        <w:t xml:space="preserve"> </w:t>
      </w:r>
      <w:r w:rsidRPr="00031F8C">
        <w:rPr>
          <w:sz w:val="24"/>
        </w:rPr>
        <w:t xml:space="preserve">FORHP’s mission is to sustain and improve access to quality health care services for rural communities. </w:t>
      </w:r>
    </w:p>
    <w:p w:rsidR="00031F8C" w:rsidRDefault="00031F8C" w:rsidP="00993C39">
      <w:pPr>
        <w:rPr>
          <w:sz w:val="24"/>
        </w:rPr>
      </w:pPr>
    </w:p>
    <w:p w:rsidR="001825B5" w:rsidRDefault="00031F8C" w:rsidP="00993C39">
      <w:pPr>
        <w:ind w:left="360"/>
        <w:rPr>
          <w:sz w:val="24"/>
        </w:rPr>
      </w:pPr>
      <w:r w:rsidRPr="00031F8C">
        <w:rPr>
          <w:sz w:val="24"/>
        </w:rPr>
        <w:t xml:space="preserve">This activity will collect information for the FY15 Rural </w:t>
      </w:r>
      <w:r w:rsidR="0094499F">
        <w:rPr>
          <w:sz w:val="24"/>
        </w:rPr>
        <w:t>Access to Emergency Devices</w:t>
      </w:r>
      <w:r w:rsidR="00993C39">
        <w:rPr>
          <w:sz w:val="24"/>
        </w:rPr>
        <w:t xml:space="preserve"> (RAED)</w:t>
      </w:r>
      <w:r w:rsidR="0094499F">
        <w:rPr>
          <w:sz w:val="24"/>
        </w:rPr>
        <w:t xml:space="preserve"> Grant Program</w:t>
      </w:r>
      <w:r w:rsidRPr="00031F8C">
        <w:rPr>
          <w:sz w:val="24"/>
        </w:rPr>
        <w:t xml:space="preserve">.  The </w:t>
      </w:r>
      <w:r w:rsidR="0094499F">
        <w:rPr>
          <w:sz w:val="24"/>
        </w:rPr>
        <w:t>RAED</w:t>
      </w:r>
      <w:r w:rsidRPr="00031F8C">
        <w:rPr>
          <w:sz w:val="24"/>
        </w:rPr>
        <w:t xml:space="preserve"> </w:t>
      </w:r>
      <w:r w:rsidR="00993C39">
        <w:rPr>
          <w:sz w:val="24"/>
        </w:rPr>
        <w:t xml:space="preserve">Grant </w:t>
      </w:r>
      <w:r w:rsidRPr="00031F8C">
        <w:rPr>
          <w:sz w:val="24"/>
        </w:rPr>
        <w:t xml:space="preserve">Program is funded under </w:t>
      </w:r>
      <w:r w:rsidR="00745FB7" w:rsidRPr="00993C39">
        <w:rPr>
          <w:sz w:val="24"/>
        </w:rPr>
        <w:t>Public Health Improvement Act Title IV-Cardiac Arrest Survival Act of 2000, Subtitle B-Rural Access to Emergency Devices, Section 413, (42 U.S.C. 254c (Note)) and the Consolidated and Further Continuing Appropriations Act (P.L. 113-235)</w:t>
      </w:r>
      <w:r w:rsidRPr="00031F8C">
        <w:rPr>
          <w:sz w:val="24"/>
        </w:rPr>
        <w:t xml:space="preserve">.  The goals for the </w:t>
      </w:r>
      <w:r w:rsidR="00993C39">
        <w:rPr>
          <w:sz w:val="24"/>
        </w:rPr>
        <w:t>RAED</w:t>
      </w:r>
      <w:r w:rsidR="009D0C52">
        <w:rPr>
          <w:sz w:val="24"/>
        </w:rPr>
        <w:t xml:space="preserve"> </w:t>
      </w:r>
      <w:r w:rsidR="00993C39">
        <w:rPr>
          <w:sz w:val="24"/>
        </w:rPr>
        <w:t xml:space="preserve">Grant </w:t>
      </w:r>
      <w:r w:rsidR="009D0C52">
        <w:rPr>
          <w:sz w:val="24"/>
        </w:rPr>
        <w:t>Program</w:t>
      </w:r>
      <w:r w:rsidR="009D0C52" w:rsidRPr="00031F8C">
        <w:rPr>
          <w:sz w:val="24"/>
        </w:rPr>
        <w:t xml:space="preserve"> </w:t>
      </w:r>
      <w:r w:rsidRPr="00031F8C">
        <w:rPr>
          <w:sz w:val="24"/>
        </w:rPr>
        <w:t xml:space="preserve">are the </w:t>
      </w:r>
      <w:r w:rsidRPr="00684F9C">
        <w:rPr>
          <w:sz w:val="24"/>
        </w:rPr>
        <w:t xml:space="preserve">following:  </w:t>
      </w:r>
      <w:r w:rsidR="009B14C6" w:rsidRPr="00993C39">
        <w:rPr>
          <w:sz w:val="24"/>
        </w:rPr>
        <w:t xml:space="preserve">1) purchase automated external defibrillators (AEDs) that have been approved, or cleared for marketing, by the Food and Drug Administration; 2) provide defibrillator and basic life support training in </w:t>
      </w:r>
      <w:r w:rsidR="001825B5">
        <w:rPr>
          <w:sz w:val="24"/>
        </w:rPr>
        <w:t>AED</w:t>
      </w:r>
      <w:r w:rsidR="009B14C6" w:rsidRPr="00993C39">
        <w:rPr>
          <w:sz w:val="24"/>
        </w:rPr>
        <w:t xml:space="preserve"> usage through the American Heart Association, the American Red Cross, or other nationally recognized training courses; and </w:t>
      </w:r>
    </w:p>
    <w:p w:rsidR="004E2372" w:rsidRDefault="009B14C6" w:rsidP="00993C39">
      <w:pPr>
        <w:ind w:left="360"/>
        <w:rPr>
          <w:sz w:val="24"/>
        </w:rPr>
      </w:pPr>
      <w:r w:rsidRPr="00993C39">
        <w:rPr>
          <w:sz w:val="24"/>
        </w:rPr>
        <w:t xml:space="preserve">3) place the AEDs in rural communities with local organizations. </w:t>
      </w:r>
    </w:p>
    <w:p w:rsidR="004E2372" w:rsidRDefault="004E2372">
      <w:pPr>
        <w:widowControl/>
        <w:autoSpaceDE/>
        <w:autoSpaceDN/>
        <w:adjustRightInd/>
        <w:rPr>
          <w:sz w:val="24"/>
        </w:rPr>
      </w:pPr>
      <w:r>
        <w:rPr>
          <w:sz w:val="24"/>
        </w:rPr>
        <w:br w:type="page"/>
      </w:r>
    </w:p>
    <w:p w:rsidR="009B3794" w:rsidRDefault="009B3794" w:rsidP="00CA3DA6">
      <w:pPr>
        <w:numPr>
          <w:ilvl w:val="0"/>
          <w:numId w:val="2"/>
        </w:numPr>
        <w:tabs>
          <w:tab w:val="clear" w:pos="1080"/>
          <w:tab w:val="num" w:pos="360"/>
        </w:tabs>
        <w:spacing w:before="240"/>
        <w:ind w:left="360"/>
        <w:rPr>
          <w:b/>
          <w:sz w:val="24"/>
        </w:rPr>
      </w:pPr>
      <w:r>
        <w:rPr>
          <w:b/>
          <w:sz w:val="24"/>
          <w:u w:val="single"/>
        </w:rPr>
        <w:lastRenderedPageBreak/>
        <w:t>Purpose and Use of Information Collection</w:t>
      </w:r>
    </w:p>
    <w:p w:rsidR="00035702" w:rsidRPr="005956FD" w:rsidRDefault="00035702" w:rsidP="003105CD">
      <w:pPr>
        <w:ind w:left="360"/>
        <w:rPr>
          <w:sz w:val="24"/>
        </w:rPr>
      </w:pPr>
      <w:r w:rsidRPr="005956FD">
        <w:rPr>
          <w:sz w:val="24"/>
        </w:rPr>
        <w:t>FORHP</w:t>
      </w:r>
      <w:r>
        <w:rPr>
          <w:sz w:val="24"/>
        </w:rPr>
        <w:t xml:space="preserve"> will collect data for the FY14 RAED Grant Program</w:t>
      </w:r>
      <w:r w:rsidRPr="005956FD">
        <w:rPr>
          <w:sz w:val="24"/>
        </w:rPr>
        <w:t xml:space="preserve"> annually. </w:t>
      </w:r>
      <w:r w:rsidR="008C18B6">
        <w:rPr>
          <w:sz w:val="24"/>
        </w:rPr>
        <w:t xml:space="preserve"> </w:t>
      </w:r>
      <w:r w:rsidRPr="005956FD">
        <w:rPr>
          <w:sz w:val="24"/>
        </w:rPr>
        <w:t xml:space="preserve">The purpose of this data collection is to provide HRSA with information on how well each grantee is improving access to </w:t>
      </w:r>
      <w:r w:rsidR="009B14C6">
        <w:rPr>
          <w:sz w:val="24"/>
        </w:rPr>
        <w:t xml:space="preserve">AEDs and providing training </w:t>
      </w:r>
      <w:r w:rsidRPr="005956FD">
        <w:rPr>
          <w:sz w:val="24"/>
        </w:rPr>
        <w:t>in rural communities</w:t>
      </w:r>
      <w:r w:rsidR="008C18B6" w:rsidRPr="005956FD">
        <w:rPr>
          <w:sz w:val="24"/>
        </w:rPr>
        <w:t xml:space="preserve">.  </w:t>
      </w:r>
      <w:r w:rsidRPr="005956FD">
        <w:rPr>
          <w:rFonts w:eastAsiaTheme="minorHAnsi"/>
          <w:sz w:val="24"/>
        </w:rPr>
        <w:t xml:space="preserve">These measures cover the principal topic areas of interest to the </w:t>
      </w:r>
      <w:r>
        <w:rPr>
          <w:rFonts w:eastAsiaTheme="minorHAnsi"/>
          <w:sz w:val="24"/>
        </w:rPr>
        <w:t>FORHP</w:t>
      </w:r>
      <w:r w:rsidR="00EF4AF9">
        <w:rPr>
          <w:rFonts w:eastAsiaTheme="minorHAnsi"/>
          <w:sz w:val="24"/>
        </w:rPr>
        <w:t xml:space="preserve"> including:  (a) population and AED demographics</w:t>
      </w:r>
      <w:r w:rsidRPr="005956FD">
        <w:rPr>
          <w:rFonts w:eastAsiaTheme="minorHAnsi"/>
          <w:sz w:val="24"/>
        </w:rPr>
        <w:t xml:space="preserve">; (b) </w:t>
      </w:r>
      <w:r w:rsidR="00EF4AF9">
        <w:rPr>
          <w:rFonts w:eastAsiaTheme="minorHAnsi"/>
          <w:sz w:val="24"/>
        </w:rPr>
        <w:t>placement location for AEDs</w:t>
      </w:r>
      <w:r w:rsidRPr="005956FD">
        <w:rPr>
          <w:rFonts w:eastAsiaTheme="minorHAnsi"/>
          <w:sz w:val="24"/>
        </w:rPr>
        <w:t xml:space="preserve">; (c) </w:t>
      </w:r>
      <w:r w:rsidR="00EF4AF9">
        <w:rPr>
          <w:rFonts w:eastAsiaTheme="minorHAnsi"/>
          <w:sz w:val="24"/>
        </w:rPr>
        <w:t>trainings</w:t>
      </w:r>
      <w:r w:rsidRPr="005956FD">
        <w:rPr>
          <w:rFonts w:eastAsiaTheme="minorHAnsi"/>
          <w:sz w:val="24"/>
        </w:rPr>
        <w:t xml:space="preserve">; (d) </w:t>
      </w:r>
      <w:r w:rsidR="00EF4AF9">
        <w:rPr>
          <w:rFonts w:eastAsiaTheme="minorHAnsi"/>
          <w:sz w:val="24"/>
        </w:rPr>
        <w:t>AED usage</w:t>
      </w:r>
      <w:r w:rsidRPr="005956FD">
        <w:rPr>
          <w:rFonts w:eastAsiaTheme="minorHAnsi"/>
          <w:sz w:val="24"/>
        </w:rPr>
        <w:t xml:space="preserve">; (e) sustainability; and (f) project specific domains.  Several measures will be used for the </w:t>
      </w:r>
      <w:r w:rsidR="00EF4AF9">
        <w:rPr>
          <w:rFonts w:eastAsiaTheme="minorHAnsi"/>
          <w:sz w:val="24"/>
        </w:rPr>
        <w:t>RAED</w:t>
      </w:r>
      <w:r w:rsidRPr="005956FD">
        <w:rPr>
          <w:rFonts w:eastAsiaTheme="minorHAnsi"/>
          <w:sz w:val="24"/>
        </w:rPr>
        <w:t xml:space="preserve"> </w:t>
      </w:r>
      <w:r w:rsidR="00E72253">
        <w:rPr>
          <w:rFonts w:eastAsiaTheme="minorHAnsi"/>
          <w:sz w:val="24"/>
        </w:rPr>
        <w:t xml:space="preserve">Grant </w:t>
      </w:r>
      <w:r w:rsidRPr="005956FD">
        <w:rPr>
          <w:rFonts w:eastAsiaTheme="minorHAnsi"/>
          <w:sz w:val="24"/>
        </w:rPr>
        <w:t xml:space="preserve">Program.  All measures will speak to </w:t>
      </w:r>
      <w:r>
        <w:rPr>
          <w:rFonts w:eastAsiaTheme="minorHAnsi"/>
          <w:sz w:val="24"/>
        </w:rPr>
        <w:t>F</w:t>
      </w:r>
      <w:r w:rsidRPr="005956FD">
        <w:rPr>
          <w:rFonts w:eastAsiaTheme="minorHAnsi"/>
          <w:sz w:val="24"/>
        </w:rPr>
        <w:t>ORHP's progress toward meeting the goals set.</w:t>
      </w:r>
    </w:p>
    <w:p w:rsidR="00035702" w:rsidRPr="005956FD" w:rsidRDefault="00035702" w:rsidP="00035702">
      <w:pPr>
        <w:rPr>
          <w:sz w:val="24"/>
        </w:rPr>
      </w:pPr>
    </w:p>
    <w:p w:rsidR="00035702" w:rsidRPr="005956FD" w:rsidRDefault="00035702" w:rsidP="003D5989">
      <w:pPr>
        <w:ind w:left="360"/>
        <w:rPr>
          <w:sz w:val="24"/>
        </w:rPr>
      </w:pPr>
      <w:r w:rsidRPr="005956FD">
        <w:rPr>
          <w:sz w:val="24"/>
        </w:rPr>
        <w:t>This assessment will provide usef</w:t>
      </w:r>
      <w:r>
        <w:rPr>
          <w:sz w:val="24"/>
        </w:rPr>
        <w:t xml:space="preserve">ul information on the </w:t>
      </w:r>
      <w:r w:rsidR="00EF4AF9">
        <w:rPr>
          <w:sz w:val="24"/>
        </w:rPr>
        <w:t>RAED</w:t>
      </w:r>
      <w:r>
        <w:rPr>
          <w:sz w:val="24"/>
        </w:rPr>
        <w:t xml:space="preserve"> </w:t>
      </w:r>
      <w:r w:rsidR="00E72253">
        <w:rPr>
          <w:sz w:val="24"/>
        </w:rPr>
        <w:t xml:space="preserve">Grant </w:t>
      </w:r>
      <w:r>
        <w:rPr>
          <w:sz w:val="24"/>
        </w:rPr>
        <w:t>P</w:t>
      </w:r>
      <w:r w:rsidRPr="005956FD">
        <w:rPr>
          <w:sz w:val="24"/>
        </w:rPr>
        <w:t xml:space="preserve">rogram and will enable HRSA to assess the success of the grant funding.  It will also ensure that funded organizations have demonstrated </w:t>
      </w:r>
      <w:r w:rsidR="00EF4AF9">
        <w:rPr>
          <w:sz w:val="24"/>
        </w:rPr>
        <w:t xml:space="preserve">an impact on the cardiac arrest rate </w:t>
      </w:r>
      <w:r w:rsidRPr="005956FD">
        <w:rPr>
          <w:sz w:val="24"/>
        </w:rPr>
        <w:t xml:space="preserve">in their communities and those federal funds are being effectively used to support and sustain </w:t>
      </w:r>
      <w:r w:rsidR="00040826">
        <w:rPr>
          <w:sz w:val="24"/>
        </w:rPr>
        <w:t>the program</w:t>
      </w:r>
      <w:r w:rsidRPr="005956FD">
        <w:rPr>
          <w:sz w:val="24"/>
        </w:rPr>
        <w:t>.</w:t>
      </w:r>
    </w:p>
    <w:p w:rsidR="00035702" w:rsidRPr="005956FD" w:rsidRDefault="00035702" w:rsidP="00035702">
      <w:pPr>
        <w:rPr>
          <w:sz w:val="24"/>
        </w:rPr>
      </w:pPr>
    </w:p>
    <w:p w:rsidR="00035702" w:rsidRPr="005956FD" w:rsidRDefault="00035702" w:rsidP="003D5989">
      <w:pPr>
        <w:ind w:left="360"/>
        <w:rPr>
          <w:sz w:val="24"/>
        </w:rPr>
      </w:pPr>
      <w:r w:rsidRPr="005956FD">
        <w:rPr>
          <w:sz w:val="24"/>
        </w:rPr>
        <w:t xml:space="preserve">The type of information requested in the </w:t>
      </w:r>
      <w:r w:rsidR="00040826">
        <w:rPr>
          <w:sz w:val="24"/>
        </w:rPr>
        <w:t xml:space="preserve">RAED </w:t>
      </w:r>
      <w:r w:rsidR="00E72253">
        <w:rPr>
          <w:sz w:val="24"/>
        </w:rPr>
        <w:t xml:space="preserve">Grant </w:t>
      </w:r>
      <w:r>
        <w:rPr>
          <w:sz w:val="24"/>
        </w:rPr>
        <w:t>P</w:t>
      </w:r>
      <w:r w:rsidRPr="005956FD">
        <w:rPr>
          <w:sz w:val="24"/>
        </w:rPr>
        <w:t>rogram enables FORHP to assess the following characteristics:</w:t>
      </w:r>
    </w:p>
    <w:p w:rsidR="00035702" w:rsidRPr="005956FD" w:rsidRDefault="00035702" w:rsidP="00035702">
      <w:pPr>
        <w:ind w:left="720"/>
        <w:rPr>
          <w:sz w:val="24"/>
        </w:rPr>
      </w:pPr>
    </w:p>
    <w:p w:rsidR="00035702" w:rsidRPr="005956FD" w:rsidRDefault="00035702" w:rsidP="00035702">
      <w:pPr>
        <w:widowControl/>
        <w:numPr>
          <w:ilvl w:val="0"/>
          <w:numId w:val="45"/>
        </w:numPr>
        <w:autoSpaceDE/>
        <w:autoSpaceDN/>
        <w:adjustRightInd/>
        <w:ind w:left="1440"/>
        <w:rPr>
          <w:sz w:val="24"/>
        </w:rPr>
      </w:pPr>
      <w:r w:rsidRPr="005956FD">
        <w:rPr>
          <w:sz w:val="24"/>
        </w:rPr>
        <w:t xml:space="preserve">The number of individuals </w:t>
      </w:r>
      <w:r w:rsidR="00040826">
        <w:rPr>
          <w:sz w:val="24"/>
        </w:rPr>
        <w:t>trained on how to use and AED and in BLS</w:t>
      </w:r>
      <w:r w:rsidR="007F3E16">
        <w:rPr>
          <w:sz w:val="24"/>
        </w:rPr>
        <w:t>,</w:t>
      </w:r>
      <w:r w:rsidRPr="005956FD">
        <w:rPr>
          <w:sz w:val="24"/>
        </w:rPr>
        <w:t xml:space="preserve"> </w:t>
      </w:r>
    </w:p>
    <w:p w:rsidR="00035702" w:rsidRPr="005956FD" w:rsidRDefault="00040826" w:rsidP="00035702">
      <w:pPr>
        <w:widowControl/>
        <w:numPr>
          <w:ilvl w:val="0"/>
          <w:numId w:val="45"/>
        </w:numPr>
        <w:autoSpaceDE/>
        <w:autoSpaceDN/>
        <w:adjustRightInd/>
        <w:ind w:left="1440"/>
        <w:rPr>
          <w:sz w:val="24"/>
        </w:rPr>
      </w:pPr>
      <w:r>
        <w:rPr>
          <w:sz w:val="24"/>
        </w:rPr>
        <w:t>AED usage outcomes</w:t>
      </w:r>
      <w:r w:rsidR="007F3E16">
        <w:rPr>
          <w:sz w:val="24"/>
        </w:rPr>
        <w:t>, and</w:t>
      </w:r>
    </w:p>
    <w:p w:rsidR="00035702" w:rsidRPr="005956FD" w:rsidRDefault="00040826" w:rsidP="00035702">
      <w:pPr>
        <w:widowControl/>
        <w:numPr>
          <w:ilvl w:val="0"/>
          <w:numId w:val="45"/>
        </w:numPr>
        <w:autoSpaceDE/>
        <w:autoSpaceDN/>
        <w:adjustRightInd/>
        <w:ind w:left="1440"/>
        <w:rPr>
          <w:sz w:val="24"/>
        </w:rPr>
      </w:pPr>
      <w:r>
        <w:rPr>
          <w:sz w:val="24"/>
        </w:rPr>
        <w:t>The number of AEDs purchased and placed in rural communities</w:t>
      </w:r>
      <w:r w:rsidR="007F3E16">
        <w:rPr>
          <w:sz w:val="24"/>
        </w:rPr>
        <w:t>.</w:t>
      </w:r>
    </w:p>
    <w:p w:rsidR="00175C94" w:rsidRDefault="00175C94" w:rsidP="003D5989">
      <w:pPr>
        <w:ind w:left="360"/>
        <w:rPr>
          <w:sz w:val="24"/>
        </w:rPr>
      </w:pPr>
    </w:p>
    <w:p w:rsidR="00035702" w:rsidRPr="005956FD" w:rsidRDefault="00035702" w:rsidP="003D5989">
      <w:pPr>
        <w:ind w:left="360"/>
        <w:rPr>
          <w:sz w:val="24"/>
        </w:rPr>
      </w:pPr>
      <w:r w:rsidRPr="005956FD">
        <w:rPr>
          <w:sz w:val="24"/>
        </w:rPr>
        <w:t xml:space="preserve">The HRSA EHB is capable of identifying and responding to the needs of the grantees that receive the </w:t>
      </w:r>
      <w:r w:rsidR="00E72253">
        <w:rPr>
          <w:sz w:val="24"/>
        </w:rPr>
        <w:t>RAED</w:t>
      </w:r>
      <w:r w:rsidR="009D0C52">
        <w:rPr>
          <w:sz w:val="24"/>
        </w:rPr>
        <w:t xml:space="preserve"> Grant Program</w:t>
      </w:r>
      <w:r w:rsidRPr="005956FD">
        <w:rPr>
          <w:sz w:val="24"/>
        </w:rPr>
        <w:t xml:space="preserve"> funding.  The EHB</w:t>
      </w:r>
      <w:r>
        <w:rPr>
          <w:sz w:val="24"/>
        </w:rPr>
        <w:t>:</w:t>
      </w:r>
    </w:p>
    <w:p w:rsidR="00035702" w:rsidRPr="005956FD" w:rsidRDefault="00035702" w:rsidP="00035702">
      <w:pPr>
        <w:ind w:left="720"/>
        <w:rPr>
          <w:sz w:val="24"/>
        </w:rPr>
      </w:pPr>
    </w:p>
    <w:p w:rsidR="00035702" w:rsidRPr="005956FD" w:rsidRDefault="00035702" w:rsidP="00035702">
      <w:pPr>
        <w:widowControl/>
        <w:numPr>
          <w:ilvl w:val="0"/>
          <w:numId w:val="44"/>
        </w:numPr>
        <w:tabs>
          <w:tab w:val="num" w:pos="1440"/>
        </w:tabs>
        <w:autoSpaceDE/>
        <w:autoSpaceDN/>
        <w:adjustRightInd/>
        <w:ind w:left="1440"/>
        <w:rPr>
          <w:sz w:val="24"/>
        </w:rPr>
      </w:pPr>
      <w:r w:rsidRPr="005956FD">
        <w:rPr>
          <w:sz w:val="24"/>
        </w:rPr>
        <w:t xml:space="preserve">Provides uniformly defined data for major </w:t>
      </w:r>
      <w:r>
        <w:rPr>
          <w:sz w:val="24"/>
        </w:rPr>
        <w:t>F</w:t>
      </w:r>
      <w:r w:rsidRPr="005956FD">
        <w:rPr>
          <w:sz w:val="24"/>
        </w:rPr>
        <w:t>ORHP grant programs</w:t>
      </w:r>
      <w:r w:rsidR="007F3E16">
        <w:rPr>
          <w:sz w:val="24"/>
        </w:rPr>
        <w:t>; and</w:t>
      </w:r>
    </w:p>
    <w:p w:rsidR="00035702" w:rsidRPr="005956FD" w:rsidRDefault="00035702" w:rsidP="00035702">
      <w:pPr>
        <w:widowControl/>
        <w:numPr>
          <w:ilvl w:val="0"/>
          <w:numId w:val="44"/>
        </w:numPr>
        <w:tabs>
          <w:tab w:val="num" w:pos="1440"/>
        </w:tabs>
        <w:autoSpaceDE/>
        <w:autoSpaceDN/>
        <w:adjustRightInd/>
        <w:ind w:left="1440"/>
        <w:rPr>
          <w:sz w:val="24"/>
        </w:rPr>
      </w:pPr>
      <w:r w:rsidRPr="005956FD">
        <w:rPr>
          <w:sz w:val="24"/>
        </w:rPr>
        <w:t xml:space="preserve">Facilitates the electronic transmission of data by the grantees, through </w:t>
      </w:r>
      <w:r w:rsidR="007F3E16">
        <w:rPr>
          <w:sz w:val="24"/>
        </w:rPr>
        <w:t xml:space="preserve">the </w:t>
      </w:r>
      <w:r w:rsidRPr="005956FD">
        <w:rPr>
          <w:sz w:val="24"/>
        </w:rPr>
        <w:t>use of standard formats and definitions</w:t>
      </w:r>
      <w:r w:rsidR="00510F5B">
        <w:rPr>
          <w:sz w:val="24"/>
        </w:rPr>
        <w:t>.</w:t>
      </w:r>
    </w:p>
    <w:p w:rsidR="009B3794" w:rsidRDefault="009B3794" w:rsidP="00CA3DA6">
      <w:pPr>
        <w:numPr>
          <w:ilvl w:val="0"/>
          <w:numId w:val="2"/>
        </w:numPr>
        <w:tabs>
          <w:tab w:val="clear" w:pos="1080"/>
          <w:tab w:val="num" w:pos="360"/>
        </w:tabs>
        <w:spacing w:before="240"/>
        <w:ind w:left="360"/>
        <w:rPr>
          <w:sz w:val="24"/>
        </w:rPr>
      </w:pPr>
      <w:r>
        <w:rPr>
          <w:b/>
          <w:sz w:val="24"/>
          <w:u w:val="single"/>
        </w:rPr>
        <w:t>Use of Improved Information Technology and Burden Reduction</w:t>
      </w:r>
    </w:p>
    <w:p w:rsidR="00EE7A40" w:rsidRPr="00EE7A40" w:rsidRDefault="00EE7A40" w:rsidP="00993C39">
      <w:pPr>
        <w:ind w:left="360"/>
        <w:rPr>
          <w:sz w:val="24"/>
        </w:rPr>
      </w:pPr>
      <w:r w:rsidRPr="00EE7A40">
        <w:rPr>
          <w:sz w:val="24"/>
        </w:rPr>
        <w:t>This activity is fully electronic.  Data will be collected through and maintained in a database in the HRSA EHB</w:t>
      </w:r>
      <w:r w:rsidR="00175C94">
        <w:rPr>
          <w:sz w:val="24"/>
        </w:rPr>
        <w:t>, which</w:t>
      </w:r>
      <w:r w:rsidRPr="00EE7A40">
        <w:rPr>
          <w:sz w:val="24"/>
        </w:rPr>
        <w:t xml:space="preserve"> is a website that the </w:t>
      </w:r>
      <w:r>
        <w:rPr>
          <w:sz w:val="24"/>
        </w:rPr>
        <w:t>RAED</w:t>
      </w:r>
      <w:r w:rsidRPr="00EE7A40">
        <w:rPr>
          <w:sz w:val="24"/>
        </w:rPr>
        <w:t xml:space="preserve"> Program grantees will use to submit their data for this funding. </w:t>
      </w:r>
      <w:r w:rsidR="008C18B6">
        <w:rPr>
          <w:sz w:val="24"/>
        </w:rPr>
        <w:t xml:space="preserve"> </w:t>
      </w:r>
      <w:r w:rsidRPr="00EE7A40">
        <w:rPr>
          <w:sz w:val="24"/>
        </w:rPr>
        <w:t xml:space="preserve">Grantees can email or call EHB staff for help with the website. </w:t>
      </w:r>
      <w:r w:rsidR="008C18B6">
        <w:rPr>
          <w:sz w:val="24"/>
        </w:rPr>
        <w:t xml:space="preserve"> </w:t>
      </w:r>
      <w:r w:rsidRPr="00EE7A40">
        <w:rPr>
          <w:sz w:val="24"/>
        </w:rPr>
        <w:t xml:space="preserve">As this database is fully electronic, burden is reduced for the grantee and program staff.  </w:t>
      </w:r>
    </w:p>
    <w:p w:rsidR="009B3794" w:rsidRDefault="009B3794" w:rsidP="00CA3DA6">
      <w:pPr>
        <w:numPr>
          <w:ilvl w:val="0"/>
          <w:numId w:val="2"/>
        </w:numPr>
        <w:tabs>
          <w:tab w:val="clear" w:pos="1080"/>
          <w:tab w:val="num" w:pos="360"/>
        </w:tabs>
        <w:spacing w:before="240"/>
        <w:ind w:left="360"/>
        <w:rPr>
          <w:b/>
          <w:sz w:val="24"/>
        </w:rPr>
      </w:pPr>
      <w:r>
        <w:rPr>
          <w:b/>
          <w:sz w:val="24"/>
          <w:u w:val="single"/>
        </w:rPr>
        <w:t>Efforts to  Identify Duplication and Use of Similar Information</w:t>
      </w:r>
    </w:p>
    <w:p w:rsidR="00EE7A40" w:rsidRPr="00EE7A40" w:rsidRDefault="00EE7A40" w:rsidP="003105CD">
      <w:pPr>
        <w:spacing w:before="120"/>
        <w:ind w:left="360"/>
        <w:rPr>
          <w:sz w:val="24"/>
        </w:rPr>
      </w:pPr>
      <w:r w:rsidRPr="00EE7A40">
        <w:rPr>
          <w:sz w:val="24"/>
        </w:rPr>
        <w:t xml:space="preserve">There is no other data source available that tracks the characteristics of rural entities </w:t>
      </w:r>
      <w:r w:rsidR="001217A9" w:rsidRPr="00EE7A40">
        <w:rPr>
          <w:sz w:val="24"/>
        </w:rPr>
        <w:t>that</w:t>
      </w:r>
      <w:r w:rsidRPr="00EE7A40">
        <w:rPr>
          <w:sz w:val="24"/>
        </w:rPr>
        <w:t xml:space="preserve"> are </w:t>
      </w:r>
      <w:r w:rsidR="003105CD">
        <w:rPr>
          <w:sz w:val="24"/>
        </w:rPr>
        <w:t xml:space="preserve">purchasing and placing AEDs in rural areas and providing training. </w:t>
      </w:r>
      <w:r w:rsidRPr="00EE7A40">
        <w:rPr>
          <w:sz w:val="24"/>
        </w:rPr>
        <w:t xml:space="preserve"> </w:t>
      </w:r>
    </w:p>
    <w:p w:rsidR="009B3794" w:rsidRDefault="003105CD" w:rsidP="00CA3DA6">
      <w:pPr>
        <w:numPr>
          <w:ilvl w:val="0"/>
          <w:numId w:val="2"/>
        </w:numPr>
        <w:tabs>
          <w:tab w:val="clear" w:pos="1080"/>
          <w:tab w:val="num" w:pos="360"/>
        </w:tabs>
        <w:spacing w:before="240"/>
        <w:ind w:left="360"/>
        <w:rPr>
          <w:color w:val="000000"/>
          <w:sz w:val="24"/>
        </w:rPr>
      </w:pPr>
      <w:r>
        <w:rPr>
          <w:b/>
          <w:sz w:val="24"/>
          <w:u w:val="single"/>
        </w:rPr>
        <w:t xml:space="preserve">Impact on Small Businesses </w:t>
      </w:r>
      <w:r w:rsidR="009B3794">
        <w:rPr>
          <w:b/>
          <w:sz w:val="24"/>
          <w:u w:val="single"/>
        </w:rPr>
        <w:t xml:space="preserve"> Other Small Entities</w:t>
      </w:r>
    </w:p>
    <w:p w:rsidR="004E2372" w:rsidRDefault="00EE7A40" w:rsidP="003105CD">
      <w:pPr>
        <w:spacing w:before="120"/>
        <w:ind w:left="360"/>
        <w:rPr>
          <w:sz w:val="24"/>
        </w:rPr>
      </w:pPr>
      <w:r w:rsidRPr="00EE7A40">
        <w:rPr>
          <w:sz w:val="24"/>
        </w:rPr>
        <w:t>The data collection activities will not have a significant impact on small entities.</w:t>
      </w:r>
    </w:p>
    <w:p w:rsidR="004E2372" w:rsidRDefault="004E2372">
      <w:pPr>
        <w:widowControl/>
        <w:autoSpaceDE/>
        <w:autoSpaceDN/>
        <w:adjustRightInd/>
        <w:rPr>
          <w:sz w:val="24"/>
        </w:rPr>
      </w:pPr>
      <w:r>
        <w:rPr>
          <w:sz w:val="24"/>
        </w:rPr>
        <w:br w:type="page"/>
      </w:r>
    </w:p>
    <w:p w:rsidR="009B3794" w:rsidRDefault="009B3794" w:rsidP="00CA3DA6">
      <w:pPr>
        <w:numPr>
          <w:ilvl w:val="0"/>
          <w:numId w:val="2"/>
        </w:numPr>
        <w:tabs>
          <w:tab w:val="clear" w:pos="1080"/>
          <w:tab w:val="num" w:pos="360"/>
        </w:tabs>
        <w:spacing w:before="240"/>
        <w:ind w:left="360"/>
        <w:rPr>
          <w:b/>
          <w:sz w:val="24"/>
        </w:rPr>
      </w:pPr>
      <w:r>
        <w:rPr>
          <w:b/>
          <w:sz w:val="24"/>
          <w:u w:val="single"/>
        </w:rPr>
        <w:lastRenderedPageBreak/>
        <w:t>Consequences of Collecting the Information Less Frequent</w:t>
      </w:r>
      <w:r w:rsidR="001325B2">
        <w:rPr>
          <w:b/>
          <w:sz w:val="24"/>
          <w:u w:val="single"/>
        </w:rPr>
        <w:t>ly</w:t>
      </w:r>
    </w:p>
    <w:p w:rsidR="00EE7A40" w:rsidRPr="00EE7A40" w:rsidRDefault="00EE7A40" w:rsidP="003105CD">
      <w:pPr>
        <w:widowControl/>
        <w:autoSpaceDE/>
        <w:autoSpaceDN/>
        <w:adjustRightInd/>
        <w:spacing w:before="120"/>
        <w:ind w:left="360"/>
        <w:rPr>
          <w:color w:val="000000"/>
          <w:sz w:val="24"/>
        </w:rPr>
      </w:pPr>
      <w:r w:rsidRPr="00EE7A40">
        <w:rPr>
          <w:color w:val="000000"/>
          <w:sz w:val="24"/>
        </w:rPr>
        <w:t xml:space="preserve">Respondents will respond to this data collection annually during their three-year budget period. </w:t>
      </w:r>
      <w:r w:rsidR="008C18B6">
        <w:rPr>
          <w:color w:val="000000"/>
          <w:sz w:val="24"/>
        </w:rPr>
        <w:t xml:space="preserve"> </w:t>
      </w:r>
      <w:r w:rsidRPr="00EE7A40">
        <w:rPr>
          <w:color w:val="000000"/>
          <w:sz w:val="24"/>
        </w:rPr>
        <w:t>This information is needed by the program, FORHP</w:t>
      </w:r>
      <w:r w:rsidR="008C18B6">
        <w:rPr>
          <w:color w:val="000000"/>
          <w:sz w:val="24"/>
        </w:rPr>
        <w:t>,</w:t>
      </w:r>
      <w:r w:rsidRPr="00EE7A40">
        <w:rPr>
          <w:color w:val="000000"/>
          <w:sz w:val="24"/>
        </w:rPr>
        <w:t xml:space="preserve"> and HRSA in order to measure </w:t>
      </w:r>
      <w:r w:rsidR="0078071E">
        <w:rPr>
          <w:color w:val="000000"/>
          <w:sz w:val="24"/>
        </w:rPr>
        <w:t xml:space="preserve">the </w:t>
      </w:r>
      <w:r w:rsidRPr="00EE7A40">
        <w:rPr>
          <w:color w:val="000000"/>
          <w:sz w:val="24"/>
        </w:rPr>
        <w:t xml:space="preserve">effective use of grant dollars </w:t>
      </w:r>
      <w:r w:rsidR="0078071E">
        <w:rPr>
          <w:color w:val="000000"/>
          <w:sz w:val="24"/>
        </w:rPr>
        <w:t xml:space="preserve">and </w:t>
      </w:r>
      <w:r w:rsidRPr="00EE7A40">
        <w:rPr>
          <w:color w:val="000000"/>
          <w:sz w:val="24"/>
        </w:rPr>
        <w:t xml:space="preserve">to report on progress toward strategic goals and objectives.  </w:t>
      </w:r>
    </w:p>
    <w:p w:rsidR="009B3794" w:rsidRDefault="009B3794" w:rsidP="00CA3DA6">
      <w:pPr>
        <w:numPr>
          <w:ilvl w:val="0"/>
          <w:numId w:val="2"/>
        </w:numPr>
        <w:tabs>
          <w:tab w:val="clear" w:pos="1080"/>
          <w:tab w:val="num" w:pos="360"/>
        </w:tabs>
        <w:spacing w:before="240"/>
        <w:ind w:left="360"/>
        <w:rPr>
          <w:b/>
          <w:sz w:val="24"/>
        </w:rPr>
      </w:pPr>
      <w:r>
        <w:rPr>
          <w:b/>
          <w:sz w:val="24"/>
          <w:u w:val="single"/>
        </w:rPr>
        <w:t>Special Circumstances Relating to the Guidelines of 5 CFR 1320.5</w:t>
      </w:r>
    </w:p>
    <w:p w:rsidR="00EE7A40" w:rsidRPr="00EE7A40" w:rsidRDefault="00EE7A40" w:rsidP="003105CD">
      <w:pPr>
        <w:spacing w:before="120"/>
        <w:ind w:firstLine="360"/>
        <w:rPr>
          <w:sz w:val="24"/>
        </w:rPr>
      </w:pPr>
      <w:r w:rsidRPr="00EE7A40">
        <w:rPr>
          <w:sz w:val="24"/>
        </w:rPr>
        <w:t>This project is consistent with the guidelines in 5 CFR 1320.5.</w:t>
      </w:r>
    </w:p>
    <w:p w:rsidR="009B3794" w:rsidRDefault="009B3794" w:rsidP="00CA3DA6">
      <w:pPr>
        <w:numPr>
          <w:ilvl w:val="0"/>
          <w:numId w:val="2"/>
        </w:numPr>
        <w:tabs>
          <w:tab w:val="clear" w:pos="1080"/>
          <w:tab w:val="num" w:pos="360"/>
        </w:tabs>
        <w:spacing w:before="240"/>
        <w:ind w:left="360"/>
        <w:rPr>
          <w:b/>
          <w:sz w:val="24"/>
        </w:rPr>
      </w:pPr>
      <w:r>
        <w:rPr>
          <w:b/>
          <w:iCs/>
          <w:sz w:val="24"/>
          <w:u w:val="single"/>
        </w:rPr>
        <w:t>Comments in Response to the Federal Register</w:t>
      </w:r>
      <w:r>
        <w:rPr>
          <w:b/>
          <w:sz w:val="24"/>
          <w:u w:val="single"/>
        </w:rPr>
        <w:t xml:space="preserve"> Notice/Outside Consultation</w:t>
      </w:r>
    </w:p>
    <w:p w:rsidR="00DE3A45" w:rsidRPr="00DE3A45" w:rsidRDefault="00DE3A45" w:rsidP="003105CD">
      <w:pPr>
        <w:spacing w:before="120"/>
        <w:ind w:firstLine="360"/>
        <w:rPr>
          <w:b/>
          <w:sz w:val="24"/>
        </w:rPr>
      </w:pPr>
      <w:r w:rsidRPr="00DE3A45">
        <w:rPr>
          <w:b/>
          <w:sz w:val="24"/>
        </w:rPr>
        <w:t>Section 8A:</w:t>
      </w:r>
    </w:p>
    <w:p w:rsidR="004E2372" w:rsidRDefault="00D12A18" w:rsidP="003105CD">
      <w:pPr>
        <w:spacing w:before="120"/>
        <w:ind w:left="360"/>
        <w:rPr>
          <w:sz w:val="24"/>
        </w:rPr>
      </w:pPr>
      <w:r w:rsidRPr="005956FD">
        <w:rPr>
          <w:sz w:val="24"/>
        </w:rPr>
        <w:t>A 60-day Federal Register Notice was published</w:t>
      </w:r>
      <w:r w:rsidR="00175C94">
        <w:rPr>
          <w:sz w:val="24"/>
        </w:rPr>
        <w:t xml:space="preserve"> February 20, 2015</w:t>
      </w:r>
      <w:r w:rsidR="00C87497">
        <w:rPr>
          <w:sz w:val="24"/>
        </w:rPr>
        <w:t xml:space="preserve"> </w:t>
      </w:r>
      <w:r w:rsidR="00175C94">
        <w:rPr>
          <w:sz w:val="24"/>
        </w:rPr>
        <w:t>(</w:t>
      </w:r>
      <w:r w:rsidR="003D5989">
        <w:rPr>
          <w:sz w:val="24"/>
        </w:rPr>
        <w:t>80 Fed. Reg</w:t>
      </w:r>
      <w:r w:rsidR="004E2372">
        <w:rPr>
          <w:sz w:val="24"/>
        </w:rPr>
        <w:t>34.</w:t>
      </w:r>
      <w:r w:rsidR="003D5989">
        <w:rPr>
          <w:sz w:val="24"/>
        </w:rPr>
        <w:t xml:space="preserve">  </w:t>
      </w:r>
    </w:p>
    <w:p w:rsidR="00D12A18" w:rsidRPr="005956FD" w:rsidRDefault="00D12A18" w:rsidP="003105CD">
      <w:pPr>
        <w:spacing w:before="120"/>
        <w:ind w:left="360"/>
        <w:rPr>
          <w:sz w:val="24"/>
        </w:rPr>
      </w:pPr>
      <w:r>
        <w:rPr>
          <w:sz w:val="24"/>
        </w:rPr>
        <w:t>T</w:t>
      </w:r>
      <w:r w:rsidRPr="005956FD">
        <w:rPr>
          <w:sz w:val="24"/>
        </w:rPr>
        <w:t>here were no comments.</w:t>
      </w:r>
    </w:p>
    <w:p w:rsidR="00D12A18" w:rsidRPr="00952713" w:rsidRDefault="00D12A18" w:rsidP="003105CD">
      <w:pPr>
        <w:spacing w:before="120"/>
        <w:ind w:firstLine="360"/>
        <w:rPr>
          <w:b/>
          <w:sz w:val="24"/>
        </w:rPr>
      </w:pPr>
      <w:r w:rsidRPr="00952713">
        <w:rPr>
          <w:b/>
          <w:sz w:val="24"/>
        </w:rPr>
        <w:t>Section 8B:</w:t>
      </w:r>
    </w:p>
    <w:p w:rsidR="00D12A18" w:rsidRPr="00952713" w:rsidRDefault="00D12A18" w:rsidP="003105CD">
      <w:pPr>
        <w:spacing w:before="120"/>
        <w:ind w:left="360"/>
        <w:rPr>
          <w:sz w:val="24"/>
        </w:rPr>
      </w:pPr>
      <w:r w:rsidRPr="00952713">
        <w:rPr>
          <w:sz w:val="24"/>
        </w:rPr>
        <w:t xml:space="preserve">In order to create a final set of performance measures that are useful for the </w:t>
      </w:r>
      <w:r w:rsidR="00F51BC4" w:rsidRPr="00952713">
        <w:rPr>
          <w:sz w:val="24"/>
        </w:rPr>
        <w:t>RAED</w:t>
      </w:r>
      <w:r w:rsidRPr="00952713">
        <w:rPr>
          <w:sz w:val="24"/>
        </w:rPr>
        <w:t xml:space="preserve"> grantees, a set of measures were vetted to nine or less participating grantee organizations in </w:t>
      </w:r>
      <w:r w:rsidR="00F51BC4" w:rsidRPr="00952713">
        <w:rPr>
          <w:sz w:val="24"/>
        </w:rPr>
        <w:t>February 2015</w:t>
      </w:r>
      <w:r w:rsidRPr="00952713">
        <w:rPr>
          <w:sz w:val="24"/>
        </w:rPr>
        <w:t xml:space="preserve">. </w:t>
      </w:r>
      <w:r w:rsidR="00175C94">
        <w:rPr>
          <w:sz w:val="24"/>
        </w:rPr>
        <w:t xml:space="preserve"> </w:t>
      </w:r>
      <w:r w:rsidRPr="00952713">
        <w:rPr>
          <w:sz w:val="24"/>
        </w:rPr>
        <w:t>The following</w:t>
      </w:r>
      <w:r w:rsidR="00952713" w:rsidRPr="00952713">
        <w:rPr>
          <w:sz w:val="24"/>
        </w:rPr>
        <w:t xml:space="preserve"> seven</w:t>
      </w:r>
      <w:r w:rsidRPr="00952713">
        <w:rPr>
          <w:sz w:val="24"/>
        </w:rPr>
        <w:t xml:space="preserve"> grantees were consulted: </w:t>
      </w:r>
    </w:p>
    <w:p w:rsidR="00323337" w:rsidRDefault="00323337" w:rsidP="00D12A18">
      <w:pPr>
        <w:spacing w:before="120"/>
        <w:rPr>
          <w:color w:val="FF0000"/>
          <w:sz w:val="24"/>
        </w:rPr>
      </w:pPr>
    </w:p>
    <w:p w:rsidR="00323337" w:rsidRDefault="00323337" w:rsidP="003105CD">
      <w:pPr>
        <w:ind w:left="360"/>
        <w:rPr>
          <w:sz w:val="24"/>
        </w:rPr>
      </w:pPr>
      <w:r>
        <w:rPr>
          <w:sz w:val="24"/>
        </w:rPr>
        <w:t>Deborah Sheets, RN</w:t>
      </w:r>
    </w:p>
    <w:p w:rsidR="00323337" w:rsidRDefault="00323337" w:rsidP="003105CD">
      <w:pPr>
        <w:ind w:left="360"/>
        <w:rPr>
          <w:sz w:val="24"/>
        </w:rPr>
      </w:pPr>
      <w:r>
        <w:rPr>
          <w:sz w:val="24"/>
        </w:rPr>
        <w:t>Project Director</w:t>
      </w:r>
    </w:p>
    <w:p w:rsidR="00323337" w:rsidRDefault="00323337" w:rsidP="003105CD">
      <w:pPr>
        <w:ind w:left="360"/>
        <w:rPr>
          <w:sz w:val="24"/>
        </w:rPr>
      </w:pPr>
      <w:r>
        <w:rPr>
          <w:sz w:val="24"/>
        </w:rPr>
        <w:t>Wellspan Health</w:t>
      </w:r>
    </w:p>
    <w:p w:rsidR="00323337" w:rsidRDefault="00323337" w:rsidP="003105CD">
      <w:pPr>
        <w:ind w:left="360"/>
        <w:rPr>
          <w:sz w:val="24"/>
        </w:rPr>
      </w:pPr>
      <w:r>
        <w:rPr>
          <w:sz w:val="24"/>
        </w:rPr>
        <w:t>Office: (717) 337-4264</w:t>
      </w:r>
    </w:p>
    <w:p w:rsidR="00323337" w:rsidRDefault="00323337" w:rsidP="003105CD">
      <w:pPr>
        <w:ind w:left="360"/>
        <w:rPr>
          <w:sz w:val="24"/>
        </w:rPr>
      </w:pPr>
      <w:r>
        <w:rPr>
          <w:sz w:val="24"/>
        </w:rPr>
        <w:t xml:space="preserve">Email: </w:t>
      </w:r>
      <w:hyperlink r:id="rId8" w:history="1">
        <w:r w:rsidRPr="0070323A">
          <w:rPr>
            <w:rStyle w:val="Hyperlink"/>
            <w:sz w:val="24"/>
          </w:rPr>
          <w:t>dsheets@wellspan.org</w:t>
        </w:r>
      </w:hyperlink>
    </w:p>
    <w:p w:rsidR="00323337" w:rsidRDefault="00323337" w:rsidP="003105CD">
      <w:pPr>
        <w:ind w:left="360"/>
        <w:rPr>
          <w:sz w:val="24"/>
        </w:rPr>
      </w:pPr>
    </w:p>
    <w:p w:rsidR="00323337" w:rsidRDefault="00323337" w:rsidP="003105CD">
      <w:pPr>
        <w:ind w:left="360"/>
        <w:rPr>
          <w:sz w:val="24"/>
        </w:rPr>
      </w:pPr>
      <w:r>
        <w:rPr>
          <w:sz w:val="24"/>
        </w:rPr>
        <w:t>Joseph R. Biggs, Ph.D., HSSP</w:t>
      </w:r>
    </w:p>
    <w:p w:rsidR="00323337" w:rsidRDefault="00323337" w:rsidP="003105CD">
      <w:pPr>
        <w:ind w:left="360"/>
        <w:rPr>
          <w:sz w:val="24"/>
        </w:rPr>
      </w:pPr>
      <w:r>
        <w:rPr>
          <w:sz w:val="24"/>
        </w:rPr>
        <w:t>Executive Director</w:t>
      </w:r>
    </w:p>
    <w:p w:rsidR="00323337" w:rsidRDefault="00323337" w:rsidP="003105CD">
      <w:pPr>
        <w:ind w:left="360"/>
        <w:rPr>
          <w:sz w:val="24"/>
        </w:rPr>
      </w:pPr>
      <w:r>
        <w:rPr>
          <w:sz w:val="24"/>
        </w:rPr>
        <w:t>Richard G. Lugar Center for Rural Health</w:t>
      </w:r>
    </w:p>
    <w:p w:rsidR="00323337" w:rsidRDefault="00323337" w:rsidP="003105CD">
      <w:pPr>
        <w:ind w:left="360"/>
        <w:rPr>
          <w:sz w:val="24"/>
        </w:rPr>
      </w:pPr>
      <w:r>
        <w:rPr>
          <w:sz w:val="24"/>
        </w:rPr>
        <w:t>Union Hospital, Inc.</w:t>
      </w:r>
    </w:p>
    <w:p w:rsidR="00323337" w:rsidRDefault="00323337" w:rsidP="003105CD">
      <w:pPr>
        <w:ind w:left="360"/>
        <w:rPr>
          <w:sz w:val="24"/>
        </w:rPr>
      </w:pPr>
      <w:r>
        <w:rPr>
          <w:sz w:val="24"/>
        </w:rPr>
        <w:t>Office:  (812) 237-3121</w:t>
      </w:r>
    </w:p>
    <w:p w:rsidR="00323337" w:rsidRDefault="00323337" w:rsidP="003105CD">
      <w:pPr>
        <w:ind w:left="360"/>
        <w:rPr>
          <w:sz w:val="24"/>
        </w:rPr>
      </w:pPr>
      <w:r>
        <w:rPr>
          <w:sz w:val="24"/>
        </w:rPr>
        <w:t xml:space="preserve">Email:  </w:t>
      </w:r>
      <w:hyperlink r:id="rId9" w:history="1">
        <w:r w:rsidR="00C92691" w:rsidRPr="0070323A">
          <w:rPr>
            <w:rStyle w:val="Hyperlink"/>
            <w:sz w:val="24"/>
          </w:rPr>
          <w:t>bhjrb@uhhg.org</w:t>
        </w:r>
      </w:hyperlink>
    </w:p>
    <w:p w:rsidR="00C92691" w:rsidRDefault="00C92691" w:rsidP="003105CD">
      <w:pPr>
        <w:ind w:left="360"/>
        <w:rPr>
          <w:sz w:val="24"/>
        </w:rPr>
      </w:pPr>
    </w:p>
    <w:p w:rsidR="00C92691" w:rsidRDefault="00C92691" w:rsidP="003105CD">
      <w:pPr>
        <w:ind w:left="360"/>
        <w:rPr>
          <w:sz w:val="24"/>
        </w:rPr>
      </w:pPr>
      <w:r>
        <w:rPr>
          <w:sz w:val="24"/>
        </w:rPr>
        <w:t>Benjamin Rackley</w:t>
      </w:r>
    </w:p>
    <w:p w:rsidR="00C92691" w:rsidRDefault="00C92691" w:rsidP="003105CD">
      <w:pPr>
        <w:ind w:left="360"/>
        <w:rPr>
          <w:sz w:val="24"/>
        </w:rPr>
      </w:pPr>
      <w:r>
        <w:rPr>
          <w:sz w:val="24"/>
        </w:rPr>
        <w:t>Project Director</w:t>
      </w:r>
    </w:p>
    <w:p w:rsidR="00C92691" w:rsidRDefault="00C92691" w:rsidP="003105CD">
      <w:pPr>
        <w:ind w:left="360"/>
        <w:rPr>
          <w:sz w:val="24"/>
        </w:rPr>
      </w:pPr>
      <w:r>
        <w:rPr>
          <w:sz w:val="24"/>
        </w:rPr>
        <w:t>Tuskegee Area Health Education Center</w:t>
      </w:r>
    </w:p>
    <w:p w:rsidR="00C92691" w:rsidRDefault="00C92691" w:rsidP="003105CD">
      <w:pPr>
        <w:ind w:left="360"/>
        <w:rPr>
          <w:sz w:val="24"/>
        </w:rPr>
      </w:pPr>
      <w:r>
        <w:rPr>
          <w:sz w:val="24"/>
        </w:rPr>
        <w:t>Office:  (334) 727-0550</w:t>
      </w:r>
    </w:p>
    <w:p w:rsidR="00C92691" w:rsidRDefault="00C92691" w:rsidP="003105CD">
      <w:pPr>
        <w:ind w:left="360"/>
        <w:rPr>
          <w:sz w:val="24"/>
        </w:rPr>
      </w:pPr>
      <w:r>
        <w:rPr>
          <w:sz w:val="24"/>
        </w:rPr>
        <w:t xml:space="preserve">Email:  </w:t>
      </w:r>
      <w:hyperlink r:id="rId10" w:history="1">
        <w:r w:rsidRPr="0070323A">
          <w:rPr>
            <w:rStyle w:val="Hyperlink"/>
            <w:sz w:val="24"/>
          </w:rPr>
          <w:t>bprack@bellsouth.net</w:t>
        </w:r>
      </w:hyperlink>
    </w:p>
    <w:p w:rsidR="00C92691" w:rsidRDefault="00C92691" w:rsidP="003105CD">
      <w:pPr>
        <w:ind w:left="360" w:firstLine="720"/>
        <w:rPr>
          <w:sz w:val="24"/>
        </w:rPr>
      </w:pPr>
    </w:p>
    <w:p w:rsidR="00C92691" w:rsidRDefault="00C92691" w:rsidP="003105CD">
      <w:pPr>
        <w:ind w:left="360"/>
        <w:rPr>
          <w:sz w:val="24"/>
        </w:rPr>
      </w:pPr>
      <w:r>
        <w:rPr>
          <w:sz w:val="24"/>
        </w:rPr>
        <w:t>Lacy Landrum</w:t>
      </w:r>
    </w:p>
    <w:p w:rsidR="00323337" w:rsidRDefault="00C92691" w:rsidP="003105CD">
      <w:pPr>
        <w:ind w:left="360"/>
        <w:rPr>
          <w:sz w:val="24"/>
        </w:rPr>
      </w:pPr>
      <w:r>
        <w:rPr>
          <w:sz w:val="24"/>
        </w:rPr>
        <w:t>Project Director</w:t>
      </w:r>
    </w:p>
    <w:p w:rsidR="00C92691" w:rsidRDefault="00C92691" w:rsidP="003105CD">
      <w:pPr>
        <w:ind w:left="360"/>
        <w:rPr>
          <w:sz w:val="24"/>
        </w:rPr>
      </w:pPr>
      <w:r>
        <w:rPr>
          <w:sz w:val="24"/>
        </w:rPr>
        <w:t>City of Hammond</w:t>
      </w:r>
    </w:p>
    <w:p w:rsidR="00C92691" w:rsidRDefault="00C92691" w:rsidP="003105CD">
      <w:pPr>
        <w:ind w:left="360"/>
        <w:rPr>
          <w:sz w:val="24"/>
        </w:rPr>
      </w:pPr>
      <w:r>
        <w:rPr>
          <w:sz w:val="24"/>
        </w:rPr>
        <w:t>Office:  (985) 277-5653</w:t>
      </w:r>
    </w:p>
    <w:p w:rsidR="00C92691" w:rsidRDefault="00C92691" w:rsidP="003105CD">
      <w:pPr>
        <w:ind w:left="360"/>
        <w:rPr>
          <w:sz w:val="24"/>
        </w:rPr>
      </w:pPr>
      <w:r>
        <w:rPr>
          <w:sz w:val="24"/>
        </w:rPr>
        <w:lastRenderedPageBreak/>
        <w:t xml:space="preserve">Email:  </w:t>
      </w:r>
      <w:hyperlink r:id="rId11" w:history="1">
        <w:r w:rsidRPr="0070323A">
          <w:rPr>
            <w:rStyle w:val="Hyperlink"/>
            <w:sz w:val="24"/>
          </w:rPr>
          <w:t>Landrum_L@hammond.org</w:t>
        </w:r>
      </w:hyperlink>
    </w:p>
    <w:p w:rsidR="00C92691" w:rsidRDefault="00C92691" w:rsidP="003105CD">
      <w:pPr>
        <w:ind w:left="360"/>
        <w:rPr>
          <w:sz w:val="24"/>
        </w:rPr>
      </w:pPr>
    </w:p>
    <w:p w:rsidR="00C92691" w:rsidRDefault="00C92691" w:rsidP="003105CD">
      <w:pPr>
        <w:ind w:left="360"/>
        <w:rPr>
          <w:sz w:val="24"/>
        </w:rPr>
      </w:pPr>
      <w:r>
        <w:rPr>
          <w:sz w:val="24"/>
        </w:rPr>
        <w:t>Sue Graftstrom</w:t>
      </w:r>
    </w:p>
    <w:p w:rsidR="00C92691" w:rsidRDefault="00C92691" w:rsidP="003105CD">
      <w:pPr>
        <w:ind w:left="360"/>
        <w:rPr>
          <w:sz w:val="24"/>
        </w:rPr>
      </w:pPr>
      <w:r>
        <w:rPr>
          <w:sz w:val="24"/>
        </w:rPr>
        <w:t>Project Director</w:t>
      </w:r>
    </w:p>
    <w:p w:rsidR="00C92691" w:rsidRDefault="00C92691" w:rsidP="003105CD">
      <w:pPr>
        <w:ind w:left="360"/>
        <w:rPr>
          <w:sz w:val="24"/>
        </w:rPr>
      </w:pPr>
      <w:r>
        <w:rPr>
          <w:sz w:val="24"/>
        </w:rPr>
        <w:t>Lifecare Medical Center</w:t>
      </w:r>
    </w:p>
    <w:p w:rsidR="00C92691" w:rsidRDefault="00C92691" w:rsidP="003105CD">
      <w:pPr>
        <w:ind w:left="360"/>
        <w:rPr>
          <w:sz w:val="24"/>
        </w:rPr>
      </w:pPr>
      <w:r>
        <w:rPr>
          <w:sz w:val="24"/>
        </w:rPr>
        <w:t>Office:  (</w:t>
      </w:r>
      <w:r w:rsidR="00F51BC4">
        <w:rPr>
          <w:sz w:val="24"/>
        </w:rPr>
        <w:t>218) 463-4762</w:t>
      </w:r>
    </w:p>
    <w:p w:rsidR="00F51BC4" w:rsidRDefault="00F51BC4" w:rsidP="003105CD">
      <w:pPr>
        <w:ind w:left="360"/>
        <w:rPr>
          <w:sz w:val="24"/>
        </w:rPr>
      </w:pPr>
      <w:r>
        <w:rPr>
          <w:sz w:val="24"/>
        </w:rPr>
        <w:t xml:space="preserve">Email:  </w:t>
      </w:r>
      <w:hyperlink r:id="rId12" w:history="1">
        <w:r w:rsidRPr="0070323A">
          <w:rPr>
            <w:rStyle w:val="Hyperlink"/>
            <w:sz w:val="24"/>
          </w:rPr>
          <w:t>sgraftstrom@lifecaremc.com</w:t>
        </w:r>
      </w:hyperlink>
    </w:p>
    <w:p w:rsidR="00F51BC4" w:rsidRDefault="00F51BC4" w:rsidP="003105CD">
      <w:pPr>
        <w:ind w:left="360"/>
        <w:rPr>
          <w:sz w:val="24"/>
        </w:rPr>
      </w:pPr>
    </w:p>
    <w:p w:rsidR="00F51BC4" w:rsidRDefault="00F51BC4" w:rsidP="003105CD">
      <w:pPr>
        <w:ind w:left="360"/>
        <w:rPr>
          <w:sz w:val="24"/>
        </w:rPr>
      </w:pPr>
      <w:r>
        <w:rPr>
          <w:sz w:val="24"/>
        </w:rPr>
        <w:t>Terri Hanna</w:t>
      </w:r>
    </w:p>
    <w:p w:rsidR="00F51BC4" w:rsidRDefault="00F51BC4" w:rsidP="003105CD">
      <w:pPr>
        <w:ind w:left="360"/>
        <w:rPr>
          <w:sz w:val="24"/>
        </w:rPr>
      </w:pPr>
      <w:r>
        <w:rPr>
          <w:sz w:val="24"/>
        </w:rPr>
        <w:t>Project Director</w:t>
      </w:r>
    </w:p>
    <w:p w:rsidR="00F51BC4" w:rsidRDefault="00F51BC4" w:rsidP="003105CD">
      <w:pPr>
        <w:ind w:left="360"/>
        <w:rPr>
          <w:sz w:val="24"/>
        </w:rPr>
      </w:pPr>
      <w:r>
        <w:rPr>
          <w:sz w:val="24"/>
        </w:rPr>
        <w:t>Davis County Hospital</w:t>
      </w:r>
    </w:p>
    <w:p w:rsidR="00F51BC4" w:rsidRDefault="00F51BC4" w:rsidP="003105CD">
      <w:pPr>
        <w:ind w:left="360"/>
        <w:rPr>
          <w:sz w:val="24"/>
        </w:rPr>
      </w:pPr>
      <w:r>
        <w:rPr>
          <w:sz w:val="24"/>
        </w:rPr>
        <w:t>Office:  (641) 666-2145</w:t>
      </w:r>
    </w:p>
    <w:p w:rsidR="00F51BC4" w:rsidRDefault="00F51BC4" w:rsidP="003105CD">
      <w:pPr>
        <w:ind w:left="360"/>
        <w:rPr>
          <w:sz w:val="24"/>
        </w:rPr>
      </w:pPr>
      <w:r>
        <w:rPr>
          <w:sz w:val="24"/>
        </w:rPr>
        <w:t xml:space="preserve">Email:  </w:t>
      </w:r>
      <w:hyperlink r:id="rId13" w:history="1">
        <w:r w:rsidRPr="0070323A">
          <w:rPr>
            <w:rStyle w:val="Hyperlink"/>
            <w:sz w:val="24"/>
          </w:rPr>
          <w:t>thanna@daviscountyhospital.org</w:t>
        </w:r>
      </w:hyperlink>
    </w:p>
    <w:p w:rsidR="00F51BC4" w:rsidRDefault="00F51BC4" w:rsidP="003105CD">
      <w:pPr>
        <w:ind w:left="360"/>
        <w:rPr>
          <w:sz w:val="24"/>
        </w:rPr>
      </w:pPr>
    </w:p>
    <w:p w:rsidR="00F51BC4" w:rsidRDefault="00F51BC4" w:rsidP="003105CD">
      <w:pPr>
        <w:ind w:left="360"/>
        <w:rPr>
          <w:sz w:val="24"/>
        </w:rPr>
      </w:pPr>
      <w:r>
        <w:rPr>
          <w:sz w:val="24"/>
        </w:rPr>
        <w:t>Kristina Kohn</w:t>
      </w:r>
    </w:p>
    <w:p w:rsidR="00F51BC4" w:rsidRDefault="00F51BC4" w:rsidP="003105CD">
      <w:pPr>
        <w:ind w:left="360"/>
        <w:rPr>
          <w:sz w:val="24"/>
        </w:rPr>
      </w:pPr>
      <w:r>
        <w:rPr>
          <w:sz w:val="24"/>
        </w:rPr>
        <w:t>Project Director</w:t>
      </w:r>
    </w:p>
    <w:p w:rsidR="00F51BC4" w:rsidRDefault="00F51BC4" w:rsidP="003105CD">
      <w:pPr>
        <w:ind w:left="360"/>
        <w:rPr>
          <w:sz w:val="24"/>
        </w:rPr>
      </w:pPr>
      <w:r>
        <w:rPr>
          <w:sz w:val="24"/>
        </w:rPr>
        <w:t xml:space="preserve">Fillmore County </w:t>
      </w:r>
    </w:p>
    <w:p w:rsidR="00F51BC4" w:rsidRDefault="00F51BC4" w:rsidP="003105CD">
      <w:pPr>
        <w:ind w:left="360"/>
        <w:rPr>
          <w:sz w:val="24"/>
        </w:rPr>
      </w:pPr>
      <w:r>
        <w:rPr>
          <w:sz w:val="24"/>
        </w:rPr>
        <w:t>Office:  (507) 765-2809</w:t>
      </w:r>
    </w:p>
    <w:p w:rsidR="00F51BC4" w:rsidRPr="00323337" w:rsidRDefault="00F51BC4" w:rsidP="003105CD">
      <w:pPr>
        <w:ind w:left="360"/>
        <w:rPr>
          <w:sz w:val="24"/>
        </w:rPr>
      </w:pPr>
      <w:r>
        <w:rPr>
          <w:sz w:val="24"/>
        </w:rPr>
        <w:t>Email:  kkohn@co.fillmore.mn.us</w:t>
      </w:r>
    </w:p>
    <w:p w:rsidR="009B3794" w:rsidRDefault="009B3794" w:rsidP="00CA3DA6">
      <w:pPr>
        <w:numPr>
          <w:ilvl w:val="0"/>
          <w:numId w:val="2"/>
        </w:numPr>
        <w:tabs>
          <w:tab w:val="clear" w:pos="1080"/>
          <w:tab w:val="num" w:pos="360"/>
        </w:tabs>
        <w:spacing w:before="240"/>
        <w:ind w:left="360"/>
        <w:rPr>
          <w:b/>
          <w:sz w:val="24"/>
        </w:rPr>
      </w:pPr>
      <w:r>
        <w:rPr>
          <w:b/>
          <w:sz w:val="24"/>
          <w:u w:val="single"/>
        </w:rPr>
        <w:t>Explanation of any Payment/Gift to Respondents</w:t>
      </w:r>
    </w:p>
    <w:p w:rsidR="00952713" w:rsidRPr="00952713" w:rsidRDefault="00952713" w:rsidP="003105CD">
      <w:pPr>
        <w:spacing w:before="120"/>
        <w:ind w:firstLine="360"/>
        <w:rPr>
          <w:sz w:val="24"/>
        </w:rPr>
      </w:pPr>
      <w:r w:rsidRPr="00952713">
        <w:rPr>
          <w:sz w:val="24"/>
        </w:rPr>
        <w:t>Respondents will not receive any payments or gifts</w:t>
      </w:r>
      <w:r w:rsidR="00175C94">
        <w:rPr>
          <w:sz w:val="24"/>
        </w:rPr>
        <w:t>.</w:t>
      </w:r>
    </w:p>
    <w:p w:rsidR="009B3794" w:rsidRDefault="009B3794" w:rsidP="00CA3DA6">
      <w:pPr>
        <w:numPr>
          <w:ilvl w:val="0"/>
          <w:numId w:val="2"/>
        </w:numPr>
        <w:tabs>
          <w:tab w:val="clear" w:pos="1080"/>
          <w:tab w:val="num" w:pos="360"/>
        </w:tabs>
        <w:spacing w:before="240"/>
        <w:ind w:left="360"/>
        <w:rPr>
          <w:b/>
          <w:sz w:val="24"/>
        </w:rPr>
      </w:pPr>
      <w:r>
        <w:rPr>
          <w:b/>
          <w:sz w:val="24"/>
          <w:u w:val="single"/>
        </w:rPr>
        <w:t>Assurance of Confidentiality Provided to Respondents</w:t>
      </w:r>
    </w:p>
    <w:p w:rsidR="00952713" w:rsidRPr="00952713" w:rsidRDefault="00952713" w:rsidP="003105CD">
      <w:pPr>
        <w:spacing w:before="120"/>
        <w:ind w:left="360"/>
        <w:rPr>
          <w:sz w:val="24"/>
        </w:rPr>
      </w:pPr>
      <w:r w:rsidRPr="00952713">
        <w:rPr>
          <w:sz w:val="24"/>
        </w:rPr>
        <w:t>The data system does not involve the reporting of information about identifiable individuals; therefore, the Privacy Act is not applicable to this activity.  The proposed performance measures will be used only in aggregate data form for program activities.</w:t>
      </w:r>
    </w:p>
    <w:p w:rsidR="009B3794" w:rsidRPr="00952713" w:rsidRDefault="009B3794" w:rsidP="00CA3DA6">
      <w:pPr>
        <w:numPr>
          <w:ilvl w:val="0"/>
          <w:numId w:val="2"/>
        </w:numPr>
        <w:tabs>
          <w:tab w:val="clear" w:pos="1080"/>
          <w:tab w:val="num" w:pos="360"/>
        </w:tabs>
        <w:spacing w:before="240"/>
        <w:ind w:left="360"/>
        <w:rPr>
          <w:b/>
          <w:sz w:val="24"/>
        </w:rPr>
      </w:pPr>
      <w:r>
        <w:rPr>
          <w:b/>
          <w:sz w:val="24"/>
          <w:u w:val="single"/>
        </w:rPr>
        <w:t>Justification for Sensitive Questions</w:t>
      </w:r>
    </w:p>
    <w:p w:rsidR="00952713" w:rsidRPr="00952713" w:rsidRDefault="00952713" w:rsidP="003105CD">
      <w:pPr>
        <w:spacing w:before="240"/>
        <w:ind w:firstLine="360"/>
        <w:rPr>
          <w:sz w:val="24"/>
        </w:rPr>
      </w:pPr>
      <w:r>
        <w:rPr>
          <w:sz w:val="24"/>
        </w:rPr>
        <w:t xml:space="preserve">There are no sensitive questions. </w:t>
      </w:r>
    </w:p>
    <w:p w:rsidR="009B3794" w:rsidRDefault="009B3794" w:rsidP="00CA3DA6">
      <w:pPr>
        <w:numPr>
          <w:ilvl w:val="0"/>
          <w:numId w:val="2"/>
        </w:numPr>
        <w:tabs>
          <w:tab w:val="clear" w:pos="1080"/>
          <w:tab w:val="num" w:pos="360"/>
        </w:tabs>
        <w:spacing w:before="240"/>
        <w:ind w:left="360"/>
        <w:rPr>
          <w:sz w:val="24"/>
        </w:rPr>
      </w:pPr>
      <w:r>
        <w:rPr>
          <w:b/>
          <w:sz w:val="24"/>
          <w:u w:val="single"/>
        </w:rPr>
        <w:t xml:space="preserve">Estimates of Annualized Hour and Cost Burden  </w:t>
      </w:r>
    </w:p>
    <w:tbl>
      <w:tblPr>
        <w:tblW w:w="9270" w:type="dxa"/>
        <w:tblInd w:w="97" w:type="dxa"/>
        <w:tblLayout w:type="fixed"/>
        <w:tblCellMar>
          <w:left w:w="97" w:type="dxa"/>
          <w:right w:w="97" w:type="dxa"/>
        </w:tblCellMar>
        <w:tblLook w:val="0000" w:firstRow="0" w:lastRow="0" w:firstColumn="0" w:lastColumn="0" w:noHBand="0" w:noVBand="0"/>
      </w:tblPr>
      <w:tblGrid>
        <w:gridCol w:w="1800"/>
        <w:gridCol w:w="1440"/>
        <w:gridCol w:w="1800"/>
        <w:gridCol w:w="1440"/>
        <w:gridCol w:w="1350"/>
        <w:gridCol w:w="1440"/>
      </w:tblGrid>
      <w:tr w:rsidR="0010416D" w:rsidRPr="00F0076E" w:rsidTr="009B2E4E">
        <w:tc>
          <w:tcPr>
            <w:tcW w:w="1800" w:type="dxa"/>
            <w:tcBorders>
              <w:top w:val="single" w:sz="2" w:space="0" w:color="auto"/>
              <w:left w:val="single" w:sz="2" w:space="0" w:color="auto"/>
              <w:bottom w:val="single" w:sz="2" w:space="0" w:color="auto"/>
              <w:right w:val="single" w:sz="2" w:space="0" w:color="auto"/>
            </w:tcBorders>
            <w:vAlign w:val="bottom"/>
          </w:tcPr>
          <w:p w:rsidR="0010416D" w:rsidRPr="00993C39" w:rsidRDefault="0010416D" w:rsidP="009B2E4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p>
          <w:p w:rsidR="0010416D" w:rsidRPr="00993C39" w:rsidRDefault="0010416D" w:rsidP="009B2E4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rPr>
            </w:pPr>
            <w:r w:rsidRPr="00993C39">
              <w:rPr>
                <w:sz w:val="24"/>
              </w:rPr>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10416D" w:rsidRPr="00993C39" w:rsidRDefault="0010416D" w:rsidP="009B2E4E">
            <w:pPr>
              <w:pStyle w:val="BodyText"/>
              <w:widowControl/>
              <w:jc w:val="center"/>
              <w:rPr>
                <w:sz w:val="24"/>
              </w:rPr>
            </w:pPr>
            <w:r w:rsidRPr="00993C39">
              <w:rPr>
                <w:sz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10416D" w:rsidRPr="00993C39" w:rsidRDefault="0010416D" w:rsidP="009B2E4E">
            <w:pPr>
              <w:pStyle w:val="BodyText"/>
              <w:widowControl/>
              <w:jc w:val="center"/>
              <w:rPr>
                <w:sz w:val="24"/>
              </w:rPr>
            </w:pPr>
          </w:p>
          <w:p w:rsidR="0010416D" w:rsidRPr="00993C39" w:rsidRDefault="0010416D" w:rsidP="009B2E4E">
            <w:pPr>
              <w:pStyle w:val="BodyText"/>
              <w:widowControl/>
              <w:jc w:val="center"/>
              <w:rPr>
                <w:sz w:val="24"/>
              </w:rPr>
            </w:pPr>
            <w:r w:rsidRPr="00993C39">
              <w:rPr>
                <w:sz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10416D" w:rsidRPr="00993C39" w:rsidRDefault="0010416D" w:rsidP="009B2E4E">
            <w:pPr>
              <w:pStyle w:val="BodyText"/>
              <w:widowControl/>
              <w:jc w:val="center"/>
              <w:rPr>
                <w:sz w:val="24"/>
              </w:rPr>
            </w:pPr>
          </w:p>
          <w:p w:rsidR="0010416D" w:rsidRPr="00993C39" w:rsidRDefault="0010416D" w:rsidP="009B2E4E">
            <w:pPr>
              <w:pStyle w:val="BodyText"/>
              <w:widowControl/>
              <w:jc w:val="center"/>
              <w:rPr>
                <w:sz w:val="24"/>
              </w:rPr>
            </w:pPr>
            <w:r w:rsidRPr="00993C39">
              <w:rPr>
                <w:sz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10416D" w:rsidRPr="00993C39" w:rsidRDefault="0010416D" w:rsidP="009B2E4E">
            <w:pPr>
              <w:pStyle w:val="BodyText"/>
              <w:widowControl/>
              <w:jc w:val="center"/>
              <w:rPr>
                <w:sz w:val="24"/>
              </w:rPr>
            </w:pPr>
          </w:p>
          <w:p w:rsidR="0010416D" w:rsidRPr="00993C39" w:rsidRDefault="0010416D" w:rsidP="009B2E4E">
            <w:pPr>
              <w:pStyle w:val="BodyText"/>
              <w:widowControl/>
              <w:jc w:val="center"/>
              <w:rPr>
                <w:sz w:val="24"/>
              </w:rPr>
            </w:pPr>
            <w:r w:rsidRPr="00993C39">
              <w:rPr>
                <w:sz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10416D" w:rsidRPr="00993C39" w:rsidRDefault="0010416D" w:rsidP="009B2E4E">
            <w:pPr>
              <w:pStyle w:val="BodyText"/>
              <w:widowControl/>
              <w:jc w:val="center"/>
              <w:rPr>
                <w:sz w:val="24"/>
              </w:rPr>
            </w:pPr>
            <w:r w:rsidRPr="00993C39">
              <w:rPr>
                <w:sz w:val="24"/>
              </w:rPr>
              <w:t>Total Burden Hours</w:t>
            </w:r>
          </w:p>
        </w:tc>
      </w:tr>
      <w:tr w:rsidR="0010416D" w:rsidRPr="00F0076E" w:rsidTr="009B2E4E">
        <w:tc>
          <w:tcPr>
            <w:tcW w:w="1800" w:type="dxa"/>
            <w:tcBorders>
              <w:top w:val="single" w:sz="2" w:space="0" w:color="auto"/>
              <w:left w:val="single" w:sz="2" w:space="0" w:color="auto"/>
              <w:bottom w:val="single" w:sz="2" w:space="0" w:color="auto"/>
              <w:right w:val="single" w:sz="2" w:space="0" w:color="auto"/>
            </w:tcBorders>
          </w:tcPr>
          <w:p w:rsidR="0010416D" w:rsidRPr="00993C39" w:rsidRDefault="0010416D" w:rsidP="009B2E4E">
            <w:pPr>
              <w:rPr>
                <w:sz w:val="24"/>
              </w:rPr>
            </w:pPr>
            <w:r w:rsidRPr="00993C39">
              <w:rPr>
                <w:sz w:val="24"/>
              </w:rPr>
              <w:t>Rural Access to Emergency Devices Grant Program</w:t>
            </w:r>
          </w:p>
        </w:tc>
        <w:tc>
          <w:tcPr>
            <w:tcW w:w="1440" w:type="dxa"/>
            <w:tcBorders>
              <w:top w:val="single" w:sz="2" w:space="0" w:color="auto"/>
              <w:left w:val="single" w:sz="2" w:space="0" w:color="auto"/>
              <w:bottom w:val="single" w:sz="2" w:space="0" w:color="auto"/>
              <w:right w:val="single" w:sz="2" w:space="0" w:color="auto"/>
            </w:tcBorders>
          </w:tcPr>
          <w:p w:rsidR="0010416D" w:rsidRPr="00993C39" w:rsidRDefault="0010416D" w:rsidP="009B2E4E">
            <w:pPr>
              <w:rPr>
                <w:sz w:val="24"/>
              </w:rPr>
            </w:pPr>
            <w:r w:rsidRPr="00993C39">
              <w:rPr>
                <w:sz w:val="24"/>
              </w:rPr>
              <w:t>12</w:t>
            </w:r>
          </w:p>
        </w:tc>
        <w:tc>
          <w:tcPr>
            <w:tcW w:w="1800" w:type="dxa"/>
            <w:tcBorders>
              <w:top w:val="single" w:sz="2" w:space="0" w:color="auto"/>
              <w:left w:val="single" w:sz="2" w:space="0" w:color="auto"/>
              <w:bottom w:val="single" w:sz="2" w:space="0" w:color="auto"/>
              <w:right w:val="single" w:sz="2" w:space="0" w:color="auto"/>
            </w:tcBorders>
          </w:tcPr>
          <w:p w:rsidR="0010416D" w:rsidRPr="00993C39" w:rsidRDefault="0010416D" w:rsidP="009B2E4E">
            <w:pPr>
              <w:rPr>
                <w:sz w:val="24"/>
              </w:rPr>
            </w:pPr>
            <w:r w:rsidRPr="00993C39">
              <w:rPr>
                <w:sz w:val="24"/>
              </w:rPr>
              <w:t>1</w:t>
            </w:r>
          </w:p>
        </w:tc>
        <w:tc>
          <w:tcPr>
            <w:tcW w:w="1440" w:type="dxa"/>
            <w:tcBorders>
              <w:top w:val="single" w:sz="2" w:space="0" w:color="auto"/>
              <w:left w:val="single" w:sz="2" w:space="0" w:color="auto"/>
              <w:bottom w:val="single" w:sz="2" w:space="0" w:color="auto"/>
              <w:right w:val="single" w:sz="2" w:space="0" w:color="auto"/>
            </w:tcBorders>
          </w:tcPr>
          <w:p w:rsidR="0010416D" w:rsidRPr="00993C39" w:rsidRDefault="0010416D" w:rsidP="009B2E4E">
            <w:pPr>
              <w:rPr>
                <w:sz w:val="24"/>
              </w:rPr>
            </w:pPr>
            <w:r w:rsidRPr="00993C39">
              <w:rPr>
                <w:sz w:val="24"/>
              </w:rPr>
              <w:t>12</w:t>
            </w:r>
          </w:p>
        </w:tc>
        <w:tc>
          <w:tcPr>
            <w:tcW w:w="1350" w:type="dxa"/>
            <w:tcBorders>
              <w:top w:val="single" w:sz="2" w:space="0" w:color="auto"/>
              <w:left w:val="single" w:sz="2" w:space="0" w:color="auto"/>
              <w:bottom w:val="single" w:sz="2" w:space="0" w:color="auto"/>
              <w:right w:val="single" w:sz="2" w:space="0" w:color="auto"/>
            </w:tcBorders>
          </w:tcPr>
          <w:p w:rsidR="0010416D" w:rsidRPr="00993C39" w:rsidRDefault="0010416D" w:rsidP="009B2E4E">
            <w:pPr>
              <w:rPr>
                <w:sz w:val="24"/>
              </w:rPr>
            </w:pPr>
            <w:r w:rsidRPr="00993C39">
              <w:rPr>
                <w:sz w:val="24"/>
              </w:rPr>
              <w:t>5.5</w:t>
            </w:r>
          </w:p>
        </w:tc>
        <w:tc>
          <w:tcPr>
            <w:tcW w:w="1440" w:type="dxa"/>
            <w:tcBorders>
              <w:top w:val="single" w:sz="2" w:space="0" w:color="auto"/>
              <w:left w:val="single" w:sz="2" w:space="0" w:color="auto"/>
              <w:bottom w:val="single" w:sz="2" w:space="0" w:color="auto"/>
              <w:right w:val="single" w:sz="2" w:space="0" w:color="auto"/>
            </w:tcBorders>
          </w:tcPr>
          <w:p w:rsidR="0010416D" w:rsidRPr="00993C39" w:rsidRDefault="0010416D" w:rsidP="009B2E4E">
            <w:pPr>
              <w:rPr>
                <w:sz w:val="24"/>
              </w:rPr>
            </w:pPr>
            <w:r w:rsidRPr="00993C39">
              <w:rPr>
                <w:sz w:val="24"/>
              </w:rPr>
              <w:t>66</w:t>
            </w:r>
          </w:p>
        </w:tc>
      </w:tr>
      <w:tr w:rsidR="0010416D" w:rsidRPr="00F0076E" w:rsidTr="009B2E4E">
        <w:tc>
          <w:tcPr>
            <w:tcW w:w="1800" w:type="dxa"/>
            <w:tcBorders>
              <w:top w:val="single" w:sz="2" w:space="0" w:color="auto"/>
              <w:left w:val="single" w:sz="2" w:space="0" w:color="auto"/>
              <w:bottom w:val="single" w:sz="2" w:space="0" w:color="auto"/>
              <w:right w:val="single" w:sz="2" w:space="0" w:color="auto"/>
            </w:tcBorders>
          </w:tcPr>
          <w:p w:rsidR="0010416D" w:rsidRPr="00993C39" w:rsidRDefault="0010416D" w:rsidP="009B2E4E">
            <w:pPr>
              <w:rPr>
                <w:sz w:val="24"/>
              </w:rPr>
            </w:pPr>
            <w:r w:rsidRPr="00993C39">
              <w:rPr>
                <w:sz w:val="24"/>
              </w:rPr>
              <w:t>Total</w:t>
            </w:r>
          </w:p>
        </w:tc>
        <w:tc>
          <w:tcPr>
            <w:tcW w:w="1440" w:type="dxa"/>
            <w:tcBorders>
              <w:top w:val="single" w:sz="2" w:space="0" w:color="auto"/>
              <w:left w:val="single" w:sz="2" w:space="0" w:color="auto"/>
              <w:bottom w:val="single" w:sz="2" w:space="0" w:color="auto"/>
              <w:right w:val="single" w:sz="2" w:space="0" w:color="auto"/>
            </w:tcBorders>
          </w:tcPr>
          <w:p w:rsidR="0010416D" w:rsidRPr="00993C39" w:rsidRDefault="0010416D" w:rsidP="009B2E4E">
            <w:pPr>
              <w:rPr>
                <w:sz w:val="24"/>
              </w:rPr>
            </w:pPr>
            <w:r w:rsidRPr="00993C39">
              <w:rPr>
                <w:sz w:val="24"/>
              </w:rPr>
              <w:t>12</w:t>
            </w:r>
          </w:p>
        </w:tc>
        <w:tc>
          <w:tcPr>
            <w:tcW w:w="1800" w:type="dxa"/>
            <w:tcBorders>
              <w:top w:val="single" w:sz="2" w:space="0" w:color="auto"/>
              <w:left w:val="single" w:sz="2" w:space="0" w:color="auto"/>
              <w:bottom w:val="single" w:sz="2" w:space="0" w:color="auto"/>
              <w:right w:val="single" w:sz="2" w:space="0" w:color="auto"/>
            </w:tcBorders>
          </w:tcPr>
          <w:p w:rsidR="0010416D" w:rsidRPr="00993C39" w:rsidRDefault="0010416D" w:rsidP="009B2E4E">
            <w:pPr>
              <w:rPr>
                <w:sz w:val="24"/>
              </w:rPr>
            </w:pPr>
            <w:r w:rsidRPr="00993C39">
              <w:rPr>
                <w:sz w:val="24"/>
              </w:rPr>
              <w:t>1</w:t>
            </w:r>
          </w:p>
        </w:tc>
        <w:tc>
          <w:tcPr>
            <w:tcW w:w="1440" w:type="dxa"/>
            <w:tcBorders>
              <w:top w:val="single" w:sz="2" w:space="0" w:color="auto"/>
              <w:left w:val="single" w:sz="2" w:space="0" w:color="auto"/>
              <w:bottom w:val="single" w:sz="2" w:space="0" w:color="auto"/>
              <w:right w:val="single" w:sz="2" w:space="0" w:color="auto"/>
            </w:tcBorders>
          </w:tcPr>
          <w:p w:rsidR="0010416D" w:rsidRPr="00993C39" w:rsidRDefault="0010416D" w:rsidP="009B2E4E">
            <w:pPr>
              <w:rPr>
                <w:sz w:val="24"/>
              </w:rPr>
            </w:pPr>
            <w:r w:rsidRPr="00993C39">
              <w:rPr>
                <w:sz w:val="24"/>
              </w:rPr>
              <w:t>12</w:t>
            </w:r>
          </w:p>
        </w:tc>
        <w:tc>
          <w:tcPr>
            <w:tcW w:w="1350" w:type="dxa"/>
            <w:tcBorders>
              <w:top w:val="single" w:sz="2" w:space="0" w:color="auto"/>
              <w:left w:val="single" w:sz="2" w:space="0" w:color="auto"/>
              <w:bottom w:val="single" w:sz="2" w:space="0" w:color="auto"/>
              <w:right w:val="single" w:sz="2" w:space="0" w:color="auto"/>
            </w:tcBorders>
          </w:tcPr>
          <w:p w:rsidR="0010416D" w:rsidRPr="00993C39" w:rsidRDefault="0010416D" w:rsidP="009B2E4E">
            <w:pPr>
              <w:rPr>
                <w:sz w:val="24"/>
              </w:rPr>
            </w:pPr>
            <w:r w:rsidRPr="00993C39">
              <w:rPr>
                <w:sz w:val="24"/>
              </w:rPr>
              <w:t>5.5</w:t>
            </w:r>
          </w:p>
        </w:tc>
        <w:tc>
          <w:tcPr>
            <w:tcW w:w="1440" w:type="dxa"/>
            <w:tcBorders>
              <w:top w:val="single" w:sz="2" w:space="0" w:color="auto"/>
              <w:left w:val="single" w:sz="2" w:space="0" w:color="auto"/>
              <w:bottom w:val="single" w:sz="2" w:space="0" w:color="auto"/>
              <w:right w:val="single" w:sz="2" w:space="0" w:color="auto"/>
            </w:tcBorders>
          </w:tcPr>
          <w:p w:rsidR="0010416D" w:rsidRPr="00993C39" w:rsidRDefault="0010416D" w:rsidP="009B2E4E">
            <w:pPr>
              <w:rPr>
                <w:sz w:val="24"/>
              </w:rPr>
            </w:pPr>
            <w:r w:rsidRPr="00993C39">
              <w:rPr>
                <w:sz w:val="24"/>
              </w:rPr>
              <w:t>66</w:t>
            </w:r>
          </w:p>
        </w:tc>
      </w:tr>
    </w:tbl>
    <w:p w:rsidR="0010416D" w:rsidRDefault="0010416D" w:rsidP="0010416D">
      <w:pPr>
        <w:rPr>
          <w:sz w:val="24"/>
        </w:rPr>
      </w:pPr>
    </w:p>
    <w:p w:rsidR="0010416D" w:rsidRPr="00072394" w:rsidRDefault="0010416D" w:rsidP="0010416D">
      <w:pPr>
        <w:rPr>
          <w:sz w:val="24"/>
        </w:rPr>
      </w:pPr>
      <w:r w:rsidRPr="00072394">
        <w:rPr>
          <w:sz w:val="24"/>
        </w:rPr>
        <w:t xml:space="preserve">These estimates were determined by consultations with </w:t>
      </w:r>
      <w:r>
        <w:rPr>
          <w:sz w:val="24"/>
        </w:rPr>
        <w:t>seven (7)</w:t>
      </w:r>
      <w:r w:rsidRPr="00072394">
        <w:rPr>
          <w:sz w:val="24"/>
        </w:rPr>
        <w:t xml:space="preserve"> current grantees from the program.  These grantees were sent a draft of the questions that pertain to their program.  They were asked to estimate how much time it would take to answer the questions.</w:t>
      </w:r>
    </w:p>
    <w:p w:rsidR="0010416D" w:rsidRPr="00072394" w:rsidRDefault="0010416D" w:rsidP="0010416D">
      <w:pPr>
        <w:rPr>
          <w:sz w:val="24"/>
        </w:rPr>
      </w:pPr>
    </w:p>
    <w:p w:rsidR="0010416D" w:rsidRDefault="0010416D" w:rsidP="00CA3DA6">
      <w:pPr>
        <w:spacing w:before="120"/>
        <w:rPr>
          <w:sz w:val="24"/>
        </w:rPr>
      </w:pPr>
    </w:p>
    <w:p w:rsidR="0010416D" w:rsidRPr="005956FD" w:rsidRDefault="0010416D" w:rsidP="0010416D">
      <w:pPr>
        <w:widowControl/>
        <w:spacing w:before="120"/>
        <w:ind w:left="270"/>
        <w:rPr>
          <w:b/>
          <w:sz w:val="24"/>
        </w:rPr>
      </w:pPr>
      <w:r w:rsidRPr="005956FD">
        <w:rPr>
          <w:b/>
          <w:sz w:val="24"/>
        </w:rPr>
        <w:t>Estimated Annualized Burden Costs</w:t>
      </w:r>
    </w:p>
    <w:tbl>
      <w:tblPr>
        <w:tblW w:w="83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90"/>
        <w:gridCol w:w="2610"/>
        <w:gridCol w:w="2070"/>
      </w:tblGrid>
      <w:tr w:rsidR="0010416D" w:rsidRPr="005956FD" w:rsidTr="009B2E4E">
        <w:trPr>
          <w:trHeight w:val="791"/>
        </w:trPr>
        <w:tc>
          <w:tcPr>
            <w:tcW w:w="1800" w:type="dxa"/>
          </w:tcPr>
          <w:p w:rsidR="0010416D" w:rsidRPr="005956FD" w:rsidRDefault="0010416D" w:rsidP="009B2E4E">
            <w:pPr>
              <w:widowControl/>
              <w:spacing w:before="120"/>
              <w:rPr>
                <w:b/>
                <w:bCs/>
                <w:sz w:val="24"/>
              </w:rPr>
            </w:pPr>
            <w:r w:rsidRPr="005956FD">
              <w:rPr>
                <w:b/>
                <w:bCs/>
                <w:sz w:val="24"/>
              </w:rPr>
              <w:t>Type of</w:t>
            </w:r>
          </w:p>
          <w:p w:rsidR="0010416D" w:rsidRPr="005F77FB" w:rsidRDefault="0010416D" w:rsidP="009B2E4E">
            <w:pPr>
              <w:widowControl/>
              <w:spacing w:before="120"/>
              <w:rPr>
                <w:sz w:val="24"/>
              </w:rPr>
            </w:pPr>
            <w:r w:rsidRPr="005956FD">
              <w:rPr>
                <w:b/>
                <w:bCs/>
                <w:sz w:val="24"/>
              </w:rPr>
              <w:t>Respondent</w:t>
            </w:r>
          </w:p>
        </w:tc>
        <w:tc>
          <w:tcPr>
            <w:tcW w:w="1890" w:type="dxa"/>
          </w:tcPr>
          <w:p w:rsidR="0010416D" w:rsidRPr="005956FD" w:rsidRDefault="0010416D" w:rsidP="009B2E4E">
            <w:pPr>
              <w:widowControl/>
              <w:spacing w:before="120"/>
              <w:rPr>
                <w:b/>
                <w:bCs/>
                <w:sz w:val="24"/>
              </w:rPr>
            </w:pPr>
            <w:r w:rsidRPr="005956FD">
              <w:rPr>
                <w:b/>
                <w:bCs/>
                <w:sz w:val="24"/>
              </w:rPr>
              <w:t>Total Burden</w:t>
            </w:r>
          </w:p>
          <w:p w:rsidR="0010416D" w:rsidRPr="005F77FB" w:rsidRDefault="0010416D" w:rsidP="009B2E4E">
            <w:pPr>
              <w:widowControl/>
              <w:spacing w:before="120"/>
              <w:rPr>
                <w:sz w:val="24"/>
              </w:rPr>
            </w:pPr>
            <w:r w:rsidRPr="005956FD">
              <w:rPr>
                <w:b/>
                <w:bCs/>
                <w:sz w:val="24"/>
              </w:rPr>
              <w:t>Hours</w:t>
            </w:r>
          </w:p>
        </w:tc>
        <w:tc>
          <w:tcPr>
            <w:tcW w:w="2610" w:type="dxa"/>
          </w:tcPr>
          <w:p w:rsidR="0010416D" w:rsidRPr="005956FD" w:rsidRDefault="0010416D" w:rsidP="009B2E4E">
            <w:pPr>
              <w:widowControl/>
              <w:spacing w:before="120"/>
              <w:rPr>
                <w:b/>
                <w:bCs/>
                <w:sz w:val="24"/>
              </w:rPr>
            </w:pPr>
            <w:r w:rsidRPr="005956FD">
              <w:rPr>
                <w:b/>
                <w:bCs/>
                <w:sz w:val="24"/>
              </w:rPr>
              <w:t>Hourly</w:t>
            </w:r>
          </w:p>
          <w:p w:rsidR="0010416D" w:rsidRPr="005F77FB" w:rsidRDefault="0010416D" w:rsidP="009B2E4E">
            <w:pPr>
              <w:widowControl/>
              <w:spacing w:before="120"/>
              <w:rPr>
                <w:sz w:val="24"/>
              </w:rPr>
            </w:pPr>
            <w:r w:rsidRPr="005956FD">
              <w:rPr>
                <w:b/>
                <w:bCs/>
                <w:sz w:val="24"/>
              </w:rPr>
              <w:t>Wage Rat</w:t>
            </w:r>
            <w:r>
              <w:rPr>
                <w:b/>
                <w:bCs/>
                <w:sz w:val="24"/>
              </w:rPr>
              <w:t>e</w:t>
            </w:r>
          </w:p>
        </w:tc>
        <w:tc>
          <w:tcPr>
            <w:tcW w:w="2070" w:type="dxa"/>
          </w:tcPr>
          <w:p w:rsidR="0010416D" w:rsidRPr="005F77FB" w:rsidRDefault="0010416D" w:rsidP="009B2E4E">
            <w:pPr>
              <w:widowControl/>
              <w:spacing w:before="120"/>
              <w:rPr>
                <w:sz w:val="24"/>
              </w:rPr>
            </w:pPr>
            <w:r w:rsidRPr="005956FD">
              <w:rPr>
                <w:b/>
                <w:bCs/>
                <w:sz w:val="24"/>
              </w:rPr>
              <w:t>Total Respondent Costs</w:t>
            </w:r>
          </w:p>
        </w:tc>
      </w:tr>
      <w:tr w:rsidR="0010416D" w:rsidRPr="005956FD" w:rsidTr="009B2E4E">
        <w:tc>
          <w:tcPr>
            <w:tcW w:w="1800" w:type="dxa"/>
          </w:tcPr>
          <w:p w:rsidR="0010416D" w:rsidRPr="005956FD" w:rsidRDefault="0010416D" w:rsidP="009B2E4E">
            <w:pPr>
              <w:spacing w:before="120"/>
              <w:rPr>
                <w:sz w:val="24"/>
              </w:rPr>
            </w:pPr>
            <w:r w:rsidRPr="005956FD">
              <w:rPr>
                <w:sz w:val="24"/>
              </w:rPr>
              <w:t>Project Director</w:t>
            </w:r>
          </w:p>
        </w:tc>
        <w:tc>
          <w:tcPr>
            <w:tcW w:w="1890" w:type="dxa"/>
          </w:tcPr>
          <w:p w:rsidR="0010416D" w:rsidRPr="005956FD" w:rsidRDefault="008C67A7" w:rsidP="009B2E4E">
            <w:pPr>
              <w:spacing w:before="120"/>
              <w:rPr>
                <w:sz w:val="24"/>
              </w:rPr>
            </w:pPr>
            <w:r>
              <w:rPr>
                <w:sz w:val="24"/>
              </w:rPr>
              <w:t>66</w:t>
            </w:r>
          </w:p>
        </w:tc>
        <w:tc>
          <w:tcPr>
            <w:tcW w:w="2610" w:type="dxa"/>
          </w:tcPr>
          <w:p w:rsidR="0010416D" w:rsidRPr="005956FD" w:rsidRDefault="0010416D" w:rsidP="009B2E4E">
            <w:pPr>
              <w:spacing w:before="120"/>
              <w:jc w:val="right"/>
              <w:rPr>
                <w:sz w:val="24"/>
              </w:rPr>
            </w:pPr>
            <w:r w:rsidRPr="005956FD">
              <w:rPr>
                <w:sz w:val="24"/>
              </w:rPr>
              <w:t>$52.11</w:t>
            </w:r>
          </w:p>
        </w:tc>
        <w:tc>
          <w:tcPr>
            <w:tcW w:w="2070" w:type="dxa"/>
          </w:tcPr>
          <w:p w:rsidR="0010416D" w:rsidRPr="005956FD" w:rsidRDefault="008C67A7" w:rsidP="009B2E4E">
            <w:pPr>
              <w:spacing w:before="120"/>
              <w:jc w:val="right"/>
              <w:rPr>
                <w:sz w:val="24"/>
              </w:rPr>
            </w:pPr>
            <w:r>
              <w:rPr>
                <w:sz w:val="24"/>
              </w:rPr>
              <w:t>$3,439.26</w:t>
            </w:r>
          </w:p>
        </w:tc>
      </w:tr>
      <w:tr w:rsidR="0010416D" w:rsidRPr="005956FD" w:rsidTr="009B2E4E">
        <w:tc>
          <w:tcPr>
            <w:tcW w:w="1800" w:type="dxa"/>
          </w:tcPr>
          <w:p w:rsidR="0010416D" w:rsidRPr="005956FD" w:rsidRDefault="0010416D" w:rsidP="009B2E4E">
            <w:pPr>
              <w:widowControl/>
              <w:spacing w:before="120"/>
              <w:rPr>
                <w:sz w:val="24"/>
              </w:rPr>
            </w:pPr>
            <w:r w:rsidRPr="005956FD">
              <w:rPr>
                <w:sz w:val="24"/>
              </w:rPr>
              <w:t>Total</w:t>
            </w:r>
          </w:p>
        </w:tc>
        <w:tc>
          <w:tcPr>
            <w:tcW w:w="1890" w:type="dxa"/>
          </w:tcPr>
          <w:p w:rsidR="0010416D" w:rsidRPr="005956FD" w:rsidRDefault="008C67A7" w:rsidP="009B2E4E">
            <w:pPr>
              <w:widowControl/>
              <w:spacing w:before="120"/>
              <w:rPr>
                <w:sz w:val="24"/>
              </w:rPr>
            </w:pPr>
            <w:r>
              <w:rPr>
                <w:sz w:val="24"/>
              </w:rPr>
              <w:t>66</w:t>
            </w:r>
          </w:p>
        </w:tc>
        <w:tc>
          <w:tcPr>
            <w:tcW w:w="2610" w:type="dxa"/>
          </w:tcPr>
          <w:p w:rsidR="0010416D" w:rsidRPr="005956FD" w:rsidRDefault="0010416D" w:rsidP="009B2E4E">
            <w:pPr>
              <w:widowControl/>
              <w:spacing w:before="120"/>
              <w:jc w:val="right"/>
              <w:rPr>
                <w:sz w:val="24"/>
              </w:rPr>
            </w:pPr>
            <w:r w:rsidRPr="005956FD">
              <w:rPr>
                <w:sz w:val="24"/>
              </w:rPr>
              <w:t>$52.11</w:t>
            </w:r>
          </w:p>
        </w:tc>
        <w:tc>
          <w:tcPr>
            <w:tcW w:w="2070" w:type="dxa"/>
          </w:tcPr>
          <w:p w:rsidR="0010416D" w:rsidRPr="005956FD" w:rsidRDefault="008C67A7" w:rsidP="008C67A7">
            <w:pPr>
              <w:widowControl/>
              <w:spacing w:before="120"/>
              <w:jc w:val="right"/>
              <w:rPr>
                <w:sz w:val="24"/>
              </w:rPr>
            </w:pPr>
            <w:r>
              <w:rPr>
                <w:sz w:val="24"/>
              </w:rPr>
              <w:t>$3,439.26</w:t>
            </w:r>
            <w:bookmarkStart w:id="0" w:name="_GoBack"/>
            <w:bookmarkEnd w:id="0"/>
          </w:p>
        </w:tc>
      </w:tr>
    </w:tbl>
    <w:p w:rsidR="0010416D" w:rsidRPr="005956FD" w:rsidRDefault="0010416D" w:rsidP="0010416D">
      <w:pPr>
        <w:spacing w:before="240"/>
        <w:ind w:left="360"/>
        <w:rPr>
          <w:sz w:val="24"/>
        </w:rPr>
      </w:pPr>
      <w:r w:rsidRPr="005956FD">
        <w:rPr>
          <w:sz w:val="24"/>
        </w:rPr>
        <w:t xml:space="preserve">Source of hourly wage rate: </w:t>
      </w:r>
      <w:hyperlink r:id="rId14" w:history="1">
        <w:r w:rsidRPr="005956FD">
          <w:rPr>
            <w:rStyle w:val="Hyperlink"/>
            <w:sz w:val="24"/>
          </w:rPr>
          <w:t>http://www.bls.gov/oes/current/oes_nat.htm</w:t>
        </w:r>
      </w:hyperlink>
      <w:r w:rsidRPr="005956FD">
        <w:rPr>
          <w:sz w:val="24"/>
        </w:rPr>
        <w:t xml:space="preserve"> </w:t>
      </w:r>
    </w:p>
    <w:p w:rsidR="0010416D" w:rsidRDefault="0010416D" w:rsidP="00CA3DA6">
      <w:pPr>
        <w:spacing w:before="120"/>
        <w:rPr>
          <w:sz w:val="24"/>
        </w:rPr>
      </w:pPr>
    </w:p>
    <w:p w:rsidR="009B3794" w:rsidRDefault="009B3794" w:rsidP="00CA3DA6">
      <w:pPr>
        <w:numPr>
          <w:ilvl w:val="0"/>
          <w:numId w:val="2"/>
        </w:numPr>
        <w:tabs>
          <w:tab w:val="clear" w:pos="1080"/>
          <w:tab w:val="num" w:pos="360"/>
        </w:tabs>
        <w:spacing w:before="240"/>
        <w:ind w:left="360"/>
        <w:rPr>
          <w:b/>
          <w:sz w:val="24"/>
        </w:rPr>
      </w:pPr>
      <w:r>
        <w:rPr>
          <w:b/>
          <w:sz w:val="24"/>
          <w:u w:val="single"/>
        </w:rPr>
        <w:t>Estimates of other Total Annual Cost Burden to Respondents or Recordkeepers/Capital Costs</w:t>
      </w:r>
    </w:p>
    <w:p w:rsidR="0010416D" w:rsidRPr="005956FD" w:rsidRDefault="0010416D" w:rsidP="003105CD">
      <w:pPr>
        <w:pStyle w:val="BodyTextIndent"/>
        <w:spacing w:before="120"/>
        <w:ind w:left="0" w:firstLine="360"/>
        <w:rPr>
          <w:rFonts w:ascii="Times New Roman" w:hAnsi="Times New Roman"/>
        </w:rPr>
      </w:pPr>
      <w:r w:rsidRPr="005956FD">
        <w:rPr>
          <w:rFonts w:ascii="Times New Roman" w:hAnsi="Times New Roman"/>
        </w:rPr>
        <w:t>Other than their time, there is no cost to respondents.</w:t>
      </w:r>
    </w:p>
    <w:p w:rsidR="009B3794" w:rsidRDefault="009B3794" w:rsidP="00CA3DA6">
      <w:pPr>
        <w:numPr>
          <w:ilvl w:val="0"/>
          <w:numId w:val="2"/>
        </w:numPr>
        <w:tabs>
          <w:tab w:val="clear" w:pos="1080"/>
          <w:tab w:val="num" w:pos="360"/>
        </w:tabs>
        <w:spacing w:before="240"/>
        <w:ind w:left="360"/>
        <w:rPr>
          <w:b/>
          <w:sz w:val="24"/>
        </w:rPr>
      </w:pPr>
      <w:r>
        <w:rPr>
          <w:b/>
          <w:sz w:val="24"/>
          <w:u w:val="single"/>
        </w:rPr>
        <w:t>Annualized Cost to Federal Government</w:t>
      </w:r>
    </w:p>
    <w:p w:rsidR="0010416D" w:rsidRPr="003105CD" w:rsidRDefault="0010416D" w:rsidP="003105CD">
      <w:pPr>
        <w:spacing w:before="240"/>
        <w:ind w:left="360"/>
        <w:rPr>
          <w:sz w:val="24"/>
        </w:rPr>
      </w:pPr>
      <w:r w:rsidRPr="003105CD">
        <w:rPr>
          <w:sz w:val="24"/>
        </w:rPr>
        <w:t>Annual data collection for this program is expected to be carried out at a cost to the Federal Government of $33,000.  Staff at FORHP monitor the contracts and provide guidance to grantee project staff at a cost of $3,</w:t>
      </w:r>
      <w:r w:rsidR="007838E0" w:rsidRPr="003105CD">
        <w:rPr>
          <w:sz w:val="24"/>
        </w:rPr>
        <w:t>759.84</w:t>
      </w:r>
      <w:r w:rsidRPr="003105CD">
        <w:rPr>
          <w:sz w:val="24"/>
        </w:rPr>
        <w:t xml:space="preserve"> per year (72 hours per year at $</w:t>
      </w:r>
      <w:r w:rsidR="007838E0" w:rsidRPr="003105CD">
        <w:rPr>
          <w:sz w:val="24"/>
        </w:rPr>
        <w:t>52.22 per hour at a GS-13, Step 7</w:t>
      </w:r>
      <w:r w:rsidRPr="003105CD">
        <w:rPr>
          <w:sz w:val="24"/>
        </w:rPr>
        <w:t xml:space="preserve"> salary level).  The total annualized cost to the government for this project is $36,</w:t>
      </w:r>
      <w:r w:rsidR="007838E0" w:rsidRPr="003105CD">
        <w:rPr>
          <w:sz w:val="24"/>
        </w:rPr>
        <w:t>759.84</w:t>
      </w:r>
      <w:r w:rsidRPr="003105CD">
        <w:rPr>
          <w:sz w:val="24"/>
        </w:rPr>
        <w:t>.</w:t>
      </w:r>
    </w:p>
    <w:p w:rsidR="009B3794" w:rsidRDefault="009B3794" w:rsidP="00CA3DA6">
      <w:pPr>
        <w:numPr>
          <w:ilvl w:val="0"/>
          <w:numId w:val="2"/>
        </w:numPr>
        <w:tabs>
          <w:tab w:val="clear" w:pos="1080"/>
          <w:tab w:val="num" w:pos="360"/>
        </w:tabs>
        <w:spacing w:before="240"/>
        <w:ind w:left="360"/>
        <w:rPr>
          <w:b/>
          <w:sz w:val="24"/>
        </w:rPr>
      </w:pPr>
      <w:r>
        <w:rPr>
          <w:b/>
          <w:sz w:val="24"/>
          <w:u w:val="single"/>
        </w:rPr>
        <w:t>Explanation for Program Changes or Adjustments</w:t>
      </w:r>
    </w:p>
    <w:p w:rsidR="00E962DB" w:rsidRDefault="00793FBD" w:rsidP="00CA3DA6">
      <w:pPr>
        <w:pStyle w:val="BodyTextIndent"/>
        <w:spacing w:before="120"/>
        <w:ind w:left="360"/>
        <w:rPr>
          <w:rFonts w:ascii="Times New Roman" w:hAnsi="Times New Roman"/>
        </w:rPr>
      </w:pPr>
      <w:r>
        <w:rPr>
          <w:rFonts w:ascii="Times New Roman" w:hAnsi="Times New Roman"/>
        </w:rPr>
        <w:t xml:space="preserve">This is a new data collection. </w:t>
      </w:r>
    </w:p>
    <w:p w:rsidR="009B3794" w:rsidRDefault="009B3794" w:rsidP="00CA3DA6">
      <w:pPr>
        <w:numPr>
          <w:ilvl w:val="0"/>
          <w:numId w:val="2"/>
        </w:numPr>
        <w:tabs>
          <w:tab w:val="clear" w:pos="1080"/>
          <w:tab w:val="num" w:pos="360"/>
        </w:tabs>
        <w:spacing w:before="240"/>
        <w:ind w:left="360"/>
        <w:rPr>
          <w:b/>
          <w:sz w:val="24"/>
        </w:rPr>
      </w:pPr>
      <w:r>
        <w:rPr>
          <w:b/>
          <w:sz w:val="24"/>
          <w:u w:val="single"/>
        </w:rPr>
        <w:t>Plans for Tabulation</w:t>
      </w:r>
      <w:r w:rsidR="002118B4">
        <w:rPr>
          <w:b/>
          <w:sz w:val="24"/>
          <w:u w:val="single"/>
        </w:rPr>
        <w:t xml:space="preserve">, </w:t>
      </w:r>
      <w:r>
        <w:rPr>
          <w:b/>
          <w:sz w:val="24"/>
          <w:u w:val="single"/>
        </w:rPr>
        <w:t>Publication</w:t>
      </w:r>
      <w:r w:rsidR="002118B4">
        <w:rPr>
          <w:b/>
          <w:sz w:val="24"/>
          <w:u w:val="single"/>
        </w:rPr>
        <w:t>,</w:t>
      </w:r>
      <w:r>
        <w:rPr>
          <w:b/>
          <w:sz w:val="24"/>
          <w:u w:val="single"/>
        </w:rPr>
        <w:t xml:space="preserve"> and Project Time Schedule</w:t>
      </w:r>
    </w:p>
    <w:p w:rsidR="00793FBD" w:rsidRPr="00793FBD" w:rsidRDefault="00793FBD" w:rsidP="00793FBD">
      <w:pPr>
        <w:spacing w:before="120"/>
        <w:ind w:left="360"/>
        <w:rPr>
          <w:sz w:val="24"/>
        </w:rPr>
      </w:pPr>
      <w:r w:rsidRPr="00793FBD">
        <w:rPr>
          <w:sz w:val="24"/>
        </w:rPr>
        <w:t xml:space="preserve">There are no plans to publish the data. </w:t>
      </w:r>
      <w:r w:rsidR="00175C94">
        <w:rPr>
          <w:sz w:val="24"/>
        </w:rPr>
        <w:t xml:space="preserve"> </w:t>
      </w:r>
      <w:r w:rsidRPr="00793FBD">
        <w:rPr>
          <w:sz w:val="24"/>
        </w:rPr>
        <w:t xml:space="preserve">The data may be used on an aggregate program level to document </w:t>
      </w:r>
      <w:r w:rsidR="002E7DA7">
        <w:rPr>
          <w:sz w:val="24"/>
        </w:rPr>
        <w:t xml:space="preserve">the </w:t>
      </w:r>
      <w:r w:rsidRPr="00793FBD">
        <w:rPr>
          <w:sz w:val="24"/>
        </w:rPr>
        <w:t xml:space="preserve">success of </w:t>
      </w:r>
      <w:r w:rsidR="002E7DA7">
        <w:rPr>
          <w:sz w:val="24"/>
        </w:rPr>
        <w:t xml:space="preserve">the </w:t>
      </w:r>
      <w:r w:rsidRPr="00793FBD">
        <w:rPr>
          <w:sz w:val="24"/>
        </w:rPr>
        <w:t xml:space="preserve">program.  This information might be used in the FORHP Annual Report produced internally for the agency.  </w:t>
      </w:r>
    </w:p>
    <w:p w:rsidR="009B3794" w:rsidRDefault="009B3794" w:rsidP="00CA3DA6">
      <w:pPr>
        <w:numPr>
          <w:ilvl w:val="0"/>
          <w:numId w:val="2"/>
        </w:numPr>
        <w:tabs>
          <w:tab w:val="clear" w:pos="1080"/>
          <w:tab w:val="num" w:pos="360"/>
        </w:tabs>
        <w:spacing w:before="240"/>
        <w:ind w:left="360"/>
        <w:rPr>
          <w:b/>
          <w:sz w:val="24"/>
        </w:rPr>
      </w:pPr>
      <w:r>
        <w:rPr>
          <w:b/>
          <w:sz w:val="24"/>
          <w:u w:val="single"/>
        </w:rPr>
        <w:t>Reason(s) Display of OMB Expiration Date is Inappropriate</w:t>
      </w:r>
    </w:p>
    <w:p w:rsidR="00793FBD" w:rsidRPr="005956FD" w:rsidRDefault="00793FBD" w:rsidP="00793FBD">
      <w:pPr>
        <w:pStyle w:val="BodyTextIndent"/>
        <w:spacing w:before="120"/>
        <w:ind w:left="0" w:firstLine="360"/>
        <w:rPr>
          <w:rFonts w:ascii="Times New Roman" w:hAnsi="Times New Roman"/>
          <w:b/>
        </w:rPr>
      </w:pPr>
      <w:r w:rsidRPr="005956FD">
        <w:rPr>
          <w:rFonts w:ascii="Times New Roman" w:hAnsi="Times New Roman"/>
        </w:rPr>
        <w:t>The expiration date will be displayed.</w:t>
      </w:r>
    </w:p>
    <w:p w:rsidR="009B3794" w:rsidRDefault="009B3794" w:rsidP="00CA3DA6">
      <w:pPr>
        <w:numPr>
          <w:ilvl w:val="0"/>
          <w:numId w:val="2"/>
        </w:numPr>
        <w:tabs>
          <w:tab w:val="clear" w:pos="1080"/>
          <w:tab w:val="num" w:pos="360"/>
        </w:tabs>
        <w:spacing w:before="240"/>
        <w:ind w:left="360"/>
        <w:rPr>
          <w:b/>
          <w:sz w:val="24"/>
        </w:rPr>
      </w:pPr>
      <w:r>
        <w:rPr>
          <w:b/>
          <w:sz w:val="24"/>
          <w:u w:val="single"/>
        </w:rPr>
        <w:t>Exceptions to Certification for Paperwork Reduction Act Submissions</w:t>
      </w:r>
    </w:p>
    <w:p w:rsidR="00793FBD" w:rsidRPr="005956FD" w:rsidRDefault="00793FBD" w:rsidP="00793FBD">
      <w:pPr>
        <w:pStyle w:val="BodyTextIndent"/>
        <w:spacing w:before="120"/>
        <w:ind w:left="0" w:firstLine="360"/>
        <w:rPr>
          <w:rFonts w:ascii="Times New Roman" w:hAnsi="Times New Roman"/>
        </w:rPr>
      </w:pPr>
      <w:r w:rsidRPr="005956FD">
        <w:rPr>
          <w:rFonts w:ascii="Times New Roman" w:hAnsi="Times New Roman"/>
        </w:rPr>
        <w:t>There are no exceptions to the certification.</w:t>
      </w:r>
    </w:p>
    <w:p w:rsidR="009B3794" w:rsidRDefault="009B3794" w:rsidP="00793FBD">
      <w:pPr>
        <w:pStyle w:val="BodyTextIndent"/>
        <w:spacing w:before="120"/>
        <w:ind w:left="360"/>
      </w:pPr>
    </w:p>
    <w:sectPr w:rsidR="009B3794" w:rsidSect="001D4856">
      <w:footerReference w:type="default" r:id="rId1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A31" w:rsidRDefault="00D40A31">
      <w:r>
        <w:separator/>
      </w:r>
    </w:p>
  </w:endnote>
  <w:endnote w:type="continuationSeparator" w:id="0">
    <w:p w:rsidR="00D40A31" w:rsidRDefault="00D4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8C67A7">
      <w:rPr>
        <w:noProof/>
        <w:sz w:val="24"/>
      </w:rPr>
      <w:t>5</w:t>
    </w:r>
    <w:r>
      <w:rPr>
        <w:sz w:val="24"/>
      </w:rPr>
      <w:fldChar w:fldCharType="end"/>
    </w:r>
  </w:p>
  <w:p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A31" w:rsidRDefault="00D40A31">
      <w:r>
        <w:separator/>
      </w:r>
    </w:p>
  </w:footnote>
  <w:footnote w:type="continuationSeparator" w:id="0">
    <w:p w:rsidR="00D40A31" w:rsidRDefault="00D40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2"/>
  </w:num>
  <w:num w:numId="3">
    <w:abstractNumId w:val="15"/>
  </w:num>
  <w:num w:numId="4">
    <w:abstractNumId w:val="40"/>
  </w:num>
  <w:num w:numId="5">
    <w:abstractNumId w:val="43"/>
  </w:num>
  <w:num w:numId="6">
    <w:abstractNumId w:val="10"/>
  </w:num>
  <w:num w:numId="7">
    <w:abstractNumId w:val="36"/>
  </w:num>
  <w:num w:numId="8">
    <w:abstractNumId w:val="18"/>
  </w:num>
  <w:num w:numId="9">
    <w:abstractNumId w:val="26"/>
  </w:num>
  <w:num w:numId="10">
    <w:abstractNumId w:val="20"/>
  </w:num>
  <w:num w:numId="11">
    <w:abstractNumId w:val="9"/>
  </w:num>
  <w:num w:numId="12">
    <w:abstractNumId w:val="25"/>
  </w:num>
  <w:num w:numId="13">
    <w:abstractNumId w:val="21"/>
  </w:num>
  <w:num w:numId="14">
    <w:abstractNumId w:val="23"/>
  </w:num>
  <w:num w:numId="15">
    <w:abstractNumId w:val="8"/>
  </w:num>
  <w:num w:numId="16">
    <w:abstractNumId w:val="0"/>
  </w:num>
  <w:num w:numId="17">
    <w:abstractNumId w:val="1"/>
  </w:num>
  <w:num w:numId="18">
    <w:abstractNumId w:val="16"/>
  </w:num>
  <w:num w:numId="19">
    <w:abstractNumId w:val="35"/>
  </w:num>
  <w:num w:numId="20">
    <w:abstractNumId w:val="32"/>
  </w:num>
  <w:num w:numId="21">
    <w:abstractNumId w:val="19"/>
  </w:num>
  <w:num w:numId="22">
    <w:abstractNumId w:val="39"/>
  </w:num>
  <w:num w:numId="23">
    <w:abstractNumId w:val="30"/>
  </w:num>
  <w:num w:numId="24">
    <w:abstractNumId w:val="31"/>
  </w:num>
  <w:num w:numId="25">
    <w:abstractNumId w:val="42"/>
  </w:num>
  <w:num w:numId="26">
    <w:abstractNumId w:val="38"/>
  </w:num>
  <w:num w:numId="27">
    <w:abstractNumId w:val="3"/>
  </w:num>
  <w:num w:numId="28">
    <w:abstractNumId w:val="17"/>
  </w:num>
  <w:num w:numId="29">
    <w:abstractNumId w:val="41"/>
  </w:num>
  <w:num w:numId="30">
    <w:abstractNumId w:val="37"/>
  </w:num>
  <w:num w:numId="31">
    <w:abstractNumId w:val="33"/>
  </w:num>
  <w:num w:numId="32">
    <w:abstractNumId w:val="11"/>
  </w:num>
  <w:num w:numId="33">
    <w:abstractNumId w:val="2"/>
  </w:num>
  <w:num w:numId="34">
    <w:abstractNumId w:val="27"/>
  </w:num>
  <w:num w:numId="35">
    <w:abstractNumId w:val="13"/>
  </w:num>
  <w:num w:numId="36">
    <w:abstractNumId w:val="12"/>
  </w:num>
  <w:num w:numId="37">
    <w:abstractNumId w:val="14"/>
  </w:num>
  <w:num w:numId="38">
    <w:abstractNumId w:val="4"/>
  </w:num>
  <w:num w:numId="39">
    <w:abstractNumId w:val="29"/>
  </w:num>
  <w:num w:numId="40">
    <w:abstractNumId w:val="7"/>
  </w:num>
  <w:num w:numId="41">
    <w:abstractNumId w:val="28"/>
  </w:num>
  <w:num w:numId="42">
    <w:abstractNumId w:val="24"/>
  </w:num>
  <w:num w:numId="43">
    <w:abstractNumId w:val="5"/>
  </w:num>
  <w:num w:numId="44">
    <w:abstractNumId w:val="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31F8C"/>
    <w:rsid w:val="00035702"/>
    <w:rsid w:val="00040826"/>
    <w:rsid w:val="000F4340"/>
    <w:rsid w:val="0010416D"/>
    <w:rsid w:val="001217A9"/>
    <w:rsid w:val="001325B2"/>
    <w:rsid w:val="00175C94"/>
    <w:rsid w:val="001825B5"/>
    <w:rsid w:val="001D4856"/>
    <w:rsid w:val="002118B4"/>
    <w:rsid w:val="002640E7"/>
    <w:rsid w:val="002E7DA7"/>
    <w:rsid w:val="003105CD"/>
    <w:rsid w:val="00322313"/>
    <w:rsid w:val="00323337"/>
    <w:rsid w:val="00391E16"/>
    <w:rsid w:val="003D23B1"/>
    <w:rsid w:val="003D5989"/>
    <w:rsid w:val="00472847"/>
    <w:rsid w:val="004746CA"/>
    <w:rsid w:val="00490720"/>
    <w:rsid w:val="004E2372"/>
    <w:rsid w:val="004E687D"/>
    <w:rsid w:val="00503BAB"/>
    <w:rsid w:val="00510F5B"/>
    <w:rsid w:val="005429FE"/>
    <w:rsid w:val="005E1765"/>
    <w:rsid w:val="005F3866"/>
    <w:rsid w:val="00624019"/>
    <w:rsid w:val="0062655C"/>
    <w:rsid w:val="00680D76"/>
    <w:rsid w:val="00684F9C"/>
    <w:rsid w:val="006F412F"/>
    <w:rsid w:val="00745FB7"/>
    <w:rsid w:val="0078071E"/>
    <w:rsid w:val="007838E0"/>
    <w:rsid w:val="00793FBD"/>
    <w:rsid w:val="007F047A"/>
    <w:rsid w:val="007F3E16"/>
    <w:rsid w:val="008845F9"/>
    <w:rsid w:val="008C18B6"/>
    <w:rsid w:val="008C67A7"/>
    <w:rsid w:val="008D2D67"/>
    <w:rsid w:val="0094499F"/>
    <w:rsid w:val="00952713"/>
    <w:rsid w:val="00993C39"/>
    <w:rsid w:val="009A0A04"/>
    <w:rsid w:val="009B14C6"/>
    <w:rsid w:val="009B3794"/>
    <w:rsid w:val="009B7E4D"/>
    <w:rsid w:val="009D0C52"/>
    <w:rsid w:val="00A92CAB"/>
    <w:rsid w:val="00AE7154"/>
    <w:rsid w:val="00B655C6"/>
    <w:rsid w:val="00B77FCF"/>
    <w:rsid w:val="00BA1A0C"/>
    <w:rsid w:val="00C74B86"/>
    <w:rsid w:val="00C87497"/>
    <w:rsid w:val="00C92691"/>
    <w:rsid w:val="00CA3DA6"/>
    <w:rsid w:val="00CD36E7"/>
    <w:rsid w:val="00CE5AA9"/>
    <w:rsid w:val="00D12A18"/>
    <w:rsid w:val="00D40A31"/>
    <w:rsid w:val="00D46313"/>
    <w:rsid w:val="00D74B86"/>
    <w:rsid w:val="00D92E1D"/>
    <w:rsid w:val="00DD2AF4"/>
    <w:rsid w:val="00DE3A45"/>
    <w:rsid w:val="00E203FA"/>
    <w:rsid w:val="00E34A1F"/>
    <w:rsid w:val="00E41945"/>
    <w:rsid w:val="00E72253"/>
    <w:rsid w:val="00E962DB"/>
    <w:rsid w:val="00ED18EA"/>
    <w:rsid w:val="00EE529C"/>
    <w:rsid w:val="00EE7A40"/>
    <w:rsid w:val="00EF4AF9"/>
    <w:rsid w:val="00F4221E"/>
    <w:rsid w:val="00F51BC4"/>
    <w:rsid w:val="00FF0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rsid w:val="00952713"/>
    <w:pPr>
      <w:spacing w:after="120"/>
    </w:pPr>
  </w:style>
  <w:style w:type="character" w:customStyle="1" w:styleId="BodyTextChar">
    <w:name w:val="Body Text Char"/>
    <w:basedOn w:val="DefaultParagraphFont"/>
    <w:link w:val="BodyText"/>
    <w:rsid w:val="00952713"/>
    <w:rPr>
      <w:szCs w:val="24"/>
    </w:rPr>
  </w:style>
  <w:style w:type="character" w:styleId="CommentReference">
    <w:name w:val="annotation reference"/>
    <w:basedOn w:val="DefaultParagraphFont"/>
    <w:rsid w:val="000F4340"/>
    <w:rPr>
      <w:sz w:val="16"/>
      <w:szCs w:val="16"/>
    </w:rPr>
  </w:style>
  <w:style w:type="paragraph" w:styleId="CommentText">
    <w:name w:val="annotation text"/>
    <w:basedOn w:val="Normal"/>
    <w:link w:val="CommentTextChar"/>
    <w:rsid w:val="000F4340"/>
    <w:rPr>
      <w:szCs w:val="20"/>
    </w:rPr>
  </w:style>
  <w:style w:type="character" w:customStyle="1" w:styleId="CommentTextChar">
    <w:name w:val="Comment Text Char"/>
    <w:basedOn w:val="DefaultParagraphFont"/>
    <w:link w:val="CommentText"/>
    <w:rsid w:val="000F4340"/>
  </w:style>
  <w:style w:type="paragraph" w:styleId="CommentSubject">
    <w:name w:val="annotation subject"/>
    <w:basedOn w:val="CommentText"/>
    <w:next w:val="CommentText"/>
    <w:link w:val="CommentSubjectChar"/>
    <w:rsid w:val="000F4340"/>
    <w:rPr>
      <w:b/>
      <w:bCs/>
    </w:rPr>
  </w:style>
  <w:style w:type="character" w:customStyle="1" w:styleId="CommentSubjectChar">
    <w:name w:val="Comment Subject Char"/>
    <w:basedOn w:val="CommentTextChar"/>
    <w:link w:val="CommentSubject"/>
    <w:rsid w:val="000F4340"/>
    <w:rPr>
      <w:b/>
      <w:bCs/>
    </w:rPr>
  </w:style>
  <w:style w:type="paragraph" w:styleId="NormalWeb">
    <w:name w:val="Normal (Web)"/>
    <w:basedOn w:val="Normal"/>
    <w:uiPriority w:val="99"/>
    <w:unhideWhenUsed/>
    <w:rsid w:val="000F4340"/>
    <w:pPr>
      <w:widowControl/>
      <w:autoSpaceDE/>
      <w:autoSpaceDN/>
      <w:adjustRightInd/>
    </w:pPr>
    <w:rPr>
      <w:rFonts w:eastAsiaTheme="min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rsid w:val="00952713"/>
    <w:pPr>
      <w:spacing w:after="120"/>
    </w:pPr>
  </w:style>
  <w:style w:type="character" w:customStyle="1" w:styleId="BodyTextChar">
    <w:name w:val="Body Text Char"/>
    <w:basedOn w:val="DefaultParagraphFont"/>
    <w:link w:val="BodyText"/>
    <w:rsid w:val="00952713"/>
    <w:rPr>
      <w:szCs w:val="24"/>
    </w:rPr>
  </w:style>
  <w:style w:type="character" w:styleId="CommentReference">
    <w:name w:val="annotation reference"/>
    <w:basedOn w:val="DefaultParagraphFont"/>
    <w:rsid w:val="000F4340"/>
    <w:rPr>
      <w:sz w:val="16"/>
      <w:szCs w:val="16"/>
    </w:rPr>
  </w:style>
  <w:style w:type="paragraph" w:styleId="CommentText">
    <w:name w:val="annotation text"/>
    <w:basedOn w:val="Normal"/>
    <w:link w:val="CommentTextChar"/>
    <w:rsid w:val="000F4340"/>
    <w:rPr>
      <w:szCs w:val="20"/>
    </w:rPr>
  </w:style>
  <w:style w:type="character" w:customStyle="1" w:styleId="CommentTextChar">
    <w:name w:val="Comment Text Char"/>
    <w:basedOn w:val="DefaultParagraphFont"/>
    <w:link w:val="CommentText"/>
    <w:rsid w:val="000F4340"/>
  </w:style>
  <w:style w:type="paragraph" w:styleId="CommentSubject">
    <w:name w:val="annotation subject"/>
    <w:basedOn w:val="CommentText"/>
    <w:next w:val="CommentText"/>
    <w:link w:val="CommentSubjectChar"/>
    <w:rsid w:val="000F4340"/>
    <w:rPr>
      <w:b/>
      <w:bCs/>
    </w:rPr>
  </w:style>
  <w:style w:type="character" w:customStyle="1" w:styleId="CommentSubjectChar">
    <w:name w:val="Comment Subject Char"/>
    <w:basedOn w:val="CommentTextChar"/>
    <w:link w:val="CommentSubject"/>
    <w:rsid w:val="000F4340"/>
    <w:rPr>
      <w:b/>
      <w:bCs/>
    </w:rPr>
  </w:style>
  <w:style w:type="paragraph" w:styleId="NormalWeb">
    <w:name w:val="Normal (Web)"/>
    <w:basedOn w:val="Normal"/>
    <w:uiPriority w:val="99"/>
    <w:unhideWhenUsed/>
    <w:rsid w:val="000F4340"/>
    <w:pPr>
      <w:widowControl/>
      <w:autoSpaceDE/>
      <w:autoSpaceDN/>
      <w:adjustRightInd/>
    </w:pPr>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50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heets@wellspan.org" TargetMode="External"/><Relationship Id="rId13" Type="http://schemas.openxmlformats.org/officeDocument/2006/relationships/hyperlink" Target="mailto:thanna@daviscountyhospital.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graftstrom@lifecarem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ndrum_L@hammon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prack@bellsouth.net" TargetMode="External"/><Relationship Id="rId4" Type="http://schemas.openxmlformats.org/officeDocument/2006/relationships/settings" Target="settings.xml"/><Relationship Id="rId9" Type="http://schemas.openxmlformats.org/officeDocument/2006/relationships/hyperlink" Target="mailto:bhjrb@uhhg.org" TargetMode="Externa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1286</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8814</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Windows User</cp:lastModifiedBy>
  <cp:revision>2</cp:revision>
  <cp:lastPrinted>2010-10-14T13:41:00Z</cp:lastPrinted>
  <dcterms:created xsi:type="dcterms:W3CDTF">2015-08-18T19:24:00Z</dcterms:created>
  <dcterms:modified xsi:type="dcterms:W3CDTF">2015-08-18T19:24:00Z</dcterms:modified>
</cp:coreProperties>
</file>