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422" w:rsidRPr="005611F6" w:rsidRDefault="003B6C9B" w:rsidP="005611F6">
      <w:pPr>
        <w:spacing w:after="0"/>
        <w:jc w:val="center"/>
        <w:rPr>
          <w:b/>
        </w:rPr>
      </w:pPr>
      <w:r w:rsidRPr="005611F6">
        <w:rPr>
          <w:b/>
        </w:rPr>
        <w:t>S</w:t>
      </w:r>
      <w:r w:rsidR="00E95422" w:rsidRPr="005611F6">
        <w:rPr>
          <w:b/>
        </w:rPr>
        <w:t>UPPORTING STATEMENT</w:t>
      </w:r>
    </w:p>
    <w:p w:rsidR="00234FDD" w:rsidRPr="005611F6" w:rsidRDefault="00B63FEF" w:rsidP="005611F6">
      <w:pPr>
        <w:spacing w:after="0"/>
        <w:jc w:val="center"/>
        <w:rPr>
          <w:b/>
        </w:rPr>
      </w:pPr>
      <w:r w:rsidRPr="005611F6">
        <w:rPr>
          <w:b/>
        </w:rPr>
        <w:t>U.S. Department of Commerce</w:t>
      </w:r>
    </w:p>
    <w:p w:rsidR="003B6C9B" w:rsidRPr="005611F6" w:rsidRDefault="003B6C9B" w:rsidP="005611F6">
      <w:pPr>
        <w:spacing w:after="0"/>
        <w:jc w:val="center"/>
        <w:rPr>
          <w:b/>
        </w:rPr>
      </w:pPr>
      <w:r w:rsidRPr="005611F6">
        <w:rPr>
          <w:b/>
        </w:rPr>
        <w:t>Econ</w:t>
      </w:r>
      <w:r w:rsidR="00B63FEF" w:rsidRPr="005611F6">
        <w:rPr>
          <w:b/>
        </w:rPr>
        <w:t>omic Development Administration</w:t>
      </w:r>
    </w:p>
    <w:p w:rsidR="00B70989" w:rsidRPr="005611F6" w:rsidRDefault="00B70989" w:rsidP="005611F6">
      <w:pPr>
        <w:spacing w:after="0"/>
        <w:jc w:val="center"/>
        <w:rPr>
          <w:b/>
        </w:rPr>
      </w:pPr>
      <w:r w:rsidRPr="00BF52D4">
        <w:rPr>
          <w:b/>
        </w:rPr>
        <w:t>APPLICATION</w:t>
      </w:r>
      <w:r w:rsidR="00BF52D4" w:rsidRPr="00BF52D4">
        <w:rPr>
          <w:b/>
        </w:rPr>
        <w:t xml:space="preserve"> FORMS</w:t>
      </w:r>
      <w:r w:rsidRPr="00BF52D4">
        <w:rPr>
          <w:b/>
        </w:rPr>
        <w:t xml:space="preserve"> </w:t>
      </w:r>
      <w:r w:rsidR="00E95422" w:rsidRPr="00BF52D4">
        <w:rPr>
          <w:b/>
        </w:rPr>
        <w:t xml:space="preserve">FOR </w:t>
      </w:r>
      <w:r w:rsidR="00BF52D4" w:rsidRPr="00BF52D4">
        <w:rPr>
          <w:b/>
        </w:rPr>
        <w:t xml:space="preserve">EDA </w:t>
      </w:r>
      <w:r w:rsidR="00E95422" w:rsidRPr="00BF52D4">
        <w:rPr>
          <w:b/>
        </w:rPr>
        <w:t>INVESTMENT ASSISTANCE</w:t>
      </w:r>
    </w:p>
    <w:p w:rsidR="00C81F26" w:rsidRPr="005611F6" w:rsidRDefault="00870116" w:rsidP="005611F6">
      <w:pPr>
        <w:spacing w:after="0"/>
        <w:jc w:val="center"/>
        <w:rPr>
          <w:b/>
        </w:rPr>
      </w:pPr>
      <w:proofErr w:type="gramStart"/>
      <w:r w:rsidRPr="005611F6">
        <w:rPr>
          <w:b/>
        </w:rPr>
        <w:t>OMB C</w:t>
      </w:r>
      <w:r w:rsidR="00B70989" w:rsidRPr="005611F6">
        <w:rPr>
          <w:b/>
        </w:rPr>
        <w:t>ONTROL</w:t>
      </w:r>
      <w:r w:rsidRPr="005611F6">
        <w:rPr>
          <w:b/>
        </w:rPr>
        <w:t xml:space="preserve"> N</w:t>
      </w:r>
      <w:r w:rsidR="00B70989" w:rsidRPr="005611F6">
        <w:rPr>
          <w:b/>
        </w:rPr>
        <w:t>O</w:t>
      </w:r>
      <w:r w:rsidRPr="005611F6">
        <w:rPr>
          <w:b/>
        </w:rPr>
        <w:t>.</w:t>
      </w:r>
      <w:proofErr w:type="gramEnd"/>
      <w:r w:rsidRPr="005611F6">
        <w:rPr>
          <w:b/>
        </w:rPr>
        <w:t xml:space="preserve"> 0610-0094</w:t>
      </w:r>
    </w:p>
    <w:p w:rsidR="003B7DE6" w:rsidRPr="005611F6" w:rsidRDefault="003B7DE6" w:rsidP="005611F6">
      <w:pPr>
        <w:pStyle w:val="Heading1"/>
      </w:pPr>
      <w:r w:rsidRPr="005611F6">
        <w:t>A.  JUSTIFICATION</w:t>
      </w:r>
    </w:p>
    <w:p w:rsidR="003A31C7" w:rsidRDefault="003A31C7" w:rsidP="005611F6">
      <w:r>
        <w:t xml:space="preserve">This request is </w:t>
      </w:r>
      <w:r w:rsidR="00137A26">
        <w:t>for</w:t>
      </w:r>
      <w:r>
        <w:t xml:space="preserve"> Office of Management and Budget approval </w:t>
      </w:r>
      <w:r w:rsidR="00137A26">
        <w:t>to revise</w:t>
      </w:r>
      <w:r>
        <w:t xml:space="preserve"> this information collection.</w:t>
      </w:r>
    </w:p>
    <w:p w:rsidR="003B7DE6" w:rsidRPr="005611F6" w:rsidRDefault="003B7DE6" w:rsidP="005611F6">
      <w:pPr>
        <w:pStyle w:val="Heading2"/>
      </w:pPr>
      <w:r w:rsidRPr="005611F6">
        <w:t>Explain the circumstances that make the collection of information necessary.</w:t>
      </w:r>
    </w:p>
    <w:p w:rsidR="005D5D93" w:rsidRPr="005611F6" w:rsidRDefault="005D5D93" w:rsidP="005611F6">
      <w:r w:rsidRPr="005611F6">
        <w:t>The mission of the Economic Development Administration (EDA) is to lead the federal economic development agenda by promoting innovation and competitiveness, preparing American regions for growth and success in the worldwide economy.  EDA provides investments that will help our partners across the nation (states, regions and communities) create wealth and minimize poverty by promoting a favorable business environment to attract private capital investment and higher skill, higher wage jobs through capacity building, infrastructure, research and technical assistance.</w:t>
      </w:r>
    </w:p>
    <w:p w:rsidR="00FB6A0C" w:rsidRDefault="00FB6A0C" w:rsidP="005611F6">
      <w:r>
        <w:t>EDA administers the following investment programs through its headquarters and six regional offices</w:t>
      </w:r>
      <w:r w:rsidR="00FC0582">
        <w:t>:</w:t>
      </w:r>
      <w:r>
        <w:t xml:space="preserve"> </w:t>
      </w:r>
    </w:p>
    <w:p w:rsidR="00FB6A0C" w:rsidRDefault="00FB6A0C" w:rsidP="005611F6">
      <w:pPr>
        <w:rPr>
          <w:lang w:val="en-CA"/>
        </w:rPr>
      </w:pPr>
      <w:r>
        <w:t xml:space="preserve">(1) </w:t>
      </w:r>
      <w:r w:rsidRPr="007A3CCF">
        <w:rPr>
          <w:bCs/>
        </w:rPr>
        <w:t>Public Works and Economic Developm</w:t>
      </w:r>
      <w:r>
        <w:rPr>
          <w:bCs/>
        </w:rPr>
        <w:t>ent - h</w:t>
      </w:r>
      <w:r w:rsidRPr="00F11033">
        <w:t>elp</w:t>
      </w:r>
      <w:r>
        <w:t>s</w:t>
      </w:r>
      <w:r w:rsidRPr="00F11033">
        <w:t xml:space="preserve"> support the construction or rehabilitation of essential public infrastructure and facilities necessary to generate or retain private sector jobs and investments, attract private sector capital, and promote regional competitiveness</w:t>
      </w:r>
      <w:r>
        <w:t>.</w:t>
      </w:r>
      <w:r w:rsidRPr="00F11033">
        <w:t xml:space="preserve"> </w:t>
      </w:r>
    </w:p>
    <w:p w:rsidR="00FB6A0C" w:rsidRDefault="00FB6A0C" w:rsidP="005611F6">
      <w:r>
        <w:rPr>
          <w:bCs/>
        </w:rPr>
        <w:t xml:space="preserve">(2) </w:t>
      </w:r>
      <w:r w:rsidRPr="00107A5A">
        <w:rPr>
          <w:bCs/>
        </w:rPr>
        <w:t>Economic Adjustment Assistance</w:t>
      </w:r>
      <w:r>
        <w:rPr>
          <w:bCs/>
        </w:rPr>
        <w:t xml:space="preserve"> - </w:t>
      </w:r>
      <w:r w:rsidRPr="00F11033">
        <w:t xml:space="preserve">provides a wide range of technical, planning and infrastructure assistance in regions experiencing adverse economic changes that may occur suddenly or over time. </w:t>
      </w:r>
    </w:p>
    <w:p w:rsidR="00FB6A0C" w:rsidRDefault="00FB6A0C" w:rsidP="005611F6">
      <w:r>
        <w:rPr>
          <w:bCs/>
        </w:rPr>
        <w:t xml:space="preserve">(3) </w:t>
      </w:r>
      <w:r w:rsidRPr="00107A5A">
        <w:rPr>
          <w:bCs/>
        </w:rPr>
        <w:t>Research and National Technical Assistance</w:t>
      </w:r>
      <w:r>
        <w:rPr>
          <w:bCs/>
        </w:rPr>
        <w:t xml:space="preserve"> - </w:t>
      </w:r>
      <w:r w:rsidRPr="00F11033">
        <w:t>supports research of leading, world class economic development practices, and funds information dissemination efforts.</w:t>
      </w:r>
    </w:p>
    <w:p w:rsidR="00FB6A0C" w:rsidRDefault="00FB6A0C" w:rsidP="005611F6">
      <w:r>
        <w:rPr>
          <w:bCs/>
        </w:rPr>
        <w:t xml:space="preserve">(4) </w:t>
      </w:r>
      <w:r w:rsidRPr="00107A5A">
        <w:rPr>
          <w:bCs/>
        </w:rPr>
        <w:t>Local Technical Assistance</w:t>
      </w:r>
      <w:r>
        <w:rPr>
          <w:bCs/>
        </w:rPr>
        <w:t xml:space="preserve"> - </w:t>
      </w:r>
      <w:r w:rsidRPr="00F11033">
        <w:t>helps fill the knowledge and information gaps that may prevent leaders in the public and nonprofit sectors in economically distressed regions from making optimal decisions on local economic development issues.</w:t>
      </w:r>
    </w:p>
    <w:p w:rsidR="00FB6A0C" w:rsidRDefault="00FB6A0C" w:rsidP="005611F6">
      <w:r>
        <w:rPr>
          <w:bCs/>
        </w:rPr>
        <w:t xml:space="preserve">(5) </w:t>
      </w:r>
      <w:r w:rsidRPr="00107A5A">
        <w:rPr>
          <w:bCs/>
        </w:rPr>
        <w:t xml:space="preserve">Planning </w:t>
      </w:r>
      <w:r>
        <w:rPr>
          <w:bCs/>
        </w:rPr>
        <w:t xml:space="preserve">- </w:t>
      </w:r>
      <w:r w:rsidRPr="00F11033">
        <w:t>helps support planning organizations, including District Organizations and Indian Tribes, in the development, implementation, revision or replacement of comprehensive economic development strategies (CEDS), and for related short-term planning investments and State plans designed to create and retain higher-skill, higher-wage jobs, particularly for the unemployed and underemployed in the nation’s most economically distressed regions.</w:t>
      </w:r>
    </w:p>
    <w:p w:rsidR="00FB6A0C" w:rsidRDefault="00FB6A0C" w:rsidP="005611F6">
      <w:r>
        <w:rPr>
          <w:bCs/>
        </w:rPr>
        <w:t xml:space="preserve">(6) </w:t>
      </w:r>
      <w:r w:rsidRPr="00107A5A">
        <w:rPr>
          <w:bCs/>
        </w:rPr>
        <w:t xml:space="preserve">University Center Economic Development </w:t>
      </w:r>
      <w:r>
        <w:rPr>
          <w:bCs/>
        </w:rPr>
        <w:t xml:space="preserve">- </w:t>
      </w:r>
      <w:r w:rsidRPr="00F11033">
        <w:t>a partnership between the Federal government and academia that helps to make the varied and vast resources of universities available to economic development communities.</w:t>
      </w:r>
    </w:p>
    <w:p w:rsidR="00137A26" w:rsidRDefault="00137A26" w:rsidP="005611F6">
      <w:r>
        <w:t xml:space="preserve">(7) Regional Innovation Strategies – a new program authorized under America COMPETES, </w:t>
      </w:r>
      <w:r w:rsidR="00D435E6">
        <w:t xml:space="preserve">which </w:t>
      </w:r>
      <w:r w:rsidR="00032FCF" w:rsidRPr="00032FCF">
        <w:t>advances robust regional innovation cluster strategies that create a blueprint for improving the conditions or “ecosystem” in which innovative companies and entrepreneurs can accelerate the development of new businesses, products or services.</w:t>
      </w:r>
    </w:p>
    <w:p w:rsidR="00FC0582" w:rsidRDefault="00FB6A0C" w:rsidP="005611F6">
      <w:r w:rsidRPr="00032FCF">
        <w:lastRenderedPageBreak/>
        <w:t xml:space="preserve">The information </w:t>
      </w:r>
      <w:r w:rsidR="00032FCF" w:rsidRPr="00032FCF">
        <w:t>collected through these forms</w:t>
      </w:r>
      <w:r w:rsidRPr="00032FCF">
        <w:t xml:space="preserve"> is necessary for EDA to evaluate whether proposed projects satisfy eligibility and programmatic requirements contained in EDA’s authorizing legislation, the Public Works and Economic Development Act of 1965, as amended (42 U.S.C. 3121 </w:t>
      </w:r>
      <w:r w:rsidRPr="00032FCF">
        <w:rPr>
          <w:i/>
        </w:rPr>
        <w:t>et seq.</w:t>
      </w:r>
      <w:r w:rsidRPr="00032FCF">
        <w:t xml:space="preserve">) (PWEDA), </w:t>
      </w:r>
      <w:r w:rsidR="00032FCF" w:rsidRPr="00032FCF">
        <w:t>the Trade Act of 1974, Sections 26 and 27 of the Stevenson-</w:t>
      </w:r>
      <w:proofErr w:type="spellStart"/>
      <w:r w:rsidR="00032FCF" w:rsidRPr="00032FCF">
        <w:t>Wydler</w:t>
      </w:r>
      <w:proofErr w:type="spellEnd"/>
      <w:r w:rsidR="00032FCF" w:rsidRPr="00032FCF">
        <w:t xml:space="preserve"> Act, EDA’s</w:t>
      </w:r>
      <w:r w:rsidRPr="00032FCF">
        <w:t xml:space="preserve"> accompanying regulations codified in 13 C.F.R. Chapter III, and the applicable Announcement of Federal Funding Opportunity (FFO).  </w:t>
      </w:r>
    </w:p>
    <w:p w:rsidR="003B7DE6" w:rsidRPr="005611F6" w:rsidRDefault="00D801C3" w:rsidP="00D801C3">
      <w:pPr>
        <w:pStyle w:val="Heading2"/>
      </w:pPr>
      <w:r w:rsidRPr="00D801C3">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rsidR="007B4488" w:rsidRDefault="00F00A88" w:rsidP="005611F6">
      <w:r w:rsidRPr="00234FDD">
        <w:t xml:space="preserve">The information </w:t>
      </w:r>
      <w:r w:rsidR="00600DAD" w:rsidRPr="00234FDD">
        <w:t>contain</w:t>
      </w:r>
      <w:r w:rsidR="00BD53AF" w:rsidRPr="00234FDD">
        <w:t>ed</w:t>
      </w:r>
      <w:r w:rsidR="00600DAD" w:rsidRPr="00234FDD">
        <w:t xml:space="preserve"> in </w:t>
      </w:r>
      <w:r w:rsidR="0059552B">
        <w:t xml:space="preserve">these forms </w:t>
      </w:r>
      <w:proofErr w:type="gramStart"/>
      <w:r w:rsidR="0059552B">
        <w:t>are</w:t>
      </w:r>
      <w:proofErr w:type="gramEnd"/>
      <w:r w:rsidRPr="00234FDD">
        <w:t xml:space="preserve"> </w:t>
      </w:r>
      <w:r w:rsidR="00600DAD" w:rsidRPr="00234FDD">
        <w:t xml:space="preserve">used by </w:t>
      </w:r>
      <w:r w:rsidR="00BD53AF" w:rsidRPr="00234FDD">
        <w:t xml:space="preserve">EDA </w:t>
      </w:r>
      <w:r w:rsidR="00600DAD" w:rsidRPr="00234FDD">
        <w:t xml:space="preserve">personnel </w:t>
      </w:r>
      <w:r w:rsidRPr="00234FDD">
        <w:t xml:space="preserve">to evaluate </w:t>
      </w:r>
      <w:r w:rsidR="00600DAD" w:rsidRPr="00234FDD">
        <w:t>and competitively select</w:t>
      </w:r>
      <w:r w:rsidR="00BD53AF" w:rsidRPr="00234FDD">
        <w:t xml:space="preserve"> </w:t>
      </w:r>
      <w:r w:rsidR="00DE254A" w:rsidRPr="00234FDD">
        <w:t>proposed projects for investment assistance</w:t>
      </w:r>
      <w:r w:rsidR="00F60642">
        <w:t xml:space="preserve"> for EDA</w:t>
      </w:r>
      <w:r w:rsidR="005E0D43">
        <w:t>’s programs</w:t>
      </w:r>
      <w:r w:rsidR="00F60642">
        <w:t>.</w:t>
      </w:r>
      <w:r w:rsidR="00DE254A" w:rsidRPr="00234FDD">
        <w:t xml:space="preserve">  </w:t>
      </w:r>
      <w:r w:rsidR="006C0A25" w:rsidRPr="00234FDD">
        <w:t xml:space="preserve">The information </w:t>
      </w:r>
      <w:r w:rsidR="00F60642">
        <w:t>also is</w:t>
      </w:r>
      <w:r w:rsidR="006C0A25" w:rsidRPr="00234FDD">
        <w:t xml:space="preserve"> used by EDA to make final determinations regarding investment funding and to finalize the terms and conditions of the investment award, including but not limited to the scope of work and non-federal share and other funding commitments for the project.</w:t>
      </w:r>
    </w:p>
    <w:p w:rsidR="00C96ECF" w:rsidRDefault="00C96ECF" w:rsidP="005611F6">
      <w:r>
        <w:t>The information collected will not be disseminated to the public.</w:t>
      </w:r>
    </w:p>
    <w:p w:rsidR="00BD53AF" w:rsidRPr="00234FDD" w:rsidRDefault="003B7DE6" w:rsidP="005611F6">
      <w:pPr>
        <w:pStyle w:val="Heading2"/>
      </w:pPr>
      <w:r w:rsidRPr="00234FDD">
        <w:t>Describe whether</w:t>
      </w:r>
      <w:r w:rsidR="00A00789" w:rsidRPr="00234FDD">
        <w:t>, and to what extent, the collection of information involves the use of automated, electronic, mechanical, or other technological collection techniques or other forms of information technology.</w:t>
      </w:r>
    </w:p>
    <w:p w:rsidR="005A685D" w:rsidRPr="00234FDD" w:rsidRDefault="00DE254A" w:rsidP="005611F6">
      <w:r w:rsidRPr="00234FDD">
        <w:t xml:space="preserve">EDA is fully compliant with the government-wide mandate to post all grant opportunities on </w:t>
      </w:r>
      <w:r w:rsidRPr="00E50BD4">
        <w:t>www.grants.gov</w:t>
      </w:r>
      <w:r w:rsidRPr="00234FDD">
        <w:t xml:space="preserve">.  All of EDA’s grant opportunities are posted on both the Find and the Apply sections of </w:t>
      </w:r>
      <w:r w:rsidRPr="00E50BD4">
        <w:t>www.grants.gov</w:t>
      </w:r>
      <w:r w:rsidR="00807844" w:rsidRPr="00234FDD">
        <w:t>.</w:t>
      </w:r>
      <w:r w:rsidRPr="00234FDD">
        <w:t xml:space="preserve"> </w:t>
      </w:r>
      <w:r w:rsidR="00807844" w:rsidRPr="00234FDD">
        <w:t xml:space="preserve"> </w:t>
      </w:r>
      <w:r w:rsidR="00137A26">
        <w:t>EDA is working with grants.gov staff to ensure the new forms are</w:t>
      </w:r>
      <w:r w:rsidR="00A14E2E" w:rsidRPr="00234FDD">
        <w:t xml:space="preserve"> </w:t>
      </w:r>
      <w:r w:rsidRPr="00234FDD">
        <w:t xml:space="preserve">posted on </w:t>
      </w:r>
      <w:r w:rsidR="00FB6A0C" w:rsidRPr="00E50BD4">
        <w:t>www.grants.gov</w:t>
      </w:r>
      <w:r w:rsidRPr="00234FDD">
        <w:t xml:space="preserve"> and </w:t>
      </w:r>
      <w:r w:rsidR="002820C7">
        <w:t>can be completed and submitted via the Internet.</w:t>
      </w:r>
      <w:r w:rsidR="00A305DD">
        <w:t xml:space="preserve">  </w:t>
      </w:r>
      <w:r w:rsidR="005A685D" w:rsidRPr="00234FDD">
        <w:t>EDA also accepts applications in hardcopy format.</w:t>
      </w:r>
    </w:p>
    <w:p w:rsidR="00A00789" w:rsidRPr="00234FDD" w:rsidRDefault="00A00789" w:rsidP="005611F6">
      <w:pPr>
        <w:pStyle w:val="Heading2"/>
      </w:pPr>
      <w:r w:rsidRPr="00234FDD">
        <w:t>Describe efforts to identify duplication.</w:t>
      </w:r>
    </w:p>
    <w:p w:rsidR="00A00789" w:rsidRPr="00234FDD" w:rsidRDefault="00495868" w:rsidP="005611F6">
      <w:r w:rsidRPr="00234FDD">
        <w:t xml:space="preserve">EDA is unaware of any duplication </w:t>
      </w:r>
      <w:r w:rsidR="006445AE" w:rsidRPr="00234FDD">
        <w:t>with respect to</w:t>
      </w:r>
      <w:r w:rsidRPr="00234FDD">
        <w:t xml:space="preserve"> this information collection.  EDA </w:t>
      </w:r>
      <w:r w:rsidR="00137A26">
        <w:t>conducted extensive review via internal working groups</w:t>
      </w:r>
      <w:r w:rsidRPr="00234FDD">
        <w:t xml:space="preserve"> to ensure that there is no duplication.  </w:t>
      </w:r>
    </w:p>
    <w:p w:rsidR="00A00789" w:rsidRPr="00234FDD" w:rsidRDefault="00A00789" w:rsidP="005611F6">
      <w:pPr>
        <w:pStyle w:val="Heading2"/>
      </w:pPr>
      <w:r w:rsidRPr="00234FDD">
        <w:t>If the collection of information involves small businesses or other small entities, describe the methods used to minimize burden.</w:t>
      </w:r>
    </w:p>
    <w:p w:rsidR="00C01252" w:rsidRDefault="005E0D43" w:rsidP="005611F6">
      <w:r>
        <w:t>Pursuant to EDA’s authorizing legislation and regulations, eligible applicants and eligible recipients of EDA investment assistance include “small entities” as defined by the Regulatory Flexibility Act (5 U.S.C 601(6)).  Accordingly, this information collection potentially involves small entities.  As part of this process, EDA has conducted a thorough review of its forms and other information collections to minimize respondent burden.  EDA collects only the minimum amount of information to effectively administer its programs and to monitor compliance with PWEDA, the Trade Act, Stevenson-</w:t>
      </w:r>
      <w:proofErr w:type="spellStart"/>
      <w:r>
        <w:t>Wydler</w:t>
      </w:r>
      <w:proofErr w:type="spellEnd"/>
      <w:r>
        <w:t>, and EDA’s regulations</w:t>
      </w:r>
      <w:r w:rsidR="00C01252">
        <w:t>.</w:t>
      </w:r>
    </w:p>
    <w:p w:rsidR="003C072C" w:rsidRDefault="003C072C">
      <w:pPr>
        <w:spacing w:after="0"/>
        <w:rPr>
          <w:b/>
          <w:u w:val="single"/>
        </w:rPr>
      </w:pPr>
      <w:r>
        <w:br w:type="page"/>
      </w:r>
    </w:p>
    <w:p w:rsidR="00A00789" w:rsidRPr="00234FDD" w:rsidRDefault="00A00789" w:rsidP="005611F6">
      <w:pPr>
        <w:pStyle w:val="Heading2"/>
      </w:pPr>
      <w:r w:rsidRPr="00234FDD">
        <w:lastRenderedPageBreak/>
        <w:t>Describe the consequences to the Federal program or policy activities if the collection is not conducted or is conducted less frequently.</w:t>
      </w:r>
      <w:r w:rsidR="003B7DE6" w:rsidRPr="00234FDD">
        <w:tab/>
      </w:r>
    </w:p>
    <w:p w:rsidR="00074760" w:rsidRPr="00234FDD" w:rsidRDefault="00074760" w:rsidP="005611F6">
      <w:r w:rsidRPr="00234FDD">
        <w:t>EDA would not be able to fulfill its statutory mandate if the informat</w:t>
      </w:r>
      <w:r w:rsidR="008D252F" w:rsidRPr="00234FDD">
        <w:t xml:space="preserve">ion collection is not conducted.  This information is only collected once, at the time of application. </w:t>
      </w:r>
    </w:p>
    <w:p w:rsidR="00A00789" w:rsidRPr="00234FDD" w:rsidRDefault="00A00789" w:rsidP="005611F6">
      <w:pPr>
        <w:pStyle w:val="Heading2"/>
      </w:pPr>
      <w:r w:rsidRPr="00234FDD">
        <w:t xml:space="preserve">Explain any special circumstances that require the collection to be conducted in a manner </w:t>
      </w:r>
      <w:r w:rsidR="00AE75E0" w:rsidRPr="00234FDD">
        <w:t>in</w:t>
      </w:r>
      <w:r w:rsidRPr="00234FDD">
        <w:t>consistent with OMB guidelines.</w:t>
      </w:r>
    </w:p>
    <w:p w:rsidR="00A00789" w:rsidRDefault="00BC5DA5" w:rsidP="005611F6">
      <w:r>
        <w:t>Not Applicable.</w:t>
      </w:r>
    </w:p>
    <w:p w:rsidR="003B7DE6" w:rsidRPr="00234FDD" w:rsidRDefault="00D96838" w:rsidP="005611F6">
      <w:pPr>
        <w:pStyle w:val="Heading2"/>
      </w:pPr>
      <w:r w:rsidRPr="00234FDD">
        <w:t>P</w:t>
      </w:r>
      <w:r w:rsidR="00A00789" w:rsidRPr="00234FDD">
        <w:t xml:space="preserve">rovide a copy of the </w:t>
      </w:r>
      <w:r w:rsidRPr="00234FDD">
        <w:t>PRA</w:t>
      </w:r>
      <w:r w:rsidR="00A00789" w:rsidRPr="00234FDD">
        <w:t xml:space="preserve"> Federal Register </w:t>
      </w:r>
      <w:r w:rsidR="00234FDD">
        <w:t>N</w:t>
      </w:r>
      <w:r w:rsidR="00A00789" w:rsidRPr="00234FDD">
        <w:t xml:space="preserve">otice that solicited public comments on the information collection </w:t>
      </w:r>
      <w:r w:rsidR="00556DEB" w:rsidRPr="00234FDD">
        <w:t>prior to</w:t>
      </w:r>
      <w:r w:rsidRPr="00234FDD">
        <w:t xml:space="preserve"> this</w:t>
      </w:r>
      <w:r w:rsidR="00556DEB" w:rsidRPr="00234FDD">
        <w:t xml:space="preserve"> submission</w:t>
      </w:r>
      <w:r w:rsidRPr="00234FDD">
        <w:t>.</w:t>
      </w:r>
      <w:r w:rsidR="00556DEB" w:rsidRPr="00234FDD">
        <w:t xml:space="preserve">  Summarize the public comments received in response to the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B7DE6" w:rsidRPr="00234FDD">
        <w:t xml:space="preserve"> </w:t>
      </w:r>
    </w:p>
    <w:p w:rsidR="00A305DD" w:rsidRPr="00234FDD" w:rsidRDefault="003E587F" w:rsidP="005611F6">
      <w:bookmarkStart w:id="0" w:name="OLE_LINK1"/>
      <w:bookmarkStart w:id="1" w:name="OLE_LINK2"/>
      <w:r w:rsidRPr="00AA1764">
        <w:t>The 60 day PRA Federal Register Notice is appended.  No comments were received for this notice.</w:t>
      </w:r>
    </w:p>
    <w:bookmarkEnd w:id="0"/>
    <w:bookmarkEnd w:id="1"/>
    <w:p w:rsidR="00556DEB" w:rsidRPr="00234FDD" w:rsidRDefault="00556DEB" w:rsidP="005611F6">
      <w:pPr>
        <w:pStyle w:val="Heading2"/>
      </w:pPr>
      <w:r w:rsidRPr="00234FDD">
        <w:t>Explain any decisions to provide payments or gifts to respondents, other than remuneration of contractors or grantees.</w:t>
      </w:r>
    </w:p>
    <w:p w:rsidR="00556DEB" w:rsidRDefault="00EB6163" w:rsidP="005611F6">
      <w:r w:rsidRPr="00234FDD">
        <w:t xml:space="preserve">No gifts or payments are </w:t>
      </w:r>
      <w:r w:rsidR="00904CC7">
        <w:t>provided</w:t>
      </w:r>
      <w:r w:rsidRPr="00234FDD">
        <w:t xml:space="preserve"> to any respondent</w:t>
      </w:r>
      <w:r w:rsidR="00752595">
        <w:t>.</w:t>
      </w:r>
    </w:p>
    <w:p w:rsidR="00556DEB" w:rsidRPr="00234FDD" w:rsidRDefault="00556DEB" w:rsidP="005611F6">
      <w:pPr>
        <w:pStyle w:val="Heading2"/>
      </w:pPr>
      <w:r w:rsidRPr="00234FDD">
        <w:t xml:space="preserve">Describe any assurance of confidentiality provided to respondents and the basis for assurance in statute, regulation, or agency policy. </w:t>
      </w:r>
    </w:p>
    <w:p w:rsidR="00BC5DA5" w:rsidRPr="00234FDD" w:rsidRDefault="00EB6163" w:rsidP="005611F6">
      <w:r w:rsidRPr="00234FDD">
        <w:t xml:space="preserve">There is no assurance of confidentiality provided to respondents of this information collection.  </w:t>
      </w:r>
      <w:r w:rsidR="00BC5DA5" w:rsidRPr="00234FDD">
        <w:t xml:space="preserve">  While information submitted by a respondent to EDA generally </w:t>
      </w:r>
      <w:r w:rsidR="00F60642">
        <w:t xml:space="preserve">is </w:t>
      </w:r>
      <w:r w:rsidR="00BC5DA5" w:rsidRPr="00234FDD">
        <w:t xml:space="preserve">subject to public disclosure, EDA does not publicly release confidential business information, including trade secrets and confidential commercial or financial information, to the extent that such information is exempt from public disclosure under the Freedom of Information Act (FOIA).  </w:t>
      </w:r>
      <w:r w:rsidR="00BC5DA5" w:rsidRPr="00234FDD">
        <w:rPr>
          <w:i/>
        </w:rPr>
        <w:t xml:space="preserve">See </w:t>
      </w:r>
      <w:r w:rsidR="00BC5DA5" w:rsidRPr="00234FDD">
        <w:t>5 U.S.C. 552(b</w:t>
      </w:r>
      <w:proofErr w:type="gramStart"/>
      <w:r w:rsidR="00BC5DA5" w:rsidRPr="00234FDD">
        <w:t>)(</w:t>
      </w:r>
      <w:proofErr w:type="gramEnd"/>
      <w:r w:rsidR="00BC5DA5" w:rsidRPr="00234FDD">
        <w:t>4).</w:t>
      </w:r>
    </w:p>
    <w:p w:rsidR="00556DEB" w:rsidRPr="00234FDD" w:rsidRDefault="00556DEB" w:rsidP="005611F6">
      <w:pPr>
        <w:pStyle w:val="Heading2"/>
      </w:pPr>
      <w:r w:rsidRPr="00234FDD">
        <w:t xml:space="preserve">Provide additional justification for any question of a sensitive nature, such as sexual behavior and attitudes, religious beliefs, and other matters that are commonly considered private. </w:t>
      </w:r>
    </w:p>
    <w:p w:rsidR="00C81F26" w:rsidRPr="00A43B27" w:rsidRDefault="00BC5DA5" w:rsidP="005611F6">
      <w:pPr>
        <w:rPr>
          <w:sz w:val="22"/>
          <w:szCs w:val="22"/>
        </w:rPr>
      </w:pPr>
      <w:r>
        <w:t>T</w:t>
      </w:r>
      <w:r w:rsidR="00180E14" w:rsidRPr="00234FDD">
        <w:t>h</w:t>
      </w:r>
      <w:r>
        <w:t>i</w:t>
      </w:r>
      <w:r w:rsidR="00180E14" w:rsidRPr="00234FDD">
        <w:t>s</w:t>
      </w:r>
      <w:r>
        <w:t xml:space="preserve"> collection</w:t>
      </w:r>
      <w:r w:rsidR="00180E14" w:rsidRPr="00234FDD">
        <w:t xml:space="preserve"> of information </w:t>
      </w:r>
      <w:r>
        <w:t>does not</w:t>
      </w:r>
      <w:r w:rsidR="00180E14" w:rsidRPr="00234FDD">
        <w:t xml:space="preserve"> </w:t>
      </w:r>
      <w:r>
        <w:t xml:space="preserve">request </w:t>
      </w:r>
      <w:r w:rsidR="003B6C9B" w:rsidRPr="00234FDD">
        <w:t>information of a</w:t>
      </w:r>
      <w:r w:rsidR="003B6C9B" w:rsidRPr="00A43B27">
        <w:rPr>
          <w:sz w:val="22"/>
          <w:szCs w:val="22"/>
        </w:rPr>
        <w:t xml:space="preserve"> sensitive nature.</w:t>
      </w:r>
    </w:p>
    <w:p w:rsidR="003C072C" w:rsidRDefault="003C072C">
      <w:pPr>
        <w:spacing w:after="0"/>
        <w:rPr>
          <w:b/>
          <w:u w:val="single"/>
        </w:rPr>
      </w:pPr>
      <w:r>
        <w:br w:type="page"/>
      </w:r>
    </w:p>
    <w:p w:rsidR="00556DEB" w:rsidRPr="00234FDD" w:rsidRDefault="00556DEB" w:rsidP="005611F6">
      <w:pPr>
        <w:pStyle w:val="Heading2"/>
      </w:pPr>
      <w:r w:rsidRPr="00234FDD">
        <w:lastRenderedPageBreak/>
        <w:t xml:space="preserve">Provide an estimate </w:t>
      </w:r>
      <w:r w:rsidR="00E95422" w:rsidRPr="00234FDD">
        <w:t xml:space="preserve">in </w:t>
      </w:r>
      <w:r w:rsidRPr="00234FDD">
        <w:t>hour</w:t>
      </w:r>
      <w:r w:rsidR="00E95422" w:rsidRPr="00234FDD">
        <w:t xml:space="preserve">s of the </w:t>
      </w:r>
      <w:r w:rsidRPr="00234FDD">
        <w:t>burden of the collection of information.</w:t>
      </w:r>
    </w:p>
    <w:p w:rsidR="00E916EC" w:rsidRPr="00E916EC" w:rsidRDefault="00E916EC" w:rsidP="005611F6">
      <w:r w:rsidRPr="00E916EC">
        <w:t>The estimate was calculated using the following methodology:</w:t>
      </w:r>
    </w:p>
    <w:p w:rsidR="00E916EC" w:rsidRPr="00E916EC" w:rsidRDefault="00E916EC" w:rsidP="005611F6">
      <w:r w:rsidRPr="00E916EC">
        <w:t xml:space="preserve">First, staff from EDA Headquarters and six Regional Offices provided estimates of the amount of time it would take to fill out each form and relevant sub-sections.  The </w:t>
      </w:r>
      <w:r>
        <w:t xml:space="preserve">average </w:t>
      </w:r>
      <w:r w:rsidRPr="00E916EC">
        <w:t>estimates were as follows:</w:t>
      </w:r>
    </w:p>
    <w:tbl>
      <w:tblPr>
        <w:tblStyle w:val="MediumShading1-Accent2"/>
        <w:tblW w:w="8910" w:type="dxa"/>
        <w:tblLook w:val="0420" w:firstRow="1" w:lastRow="0" w:firstColumn="0" w:lastColumn="0" w:noHBand="0" w:noVBand="1"/>
      </w:tblPr>
      <w:tblGrid>
        <w:gridCol w:w="6228"/>
        <w:gridCol w:w="2682"/>
      </w:tblGrid>
      <w:tr w:rsidR="00326CD0" w:rsidRPr="00326CD0" w:rsidTr="003C072C">
        <w:trPr>
          <w:cnfStyle w:val="100000000000" w:firstRow="1" w:lastRow="0" w:firstColumn="0" w:lastColumn="0" w:oddVBand="0" w:evenVBand="0" w:oddHBand="0" w:evenHBand="0" w:firstRowFirstColumn="0" w:firstRowLastColumn="0" w:lastRowFirstColumn="0" w:lastRowLastColumn="0"/>
          <w:trHeight w:val="255"/>
        </w:trPr>
        <w:tc>
          <w:tcPr>
            <w:tcW w:w="6228" w:type="dxa"/>
            <w:noWrap/>
            <w:hideMark/>
          </w:tcPr>
          <w:p w:rsidR="00326CD0" w:rsidRPr="00326CD0" w:rsidRDefault="00326CD0" w:rsidP="001C19B3">
            <w:pPr>
              <w:spacing w:after="0"/>
              <w:rPr>
                <w:b w:val="0"/>
                <w:color w:val="auto"/>
              </w:rPr>
            </w:pPr>
            <w:r w:rsidRPr="00326CD0">
              <w:rPr>
                <w:color w:val="auto"/>
              </w:rPr>
              <w:t>Form/Component</w:t>
            </w:r>
          </w:p>
        </w:tc>
        <w:tc>
          <w:tcPr>
            <w:tcW w:w="2682" w:type="dxa"/>
            <w:noWrap/>
            <w:hideMark/>
          </w:tcPr>
          <w:p w:rsidR="00326CD0" w:rsidRPr="00326CD0" w:rsidRDefault="00326CD0" w:rsidP="001C19B3">
            <w:pPr>
              <w:spacing w:after="0"/>
              <w:jc w:val="right"/>
              <w:rPr>
                <w:b w:val="0"/>
                <w:color w:val="auto"/>
              </w:rPr>
            </w:pPr>
            <w:r w:rsidRPr="00326CD0">
              <w:rPr>
                <w:color w:val="auto"/>
              </w:rPr>
              <w:t>Average Time Estimate (</w:t>
            </w:r>
            <w:proofErr w:type="spellStart"/>
            <w:r w:rsidRPr="00326CD0">
              <w:rPr>
                <w:color w:val="auto"/>
              </w:rPr>
              <w:t>hrs</w:t>
            </w:r>
            <w:proofErr w:type="spellEnd"/>
            <w:r w:rsidRPr="00326CD0">
              <w:rPr>
                <w:color w:val="auto"/>
              </w:rPr>
              <w:t>)</w:t>
            </w:r>
          </w:p>
        </w:tc>
      </w:tr>
      <w:tr w:rsidR="00326CD0" w:rsidRPr="00326CD0" w:rsidTr="003C072C">
        <w:trPr>
          <w:cnfStyle w:val="000000100000" w:firstRow="0" w:lastRow="0" w:firstColumn="0" w:lastColumn="0" w:oddVBand="0" w:evenVBand="0" w:oddHBand="1" w:evenHBand="0" w:firstRowFirstColumn="0" w:firstRowLastColumn="0" w:lastRowFirstColumn="0" w:lastRowLastColumn="0"/>
          <w:trHeight w:val="300"/>
        </w:trPr>
        <w:tc>
          <w:tcPr>
            <w:tcW w:w="6228" w:type="dxa"/>
            <w:noWrap/>
            <w:hideMark/>
          </w:tcPr>
          <w:p w:rsidR="003C072C" w:rsidRDefault="00326CD0" w:rsidP="00326CD0">
            <w:pPr>
              <w:spacing w:after="0"/>
              <w:rPr>
                <w:color w:val="auto"/>
              </w:rPr>
            </w:pPr>
            <w:r w:rsidRPr="00326CD0">
              <w:rPr>
                <w:color w:val="auto"/>
              </w:rPr>
              <w:t xml:space="preserve">ED-900 - General Application for EDA Programs, </w:t>
            </w:r>
          </w:p>
          <w:p w:rsidR="00326CD0" w:rsidRPr="00326CD0" w:rsidRDefault="00326CD0" w:rsidP="00326CD0">
            <w:pPr>
              <w:spacing w:after="0"/>
              <w:rPr>
                <w:color w:val="auto"/>
              </w:rPr>
            </w:pPr>
            <w:r w:rsidRPr="00326CD0">
              <w:rPr>
                <w:color w:val="auto"/>
              </w:rPr>
              <w:t>Section A: General Information</w:t>
            </w:r>
          </w:p>
        </w:tc>
        <w:tc>
          <w:tcPr>
            <w:tcW w:w="2682" w:type="dxa"/>
            <w:noWrap/>
            <w:hideMark/>
          </w:tcPr>
          <w:p w:rsidR="00326CD0" w:rsidRPr="00326CD0" w:rsidRDefault="00326CD0" w:rsidP="00326CD0">
            <w:pPr>
              <w:spacing w:after="0"/>
              <w:jc w:val="right"/>
              <w:rPr>
                <w:color w:val="auto"/>
              </w:rPr>
            </w:pPr>
            <w:r w:rsidRPr="00326CD0">
              <w:rPr>
                <w:color w:val="auto"/>
              </w:rPr>
              <w:t>7.9</w:t>
            </w:r>
          </w:p>
        </w:tc>
      </w:tr>
      <w:tr w:rsidR="00326CD0" w:rsidRPr="00326CD0" w:rsidTr="003C072C">
        <w:trPr>
          <w:cnfStyle w:val="000000010000" w:firstRow="0" w:lastRow="0" w:firstColumn="0" w:lastColumn="0" w:oddVBand="0" w:evenVBand="0" w:oddHBand="0" w:evenHBand="1" w:firstRowFirstColumn="0" w:firstRowLastColumn="0" w:lastRowFirstColumn="0" w:lastRowLastColumn="0"/>
          <w:trHeight w:val="255"/>
        </w:trPr>
        <w:tc>
          <w:tcPr>
            <w:tcW w:w="6228" w:type="dxa"/>
            <w:noWrap/>
            <w:hideMark/>
          </w:tcPr>
          <w:p w:rsidR="003C072C" w:rsidRDefault="00326CD0" w:rsidP="00326CD0">
            <w:pPr>
              <w:spacing w:after="0"/>
              <w:rPr>
                <w:color w:val="auto"/>
              </w:rPr>
            </w:pPr>
            <w:r w:rsidRPr="00326CD0">
              <w:rPr>
                <w:color w:val="auto"/>
              </w:rPr>
              <w:t xml:space="preserve">ED-900 - General Application for EDA Programs, </w:t>
            </w:r>
          </w:p>
          <w:p w:rsidR="00326CD0" w:rsidRPr="00326CD0" w:rsidRDefault="00326CD0" w:rsidP="00326CD0">
            <w:pPr>
              <w:spacing w:after="0"/>
              <w:rPr>
                <w:color w:val="auto"/>
              </w:rPr>
            </w:pPr>
            <w:r w:rsidRPr="00326CD0">
              <w:rPr>
                <w:color w:val="auto"/>
              </w:rPr>
              <w:t>Section B: Regional</w:t>
            </w:r>
            <w:r>
              <w:rPr>
                <w:color w:val="auto"/>
              </w:rPr>
              <w:t xml:space="preserve"> </w:t>
            </w:r>
            <w:r w:rsidRPr="00326CD0">
              <w:rPr>
                <w:color w:val="auto"/>
              </w:rPr>
              <w:t>Eligibility</w:t>
            </w:r>
          </w:p>
        </w:tc>
        <w:tc>
          <w:tcPr>
            <w:tcW w:w="2682" w:type="dxa"/>
            <w:noWrap/>
            <w:hideMark/>
          </w:tcPr>
          <w:p w:rsidR="00326CD0" w:rsidRPr="00326CD0" w:rsidRDefault="00326CD0" w:rsidP="00326CD0">
            <w:pPr>
              <w:spacing w:after="0"/>
              <w:jc w:val="right"/>
              <w:rPr>
                <w:color w:val="auto"/>
              </w:rPr>
            </w:pPr>
            <w:r w:rsidRPr="00326CD0">
              <w:rPr>
                <w:color w:val="auto"/>
              </w:rPr>
              <w:t>2.0</w:t>
            </w:r>
          </w:p>
        </w:tc>
      </w:tr>
      <w:tr w:rsidR="00326CD0" w:rsidRPr="00326CD0" w:rsidTr="003C072C">
        <w:trPr>
          <w:cnfStyle w:val="000000100000" w:firstRow="0" w:lastRow="0" w:firstColumn="0" w:lastColumn="0" w:oddVBand="0" w:evenVBand="0" w:oddHBand="1" w:evenHBand="0" w:firstRowFirstColumn="0" w:firstRowLastColumn="0" w:lastRowFirstColumn="0" w:lastRowLastColumn="0"/>
          <w:trHeight w:val="255"/>
        </w:trPr>
        <w:tc>
          <w:tcPr>
            <w:tcW w:w="6228" w:type="dxa"/>
            <w:noWrap/>
            <w:hideMark/>
          </w:tcPr>
          <w:p w:rsidR="003C072C" w:rsidRDefault="00326CD0" w:rsidP="00326CD0">
            <w:pPr>
              <w:spacing w:after="0"/>
              <w:rPr>
                <w:color w:val="auto"/>
              </w:rPr>
            </w:pPr>
            <w:r w:rsidRPr="00326CD0">
              <w:rPr>
                <w:color w:val="auto"/>
              </w:rPr>
              <w:t xml:space="preserve">ED-900 - General Application for EDA Programs, </w:t>
            </w:r>
          </w:p>
          <w:p w:rsidR="00326CD0" w:rsidRPr="00326CD0" w:rsidRDefault="00326CD0" w:rsidP="00326CD0">
            <w:pPr>
              <w:spacing w:after="0"/>
              <w:rPr>
                <w:color w:val="auto"/>
              </w:rPr>
            </w:pPr>
            <w:r w:rsidRPr="00326CD0">
              <w:rPr>
                <w:color w:val="auto"/>
              </w:rPr>
              <w:t>Section C:</w:t>
            </w:r>
            <w:r>
              <w:rPr>
                <w:color w:val="auto"/>
              </w:rPr>
              <w:t xml:space="preserve"> </w:t>
            </w:r>
            <w:r w:rsidRPr="00326CD0">
              <w:rPr>
                <w:color w:val="auto"/>
              </w:rPr>
              <w:t>Budget and Staffing</w:t>
            </w:r>
          </w:p>
        </w:tc>
        <w:tc>
          <w:tcPr>
            <w:tcW w:w="2682" w:type="dxa"/>
            <w:noWrap/>
            <w:hideMark/>
          </w:tcPr>
          <w:p w:rsidR="00326CD0" w:rsidRPr="00326CD0" w:rsidRDefault="00326CD0" w:rsidP="00326CD0">
            <w:pPr>
              <w:spacing w:after="0"/>
              <w:jc w:val="right"/>
              <w:rPr>
                <w:color w:val="auto"/>
              </w:rPr>
            </w:pPr>
            <w:r w:rsidRPr="00326CD0">
              <w:rPr>
                <w:color w:val="auto"/>
              </w:rPr>
              <w:t>3.8</w:t>
            </w:r>
          </w:p>
        </w:tc>
      </w:tr>
      <w:tr w:rsidR="00326CD0" w:rsidRPr="00326CD0" w:rsidTr="003C072C">
        <w:trPr>
          <w:cnfStyle w:val="000000010000" w:firstRow="0" w:lastRow="0" w:firstColumn="0" w:lastColumn="0" w:oddVBand="0" w:evenVBand="0" w:oddHBand="0" w:evenHBand="1" w:firstRowFirstColumn="0" w:firstRowLastColumn="0" w:lastRowFirstColumn="0" w:lastRowLastColumn="0"/>
          <w:trHeight w:val="255"/>
        </w:trPr>
        <w:tc>
          <w:tcPr>
            <w:tcW w:w="6228" w:type="dxa"/>
            <w:noWrap/>
            <w:hideMark/>
          </w:tcPr>
          <w:p w:rsidR="003C072C" w:rsidRDefault="00326CD0" w:rsidP="00326CD0">
            <w:pPr>
              <w:spacing w:after="0"/>
              <w:rPr>
                <w:color w:val="auto"/>
              </w:rPr>
            </w:pPr>
            <w:r w:rsidRPr="00326CD0">
              <w:rPr>
                <w:color w:val="auto"/>
              </w:rPr>
              <w:t xml:space="preserve">ED-900 - General Application for EDA Programs, </w:t>
            </w:r>
          </w:p>
          <w:p w:rsidR="00326CD0" w:rsidRPr="00326CD0" w:rsidRDefault="00326CD0" w:rsidP="00326CD0">
            <w:pPr>
              <w:spacing w:after="0"/>
              <w:rPr>
                <w:color w:val="auto"/>
              </w:rPr>
            </w:pPr>
            <w:r w:rsidRPr="00326CD0">
              <w:rPr>
                <w:color w:val="auto"/>
              </w:rPr>
              <w:t>Section D:</w:t>
            </w:r>
            <w:r>
              <w:rPr>
                <w:color w:val="auto"/>
              </w:rPr>
              <w:t xml:space="preserve"> </w:t>
            </w:r>
            <w:r w:rsidRPr="00326CD0">
              <w:rPr>
                <w:color w:val="auto"/>
              </w:rPr>
              <w:t>Administrative Requirements</w:t>
            </w:r>
          </w:p>
        </w:tc>
        <w:tc>
          <w:tcPr>
            <w:tcW w:w="2682" w:type="dxa"/>
            <w:noWrap/>
            <w:hideMark/>
          </w:tcPr>
          <w:p w:rsidR="00326CD0" w:rsidRPr="00326CD0" w:rsidRDefault="00326CD0" w:rsidP="00326CD0">
            <w:pPr>
              <w:spacing w:after="0"/>
              <w:jc w:val="right"/>
              <w:rPr>
                <w:color w:val="auto"/>
              </w:rPr>
            </w:pPr>
            <w:r w:rsidRPr="00326CD0">
              <w:rPr>
                <w:color w:val="auto"/>
              </w:rPr>
              <w:t>2.4</w:t>
            </w:r>
          </w:p>
        </w:tc>
      </w:tr>
      <w:tr w:rsidR="00326CD0" w:rsidRPr="00326CD0" w:rsidTr="003C072C">
        <w:trPr>
          <w:cnfStyle w:val="000000100000" w:firstRow="0" w:lastRow="0" w:firstColumn="0" w:lastColumn="0" w:oddVBand="0" w:evenVBand="0" w:oddHBand="1" w:evenHBand="0" w:firstRowFirstColumn="0" w:firstRowLastColumn="0" w:lastRowFirstColumn="0" w:lastRowLastColumn="0"/>
          <w:trHeight w:val="255"/>
        </w:trPr>
        <w:tc>
          <w:tcPr>
            <w:tcW w:w="6228" w:type="dxa"/>
            <w:noWrap/>
            <w:hideMark/>
          </w:tcPr>
          <w:p w:rsidR="003C072C" w:rsidRDefault="00326CD0" w:rsidP="00326CD0">
            <w:pPr>
              <w:spacing w:after="0"/>
              <w:rPr>
                <w:color w:val="auto"/>
              </w:rPr>
            </w:pPr>
            <w:r w:rsidRPr="00326CD0">
              <w:rPr>
                <w:color w:val="auto"/>
              </w:rPr>
              <w:t xml:space="preserve">ED-900 - General Application for EDA Programs, </w:t>
            </w:r>
          </w:p>
          <w:p w:rsidR="00326CD0" w:rsidRPr="00326CD0" w:rsidRDefault="00326CD0" w:rsidP="00326CD0">
            <w:pPr>
              <w:spacing w:after="0"/>
              <w:rPr>
                <w:color w:val="auto"/>
              </w:rPr>
            </w:pPr>
            <w:r w:rsidRPr="00326CD0">
              <w:rPr>
                <w:color w:val="auto"/>
              </w:rPr>
              <w:t>Section E: Requirements for Non-Governmental Applicants</w:t>
            </w:r>
          </w:p>
        </w:tc>
        <w:tc>
          <w:tcPr>
            <w:tcW w:w="2682" w:type="dxa"/>
            <w:noWrap/>
            <w:hideMark/>
          </w:tcPr>
          <w:p w:rsidR="00326CD0" w:rsidRPr="00326CD0" w:rsidRDefault="00326CD0" w:rsidP="00326CD0">
            <w:pPr>
              <w:spacing w:after="0"/>
              <w:jc w:val="right"/>
              <w:rPr>
                <w:color w:val="auto"/>
              </w:rPr>
            </w:pPr>
            <w:r w:rsidRPr="00326CD0">
              <w:rPr>
                <w:color w:val="auto"/>
              </w:rPr>
              <w:t>2.4</w:t>
            </w:r>
          </w:p>
        </w:tc>
      </w:tr>
      <w:tr w:rsidR="00326CD0" w:rsidRPr="00326CD0" w:rsidTr="003C072C">
        <w:trPr>
          <w:cnfStyle w:val="000000010000" w:firstRow="0" w:lastRow="0" w:firstColumn="0" w:lastColumn="0" w:oddVBand="0" w:evenVBand="0" w:oddHBand="0" w:evenHBand="1" w:firstRowFirstColumn="0" w:firstRowLastColumn="0" w:lastRowFirstColumn="0" w:lastRowLastColumn="0"/>
          <w:trHeight w:val="255"/>
        </w:trPr>
        <w:tc>
          <w:tcPr>
            <w:tcW w:w="6228" w:type="dxa"/>
            <w:noWrap/>
            <w:hideMark/>
          </w:tcPr>
          <w:p w:rsidR="00326CD0" w:rsidRPr="00326CD0" w:rsidRDefault="00326CD0" w:rsidP="00326CD0">
            <w:pPr>
              <w:spacing w:after="0"/>
              <w:rPr>
                <w:color w:val="auto"/>
              </w:rPr>
            </w:pPr>
            <w:r w:rsidRPr="00326CD0">
              <w:rPr>
                <w:color w:val="auto"/>
              </w:rPr>
              <w:t>ED-900A - Additional EDA Assurances</w:t>
            </w:r>
          </w:p>
        </w:tc>
        <w:tc>
          <w:tcPr>
            <w:tcW w:w="2682" w:type="dxa"/>
            <w:noWrap/>
            <w:hideMark/>
          </w:tcPr>
          <w:p w:rsidR="00326CD0" w:rsidRPr="00326CD0" w:rsidRDefault="00326CD0" w:rsidP="00326CD0">
            <w:pPr>
              <w:spacing w:after="0"/>
              <w:jc w:val="right"/>
              <w:rPr>
                <w:color w:val="auto"/>
              </w:rPr>
            </w:pPr>
            <w:r w:rsidRPr="00326CD0">
              <w:rPr>
                <w:color w:val="auto"/>
              </w:rPr>
              <w:t>1.0</w:t>
            </w:r>
          </w:p>
        </w:tc>
      </w:tr>
      <w:tr w:rsidR="00326CD0" w:rsidRPr="00326CD0" w:rsidTr="003C072C">
        <w:trPr>
          <w:cnfStyle w:val="000000100000" w:firstRow="0" w:lastRow="0" w:firstColumn="0" w:lastColumn="0" w:oddVBand="0" w:evenVBand="0" w:oddHBand="1" w:evenHBand="0" w:firstRowFirstColumn="0" w:firstRowLastColumn="0" w:lastRowFirstColumn="0" w:lastRowLastColumn="0"/>
          <w:trHeight w:val="300"/>
        </w:trPr>
        <w:tc>
          <w:tcPr>
            <w:tcW w:w="6228" w:type="dxa"/>
            <w:noWrap/>
            <w:hideMark/>
          </w:tcPr>
          <w:p w:rsidR="00326CD0" w:rsidRPr="00326CD0" w:rsidRDefault="00326CD0" w:rsidP="00326CD0">
            <w:pPr>
              <w:spacing w:after="0"/>
              <w:rPr>
                <w:color w:val="auto"/>
              </w:rPr>
            </w:pPr>
            <w:r w:rsidRPr="00326CD0">
              <w:rPr>
                <w:color w:val="auto"/>
              </w:rPr>
              <w:t>ED-900B - Beneficiary Information</w:t>
            </w:r>
            <w:r>
              <w:rPr>
                <w:color w:val="auto"/>
              </w:rPr>
              <w:t xml:space="preserve"> </w:t>
            </w:r>
            <w:r w:rsidRPr="00326CD0">
              <w:rPr>
                <w:color w:val="auto"/>
              </w:rPr>
              <w:t>Form</w:t>
            </w:r>
          </w:p>
        </w:tc>
        <w:tc>
          <w:tcPr>
            <w:tcW w:w="2682" w:type="dxa"/>
            <w:noWrap/>
            <w:hideMark/>
          </w:tcPr>
          <w:p w:rsidR="00326CD0" w:rsidRPr="00326CD0" w:rsidRDefault="00326CD0" w:rsidP="00326CD0">
            <w:pPr>
              <w:spacing w:after="0"/>
              <w:jc w:val="right"/>
              <w:rPr>
                <w:color w:val="auto"/>
              </w:rPr>
            </w:pPr>
            <w:r w:rsidRPr="00326CD0">
              <w:rPr>
                <w:color w:val="auto"/>
              </w:rPr>
              <w:t>3.4</w:t>
            </w:r>
          </w:p>
        </w:tc>
      </w:tr>
      <w:tr w:rsidR="00326CD0" w:rsidRPr="00326CD0" w:rsidTr="003C072C">
        <w:trPr>
          <w:cnfStyle w:val="000000010000" w:firstRow="0" w:lastRow="0" w:firstColumn="0" w:lastColumn="0" w:oddVBand="0" w:evenVBand="0" w:oddHBand="0" w:evenHBand="1" w:firstRowFirstColumn="0" w:firstRowLastColumn="0" w:lastRowFirstColumn="0" w:lastRowLastColumn="0"/>
          <w:trHeight w:val="300"/>
        </w:trPr>
        <w:tc>
          <w:tcPr>
            <w:tcW w:w="6228" w:type="dxa"/>
            <w:noWrap/>
            <w:hideMark/>
          </w:tcPr>
          <w:p w:rsidR="00326CD0" w:rsidRPr="00326CD0" w:rsidRDefault="00326CD0" w:rsidP="00326CD0">
            <w:pPr>
              <w:spacing w:after="0"/>
              <w:rPr>
                <w:color w:val="auto"/>
              </w:rPr>
            </w:pPr>
            <w:r w:rsidRPr="00326CD0">
              <w:rPr>
                <w:color w:val="auto"/>
              </w:rPr>
              <w:t>ED-900C - EDA Application Supplement for Construction Programs</w:t>
            </w:r>
          </w:p>
        </w:tc>
        <w:tc>
          <w:tcPr>
            <w:tcW w:w="2682" w:type="dxa"/>
            <w:noWrap/>
            <w:hideMark/>
          </w:tcPr>
          <w:p w:rsidR="00326CD0" w:rsidRPr="00326CD0" w:rsidRDefault="00326CD0" w:rsidP="00326CD0">
            <w:pPr>
              <w:spacing w:after="0"/>
              <w:jc w:val="right"/>
              <w:rPr>
                <w:color w:val="auto"/>
              </w:rPr>
            </w:pPr>
            <w:r w:rsidRPr="00326CD0">
              <w:rPr>
                <w:color w:val="auto"/>
              </w:rPr>
              <w:t>12.7</w:t>
            </w:r>
          </w:p>
        </w:tc>
      </w:tr>
      <w:tr w:rsidR="00326CD0" w:rsidRPr="00326CD0" w:rsidTr="003C072C">
        <w:trPr>
          <w:cnfStyle w:val="000000100000" w:firstRow="0" w:lastRow="0" w:firstColumn="0" w:lastColumn="0" w:oddVBand="0" w:evenVBand="0" w:oddHBand="1" w:evenHBand="0" w:firstRowFirstColumn="0" w:firstRowLastColumn="0" w:lastRowFirstColumn="0" w:lastRowLastColumn="0"/>
          <w:trHeight w:val="300"/>
        </w:trPr>
        <w:tc>
          <w:tcPr>
            <w:tcW w:w="6228" w:type="dxa"/>
            <w:noWrap/>
            <w:hideMark/>
          </w:tcPr>
          <w:p w:rsidR="00326CD0" w:rsidRPr="00326CD0" w:rsidRDefault="00326CD0" w:rsidP="00326CD0">
            <w:pPr>
              <w:spacing w:after="0"/>
              <w:rPr>
                <w:color w:val="auto"/>
              </w:rPr>
            </w:pPr>
            <w:r w:rsidRPr="00326CD0">
              <w:rPr>
                <w:color w:val="auto"/>
              </w:rPr>
              <w:t>ED-900D - Requirements for Design and Engineering Assistance</w:t>
            </w:r>
          </w:p>
        </w:tc>
        <w:tc>
          <w:tcPr>
            <w:tcW w:w="2682" w:type="dxa"/>
            <w:noWrap/>
            <w:hideMark/>
          </w:tcPr>
          <w:p w:rsidR="00326CD0" w:rsidRPr="00326CD0" w:rsidRDefault="00326CD0" w:rsidP="00326CD0">
            <w:pPr>
              <w:spacing w:after="0"/>
              <w:jc w:val="right"/>
              <w:rPr>
                <w:color w:val="auto"/>
              </w:rPr>
            </w:pPr>
            <w:r w:rsidRPr="00326CD0">
              <w:rPr>
                <w:color w:val="auto"/>
              </w:rPr>
              <w:t>3.9</w:t>
            </w:r>
          </w:p>
        </w:tc>
      </w:tr>
      <w:tr w:rsidR="00326CD0" w:rsidRPr="00326CD0" w:rsidTr="003C072C">
        <w:trPr>
          <w:cnfStyle w:val="000000010000" w:firstRow="0" w:lastRow="0" w:firstColumn="0" w:lastColumn="0" w:oddVBand="0" w:evenVBand="0" w:oddHBand="0" w:evenHBand="1" w:firstRowFirstColumn="0" w:firstRowLastColumn="0" w:lastRowFirstColumn="0" w:lastRowLastColumn="0"/>
          <w:trHeight w:val="255"/>
        </w:trPr>
        <w:tc>
          <w:tcPr>
            <w:tcW w:w="6228" w:type="dxa"/>
            <w:noWrap/>
            <w:hideMark/>
          </w:tcPr>
          <w:p w:rsidR="00326CD0" w:rsidRPr="00326CD0" w:rsidRDefault="00326CD0" w:rsidP="00326CD0">
            <w:pPr>
              <w:spacing w:after="0"/>
              <w:rPr>
                <w:color w:val="auto"/>
              </w:rPr>
            </w:pPr>
            <w:r w:rsidRPr="00326CD0">
              <w:rPr>
                <w:color w:val="auto"/>
              </w:rPr>
              <w:t>ED-900E - Calculation of Estimated Relocation and Acquisition Expenses</w:t>
            </w:r>
          </w:p>
        </w:tc>
        <w:tc>
          <w:tcPr>
            <w:tcW w:w="2682" w:type="dxa"/>
            <w:noWrap/>
            <w:hideMark/>
          </w:tcPr>
          <w:p w:rsidR="00326CD0" w:rsidRPr="00326CD0" w:rsidRDefault="00326CD0" w:rsidP="00326CD0">
            <w:pPr>
              <w:spacing w:after="0"/>
              <w:jc w:val="right"/>
              <w:rPr>
                <w:color w:val="auto"/>
              </w:rPr>
            </w:pPr>
            <w:r w:rsidRPr="00326CD0">
              <w:rPr>
                <w:color w:val="auto"/>
              </w:rPr>
              <w:t>0.7</w:t>
            </w:r>
          </w:p>
        </w:tc>
      </w:tr>
      <w:tr w:rsidR="00326CD0" w:rsidRPr="00326CD0" w:rsidTr="003C072C">
        <w:trPr>
          <w:cnfStyle w:val="000000100000" w:firstRow="0" w:lastRow="0" w:firstColumn="0" w:lastColumn="0" w:oddVBand="0" w:evenVBand="0" w:oddHBand="1" w:evenHBand="0" w:firstRowFirstColumn="0" w:firstRowLastColumn="0" w:lastRowFirstColumn="0" w:lastRowLastColumn="0"/>
          <w:trHeight w:val="255"/>
        </w:trPr>
        <w:tc>
          <w:tcPr>
            <w:tcW w:w="6228" w:type="dxa"/>
            <w:noWrap/>
            <w:hideMark/>
          </w:tcPr>
          <w:p w:rsidR="00326CD0" w:rsidRPr="00326CD0" w:rsidRDefault="00326CD0" w:rsidP="00326CD0">
            <w:pPr>
              <w:spacing w:after="0"/>
              <w:rPr>
                <w:color w:val="auto"/>
              </w:rPr>
            </w:pPr>
            <w:r w:rsidRPr="00326CD0">
              <w:rPr>
                <w:color w:val="auto"/>
              </w:rPr>
              <w:t>ED-900F - Supplement for Revolving Loan Fund Applications</w:t>
            </w:r>
          </w:p>
        </w:tc>
        <w:tc>
          <w:tcPr>
            <w:tcW w:w="2682" w:type="dxa"/>
            <w:noWrap/>
            <w:hideMark/>
          </w:tcPr>
          <w:p w:rsidR="00326CD0" w:rsidRPr="00326CD0" w:rsidRDefault="00326CD0" w:rsidP="00326CD0">
            <w:pPr>
              <w:spacing w:after="0"/>
              <w:jc w:val="right"/>
              <w:rPr>
                <w:color w:val="auto"/>
              </w:rPr>
            </w:pPr>
            <w:r w:rsidRPr="00326CD0">
              <w:rPr>
                <w:color w:val="auto"/>
              </w:rPr>
              <w:t>4.6</w:t>
            </w:r>
          </w:p>
        </w:tc>
      </w:tr>
      <w:tr w:rsidR="00326CD0" w:rsidRPr="00326CD0" w:rsidTr="003C072C">
        <w:trPr>
          <w:cnfStyle w:val="000000010000" w:firstRow="0" w:lastRow="0" w:firstColumn="0" w:lastColumn="0" w:oddVBand="0" w:evenVBand="0" w:oddHBand="0" w:evenHBand="1" w:firstRowFirstColumn="0" w:firstRowLastColumn="0" w:lastRowFirstColumn="0" w:lastRowLastColumn="0"/>
          <w:trHeight w:val="255"/>
        </w:trPr>
        <w:tc>
          <w:tcPr>
            <w:tcW w:w="6228" w:type="dxa"/>
            <w:noWrap/>
            <w:hideMark/>
          </w:tcPr>
          <w:p w:rsidR="003C072C" w:rsidRDefault="00326CD0" w:rsidP="00326CD0">
            <w:pPr>
              <w:spacing w:after="0"/>
              <w:rPr>
                <w:color w:val="auto"/>
              </w:rPr>
            </w:pPr>
            <w:r w:rsidRPr="00326CD0">
              <w:rPr>
                <w:color w:val="auto"/>
              </w:rPr>
              <w:t xml:space="preserve">ED-900P - Proposal for EDA Assistance, </w:t>
            </w:r>
          </w:p>
          <w:p w:rsidR="00326CD0" w:rsidRPr="00326CD0" w:rsidRDefault="00326CD0" w:rsidP="00326CD0">
            <w:pPr>
              <w:spacing w:after="0"/>
              <w:rPr>
                <w:color w:val="auto"/>
              </w:rPr>
            </w:pPr>
            <w:r w:rsidRPr="00326CD0">
              <w:rPr>
                <w:color w:val="auto"/>
              </w:rPr>
              <w:t>Section I: General Information</w:t>
            </w:r>
          </w:p>
        </w:tc>
        <w:tc>
          <w:tcPr>
            <w:tcW w:w="2682" w:type="dxa"/>
            <w:noWrap/>
            <w:hideMark/>
          </w:tcPr>
          <w:p w:rsidR="00326CD0" w:rsidRPr="00326CD0" w:rsidRDefault="00326CD0" w:rsidP="00326CD0">
            <w:pPr>
              <w:spacing w:after="0"/>
              <w:jc w:val="right"/>
              <w:rPr>
                <w:color w:val="auto"/>
              </w:rPr>
            </w:pPr>
            <w:r w:rsidRPr="00326CD0">
              <w:rPr>
                <w:color w:val="auto"/>
              </w:rPr>
              <w:t>4.8</w:t>
            </w:r>
          </w:p>
        </w:tc>
      </w:tr>
      <w:tr w:rsidR="00326CD0" w:rsidRPr="00326CD0" w:rsidTr="003C072C">
        <w:trPr>
          <w:cnfStyle w:val="000000100000" w:firstRow="0" w:lastRow="0" w:firstColumn="0" w:lastColumn="0" w:oddVBand="0" w:evenVBand="0" w:oddHBand="1" w:evenHBand="0" w:firstRowFirstColumn="0" w:firstRowLastColumn="0" w:lastRowFirstColumn="0" w:lastRowLastColumn="0"/>
          <w:trHeight w:val="255"/>
        </w:trPr>
        <w:tc>
          <w:tcPr>
            <w:tcW w:w="6228" w:type="dxa"/>
            <w:noWrap/>
            <w:hideMark/>
          </w:tcPr>
          <w:p w:rsidR="003C072C" w:rsidRDefault="00326CD0" w:rsidP="00326CD0">
            <w:pPr>
              <w:spacing w:after="0"/>
              <w:rPr>
                <w:color w:val="auto"/>
              </w:rPr>
            </w:pPr>
            <w:r w:rsidRPr="00326CD0">
              <w:rPr>
                <w:color w:val="auto"/>
              </w:rPr>
              <w:t xml:space="preserve">ED-900P - Proposal for EDA Assistance, </w:t>
            </w:r>
          </w:p>
          <w:p w:rsidR="00326CD0" w:rsidRPr="00326CD0" w:rsidRDefault="00326CD0" w:rsidP="00326CD0">
            <w:pPr>
              <w:spacing w:after="0"/>
              <w:rPr>
                <w:color w:val="auto"/>
              </w:rPr>
            </w:pPr>
            <w:r w:rsidRPr="00326CD0">
              <w:rPr>
                <w:color w:val="auto"/>
              </w:rPr>
              <w:t>Section II: Construction</w:t>
            </w:r>
            <w:r>
              <w:rPr>
                <w:color w:val="auto"/>
              </w:rPr>
              <w:t xml:space="preserve"> </w:t>
            </w:r>
            <w:r w:rsidRPr="00326CD0">
              <w:rPr>
                <w:color w:val="auto"/>
              </w:rPr>
              <w:t>Information</w:t>
            </w:r>
          </w:p>
        </w:tc>
        <w:tc>
          <w:tcPr>
            <w:tcW w:w="2682" w:type="dxa"/>
            <w:noWrap/>
            <w:hideMark/>
          </w:tcPr>
          <w:p w:rsidR="00326CD0" w:rsidRPr="00326CD0" w:rsidRDefault="00326CD0" w:rsidP="00326CD0">
            <w:pPr>
              <w:spacing w:after="0"/>
              <w:jc w:val="right"/>
              <w:rPr>
                <w:color w:val="auto"/>
              </w:rPr>
            </w:pPr>
            <w:r w:rsidRPr="00326CD0">
              <w:rPr>
                <w:color w:val="auto"/>
              </w:rPr>
              <w:t>4.2</w:t>
            </w:r>
          </w:p>
        </w:tc>
      </w:tr>
      <w:tr w:rsidR="00326CD0" w:rsidRPr="00326CD0" w:rsidTr="003C072C">
        <w:trPr>
          <w:cnfStyle w:val="000000010000" w:firstRow="0" w:lastRow="0" w:firstColumn="0" w:lastColumn="0" w:oddVBand="0" w:evenVBand="0" w:oddHBand="0" w:evenHBand="1" w:firstRowFirstColumn="0" w:firstRowLastColumn="0" w:lastRowFirstColumn="0" w:lastRowLastColumn="0"/>
          <w:trHeight w:val="255"/>
        </w:trPr>
        <w:tc>
          <w:tcPr>
            <w:tcW w:w="6228" w:type="dxa"/>
            <w:noWrap/>
            <w:hideMark/>
          </w:tcPr>
          <w:p w:rsidR="00326CD0" w:rsidRPr="00326CD0" w:rsidRDefault="00326CD0" w:rsidP="00326CD0">
            <w:pPr>
              <w:spacing w:after="0"/>
              <w:rPr>
                <w:color w:val="auto"/>
              </w:rPr>
            </w:pPr>
            <w:r w:rsidRPr="00326CD0">
              <w:rPr>
                <w:color w:val="auto"/>
              </w:rPr>
              <w:t>Environmental Narrative Template and Application Certification Clause</w:t>
            </w:r>
          </w:p>
        </w:tc>
        <w:tc>
          <w:tcPr>
            <w:tcW w:w="2682" w:type="dxa"/>
            <w:noWrap/>
            <w:hideMark/>
          </w:tcPr>
          <w:p w:rsidR="00326CD0" w:rsidRPr="00326CD0" w:rsidRDefault="00326CD0" w:rsidP="00326CD0">
            <w:pPr>
              <w:spacing w:after="0"/>
              <w:jc w:val="right"/>
              <w:rPr>
                <w:color w:val="auto"/>
              </w:rPr>
            </w:pPr>
            <w:r w:rsidRPr="00326CD0">
              <w:rPr>
                <w:color w:val="auto"/>
              </w:rPr>
              <w:t>13.4</w:t>
            </w:r>
          </w:p>
        </w:tc>
      </w:tr>
    </w:tbl>
    <w:p w:rsidR="00326CD0" w:rsidRDefault="00326CD0" w:rsidP="005611F6"/>
    <w:p w:rsidR="003C072C" w:rsidRDefault="003C072C">
      <w:pPr>
        <w:spacing w:after="0"/>
      </w:pPr>
      <w:r>
        <w:br w:type="page"/>
      </w:r>
    </w:p>
    <w:p w:rsidR="00E916EC" w:rsidRPr="00E916EC" w:rsidRDefault="00E916EC" w:rsidP="005611F6">
      <w:r w:rsidRPr="00E916EC">
        <w:lastRenderedPageBreak/>
        <w:t>Second, EDA used these estimates to prepare est</w:t>
      </w:r>
      <w:r w:rsidR="00423679">
        <w:t>imates for each type of applica</w:t>
      </w:r>
      <w:r w:rsidRPr="00E916EC">
        <w:t>t</w:t>
      </w:r>
      <w:r w:rsidR="00423679">
        <w:t xml:space="preserve">ion.  Data from EDA’s </w:t>
      </w:r>
      <w:r w:rsidR="00423679" w:rsidRPr="00E916EC">
        <w:t xml:space="preserve">Operations, Planning, and Control System (OPCS) </w:t>
      </w:r>
      <w:r w:rsidR="00423679">
        <w:t xml:space="preserve">was used </w:t>
      </w:r>
      <w:r w:rsidR="00423679" w:rsidRPr="00E916EC">
        <w:t>to e</w:t>
      </w:r>
      <w:r w:rsidR="00423679">
        <w:t>stimate the number of applications in each category:</w:t>
      </w:r>
    </w:p>
    <w:tbl>
      <w:tblPr>
        <w:tblStyle w:val="LightList-Accent2"/>
        <w:tblW w:w="0" w:type="auto"/>
        <w:tblLayout w:type="fixed"/>
        <w:tblLook w:val="0020" w:firstRow="1" w:lastRow="0" w:firstColumn="0" w:lastColumn="0" w:noHBand="0" w:noVBand="0"/>
      </w:tblPr>
      <w:tblGrid>
        <w:gridCol w:w="3438"/>
        <w:gridCol w:w="2250"/>
        <w:gridCol w:w="1665"/>
        <w:gridCol w:w="1665"/>
      </w:tblGrid>
      <w:tr w:rsidR="004F2EE4" w:rsidRPr="004F2EE4" w:rsidTr="003C072C">
        <w:trPr>
          <w:cnfStyle w:val="100000000000" w:firstRow="1" w:lastRow="0" w:firstColumn="0" w:lastColumn="0" w:oddVBand="0" w:evenVBand="0" w:oddHBand="0"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438" w:type="dxa"/>
            <w:noWrap/>
            <w:hideMark/>
          </w:tcPr>
          <w:p w:rsidR="004F2EE4" w:rsidRPr="004F2EE4" w:rsidRDefault="004F2EE4" w:rsidP="001C19B3">
            <w:r w:rsidRPr="004F2EE4">
              <w:t>Application Type</w:t>
            </w:r>
          </w:p>
        </w:tc>
        <w:tc>
          <w:tcPr>
            <w:tcW w:w="2250" w:type="dxa"/>
            <w:noWrap/>
            <w:hideMark/>
          </w:tcPr>
          <w:p w:rsidR="004F2EE4" w:rsidRPr="004F2EE4" w:rsidRDefault="004F2EE4" w:rsidP="001C19B3">
            <w:pPr>
              <w:cnfStyle w:val="100000000000" w:firstRow="1" w:lastRow="0" w:firstColumn="0" w:lastColumn="0" w:oddVBand="0" w:evenVBand="0" w:oddHBand="0" w:evenHBand="0" w:firstRowFirstColumn="0" w:firstRowLastColumn="0" w:lastRowFirstColumn="0" w:lastRowLastColumn="0"/>
            </w:pPr>
            <w:r w:rsidRPr="004F2EE4">
              <w:t>Estimated Number of Responses</w:t>
            </w:r>
          </w:p>
        </w:tc>
        <w:tc>
          <w:tcPr>
            <w:cnfStyle w:val="000010000000" w:firstRow="0" w:lastRow="0" w:firstColumn="0" w:lastColumn="0" w:oddVBand="1" w:evenVBand="0" w:oddHBand="0" w:evenHBand="0" w:firstRowFirstColumn="0" w:firstRowLastColumn="0" w:lastRowFirstColumn="0" w:lastRowLastColumn="0"/>
            <w:tcW w:w="1665" w:type="dxa"/>
            <w:noWrap/>
            <w:hideMark/>
          </w:tcPr>
          <w:p w:rsidR="004F2EE4" w:rsidRPr="004F2EE4" w:rsidRDefault="004F2EE4" w:rsidP="001C19B3">
            <w:r w:rsidRPr="004F2EE4">
              <w:t>Average Time Estimate</w:t>
            </w:r>
          </w:p>
        </w:tc>
        <w:tc>
          <w:tcPr>
            <w:tcW w:w="1665" w:type="dxa"/>
            <w:noWrap/>
            <w:hideMark/>
          </w:tcPr>
          <w:p w:rsidR="004F2EE4" w:rsidRPr="004F2EE4" w:rsidRDefault="004F2EE4" w:rsidP="001C19B3">
            <w:pPr>
              <w:cnfStyle w:val="100000000000" w:firstRow="1" w:lastRow="0" w:firstColumn="0" w:lastColumn="0" w:oddVBand="0" w:evenVBand="0" w:oddHBand="0" w:evenHBand="0" w:firstRowFirstColumn="0" w:firstRowLastColumn="0" w:lastRowFirstColumn="0" w:lastRowLastColumn="0"/>
            </w:pPr>
            <w:r w:rsidRPr="004F2EE4">
              <w:t>Total Hours</w:t>
            </w:r>
          </w:p>
        </w:tc>
      </w:tr>
      <w:tr w:rsidR="004F2EE4" w:rsidRPr="004F2EE4" w:rsidTr="003C072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438" w:type="dxa"/>
            <w:noWrap/>
            <w:hideMark/>
          </w:tcPr>
          <w:p w:rsidR="004F2EE4" w:rsidRPr="004F2EE4" w:rsidRDefault="004F2EE4">
            <w:r w:rsidRPr="004F2EE4">
              <w:t>Proposal Submission for Non-Construction Applicants</w:t>
            </w:r>
          </w:p>
        </w:tc>
        <w:tc>
          <w:tcPr>
            <w:tcW w:w="2250" w:type="dxa"/>
            <w:noWrap/>
            <w:hideMark/>
          </w:tcPr>
          <w:p w:rsidR="004F2EE4" w:rsidRPr="004F2EE4" w:rsidRDefault="004F2EE4" w:rsidP="004F2EE4">
            <w:pPr>
              <w:cnfStyle w:val="000000100000" w:firstRow="0" w:lastRow="0" w:firstColumn="0" w:lastColumn="0" w:oddVBand="0" w:evenVBand="0" w:oddHBand="1" w:evenHBand="0" w:firstRowFirstColumn="0" w:firstRowLastColumn="0" w:lastRowFirstColumn="0" w:lastRowLastColumn="0"/>
            </w:pPr>
            <w:r w:rsidRPr="004F2EE4">
              <w:t>448</w:t>
            </w:r>
          </w:p>
        </w:tc>
        <w:tc>
          <w:tcPr>
            <w:cnfStyle w:val="000010000000" w:firstRow="0" w:lastRow="0" w:firstColumn="0" w:lastColumn="0" w:oddVBand="1" w:evenVBand="0" w:oddHBand="0" w:evenHBand="0" w:firstRowFirstColumn="0" w:firstRowLastColumn="0" w:lastRowFirstColumn="0" w:lastRowLastColumn="0"/>
            <w:tcW w:w="1665" w:type="dxa"/>
            <w:noWrap/>
            <w:hideMark/>
          </w:tcPr>
          <w:p w:rsidR="004F2EE4" w:rsidRPr="004F2EE4" w:rsidRDefault="004F2EE4" w:rsidP="004F2EE4">
            <w:r w:rsidRPr="004F2EE4">
              <w:t>4.8</w:t>
            </w:r>
          </w:p>
        </w:tc>
        <w:tc>
          <w:tcPr>
            <w:tcW w:w="1665" w:type="dxa"/>
            <w:noWrap/>
            <w:hideMark/>
          </w:tcPr>
          <w:p w:rsidR="004F2EE4" w:rsidRPr="004F2EE4" w:rsidRDefault="004F2EE4" w:rsidP="004F2EE4">
            <w:pPr>
              <w:cnfStyle w:val="000000100000" w:firstRow="0" w:lastRow="0" w:firstColumn="0" w:lastColumn="0" w:oddVBand="0" w:evenVBand="0" w:oddHBand="1" w:evenHBand="0" w:firstRowFirstColumn="0" w:firstRowLastColumn="0" w:lastRowFirstColumn="0" w:lastRowLastColumn="0"/>
            </w:pPr>
            <w:r w:rsidRPr="004F2EE4">
              <w:t>2140.4</w:t>
            </w:r>
          </w:p>
        </w:tc>
      </w:tr>
      <w:tr w:rsidR="004F2EE4" w:rsidRPr="004F2EE4" w:rsidTr="003C072C">
        <w:trPr>
          <w:trHeight w:val="255"/>
        </w:trPr>
        <w:tc>
          <w:tcPr>
            <w:cnfStyle w:val="000010000000" w:firstRow="0" w:lastRow="0" w:firstColumn="0" w:lastColumn="0" w:oddVBand="1" w:evenVBand="0" w:oddHBand="0" w:evenHBand="0" w:firstRowFirstColumn="0" w:firstRowLastColumn="0" w:lastRowFirstColumn="0" w:lastRowLastColumn="0"/>
            <w:tcW w:w="3438" w:type="dxa"/>
            <w:noWrap/>
            <w:hideMark/>
          </w:tcPr>
          <w:p w:rsidR="004F2EE4" w:rsidRPr="004F2EE4" w:rsidRDefault="004F2EE4">
            <w:r w:rsidRPr="004F2EE4">
              <w:t>Proposal Submission for Construction Applicants</w:t>
            </w:r>
          </w:p>
        </w:tc>
        <w:tc>
          <w:tcPr>
            <w:tcW w:w="2250" w:type="dxa"/>
            <w:noWrap/>
            <w:hideMark/>
          </w:tcPr>
          <w:p w:rsidR="004F2EE4" w:rsidRPr="004F2EE4" w:rsidRDefault="004F2EE4" w:rsidP="004F2EE4">
            <w:pPr>
              <w:cnfStyle w:val="000000000000" w:firstRow="0" w:lastRow="0" w:firstColumn="0" w:lastColumn="0" w:oddVBand="0" w:evenVBand="0" w:oddHBand="0" w:evenHBand="0" w:firstRowFirstColumn="0" w:firstRowLastColumn="0" w:lastRowFirstColumn="0" w:lastRowLastColumn="0"/>
            </w:pPr>
            <w:r w:rsidRPr="004F2EE4">
              <w:t>263</w:t>
            </w:r>
          </w:p>
        </w:tc>
        <w:tc>
          <w:tcPr>
            <w:cnfStyle w:val="000010000000" w:firstRow="0" w:lastRow="0" w:firstColumn="0" w:lastColumn="0" w:oddVBand="1" w:evenVBand="0" w:oddHBand="0" w:evenHBand="0" w:firstRowFirstColumn="0" w:firstRowLastColumn="0" w:lastRowFirstColumn="0" w:lastRowLastColumn="0"/>
            <w:tcW w:w="1665" w:type="dxa"/>
            <w:noWrap/>
            <w:hideMark/>
          </w:tcPr>
          <w:p w:rsidR="004F2EE4" w:rsidRPr="004F2EE4" w:rsidRDefault="004F2EE4" w:rsidP="004F2EE4">
            <w:r w:rsidRPr="004F2EE4">
              <w:t>4.2</w:t>
            </w:r>
          </w:p>
        </w:tc>
        <w:tc>
          <w:tcPr>
            <w:tcW w:w="1665" w:type="dxa"/>
            <w:noWrap/>
            <w:hideMark/>
          </w:tcPr>
          <w:p w:rsidR="004F2EE4" w:rsidRPr="004F2EE4" w:rsidRDefault="004F2EE4" w:rsidP="004F2EE4">
            <w:pPr>
              <w:cnfStyle w:val="000000000000" w:firstRow="0" w:lastRow="0" w:firstColumn="0" w:lastColumn="0" w:oddVBand="0" w:evenVBand="0" w:oddHBand="0" w:evenHBand="0" w:firstRowFirstColumn="0" w:firstRowLastColumn="0" w:lastRowFirstColumn="0" w:lastRowLastColumn="0"/>
            </w:pPr>
            <w:r w:rsidRPr="004F2EE4">
              <w:t>1109.0</w:t>
            </w:r>
          </w:p>
        </w:tc>
      </w:tr>
      <w:tr w:rsidR="004F2EE4" w:rsidRPr="004F2EE4" w:rsidTr="003C072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438" w:type="dxa"/>
            <w:noWrap/>
            <w:hideMark/>
          </w:tcPr>
          <w:p w:rsidR="004F2EE4" w:rsidRPr="004F2EE4" w:rsidRDefault="004F2EE4">
            <w:r w:rsidRPr="004F2EE4">
              <w:t>Full Application Submission for Construction Applicants</w:t>
            </w:r>
          </w:p>
        </w:tc>
        <w:tc>
          <w:tcPr>
            <w:tcW w:w="2250" w:type="dxa"/>
            <w:noWrap/>
            <w:hideMark/>
          </w:tcPr>
          <w:p w:rsidR="004F2EE4" w:rsidRPr="004F2EE4" w:rsidRDefault="004F2EE4" w:rsidP="004F2EE4">
            <w:pPr>
              <w:cnfStyle w:val="000000100000" w:firstRow="0" w:lastRow="0" w:firstColumn="0" w:lastColumn="0" w:oddVBand="0" w:evenVBand="0" w:oddHBand="1" w:evenHBand="0" w:firstRowFirstColumn="0" w:firstRowLastColumn="0" w:lastRowFirstColumn="0" w:lastRowLastColumn="0"/>
            </w:pPr>
            <w:r w:rsidRPr="004F2EE4">
              <w:t>99</w:t>
            </w:r>
          </w:p>
        </w:tc>
        <w:tc>
          <w:tcPr>
            <w:cnfStyle w:val="000010000000" w:firstRow="0" w:lastRow="0" w:firstColumn="0" w:lastColumn="0" w:oddVBand="1" w:evenVBand="0" w:oddHBand="0" w:evenHBand="0" w:firstRowFirstColumn="0" w:firstRowLastColumn="0" w:lastRowFirstColumn="0" w:lastRowLastColumn="0"/>
            <w:tcW w:w="1665" w:type="dxa"/>
            <w:noWrap/>
            <w:hideMark/>
          </w:tcPr>
          <w:p w:rsidR="004F2EE4" w:rsidRPr="004F2EE4" w:rsidRDefault="004F2EE4" w:rsidP="004F2EE4">
            <w:r w:rsidRPr="004F2EE4">
              <w:t>43.0</w:t>
            </w:r>
          </w:p>
        </w:tc>
        <w:tc>
          <w:tcPr>
            <w:tcW w:w="1665" w:type="dxa"/>
            <w:noWrap/>
            <w:hideMark/>
          </w:tcPr>
          <w:p w:rsidR="004F2EE4" w:rsidRPr="004F2EE4" w:rsidRDefault="004F2EE4" w:rsidP="004F2EE4">
            <w:pPr>
              <w:cnfStyle w:val="000000100000" w:firstRow="0" w:lastRow="0" w:firstColumn="0" w:lastColumn="0" w:oddVBand="0" w:evenVBand="0" w:oddHBand="1" w:evenHBand="0" w:firstRowFirstColumn="0" w:firstRowLastColumn="0" w:lastRowFirstColumn="0" w:lastRowLastColumn="0"/>
            </w:pPr>
            <w:r w:rsidRPr="004F2EE4">
              <w:t>4246.6</w:t>
            </w:r>
          </w:p>
        </w:tc>
      </w:tr>
      <w:tr w:rsidR="004F2EE4" w:rsidRPr="004F2EE4" w:rsidTr="003C072C">
        <w:trPr>
          <w:trHeight w:val="255"/>
        </w:trPr>
        <w:tc>
          <w:tcPr>
            <w:cnfStyle w:val="000010000000" w:firstRow="0" w:lastRow="0" w:firstColumn="0" w:lastColumn="0" w:oddVBand="1" w:evenVBand="0" w:oddHBand="0" w:evenHBand="0" w:firstRowFirstColumn="0" w:firstRowLastColumn="0" w:lastRowFirstColumn="0" w:lastRowLastColumn="0"/>
            <w:tcW w:w="3438" w:type="dxa"/>
            <w:noWrap/>
            <w:hideMark/>
          </w:tcPr>
          <w:p w:rsidR="004F2EE4" w:rsidRPr="004F2EE4" w:rsidRDefault="004F2EE4">
            <w:r w:rsidRPr="004F2EE4">
              <w:t>Full Application Submission All Other EDA Programs</w:t>
            </w:r>
          </w:p>
        </w:tc>
        <w:tc>
          <w:tcPr>
            <w:tcW w:w="2250" w:type="dxa"/>
            <w:noWrap/>
            <w:hideMark/>
          </w:tcPr>
          <w:p w:rsidR="004F2EE4" w:rsidRPr="004F2EE4" w:rsidRDefault="004F2EE4" w:rsidP="004F2EE4">
            <w:pPr>
              <w:cnfStyle w:val="000000000000" w:firstRow="0" w:lastRow="0" w:firstColumn="0" w:lastColumn="0" w:oddVBand="0" w:evenVBand="0" w:oddHBand="0" w:evenHBand="0" w:firstRowFirstColumn="0" w:firstRowLastColumn="0" w:lastRowFirstColumn="0" w:lastRowLastColumn="0"/>
            </w:pPr>
            <w:r w:rsidRPr="004F2EE4">
              <w:t>737</w:t>
            </w:r>
          </w:p>
        </w:tc>
        <w:tc>
          <w:tcPr>
            <w:cnfStyle w:val="000010000000" w:firstRow="0" w:lastRow="0" w:firstColumn="0" w:lastColumn="0" w:oddVBand="1" w:evenVBand="0" w:oddHBand="0" w:evenHBand="0" w:firstRowFirstColumn="0" w:firstRowLastColumn="0" w:lastRowFirstColumn="0" w:lastRowLastColumn="0"/>
            <w:tcW w:w="1665" w:type="dxa"/>
            <w:noWrap/>
            <w:hideMark/>
          </w:tcPr>
          <w:p w:rsidR="004F2EE4" w:rsidRPr="004F2EE4" w:rsidRDefault="004F2EE4" w:rsidP="004F2EE4">
            <w:r w:rsidRPr="004F2EE4">
              <w:t>17.1</w:t>
            </w:r>
          </w:p>
        </w:tc>
        <w:tc>
          <w:tcPr>
            <w:tcW w:w="1665" w:type="dxa"/>
            <w:noWrap/>
            <w:hideMark/>
          </w:tcPr>
          <w:p w:rsidR="004F2EE4" w:rsidRPr="004F2EE4" w:rsidRDefault="004F2EE4" w:rsidP="004F2EE4">
            <w:pPr>
              <w:cnfStyle w:val="000000000000" w:firstRow="0" w:lastRow="0" w:firstColumn="0" w:lastColumn="0" w:oddVBand="0" w:evenVBand="0" w:oddHBand="0" w:evenHBand="0" w:firstRowFirstColumn="0" w:firstRowLastColumn="0" w:lastRowFirstColumn="0" w:lastRowLastColumn="0"/>
            </w:pPr>
            <w:r w:rsidRPr="004F2EE4">
              <w:t>12579.2</w:t>
            </w:r>
          </w:p>
        </w:tc>
      </w:tr>
      <w:tr w:rsidR="004F2EE4" w:rsidRPr="004F2EE4" w:rsidTr="003C072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438" w:type="dxa"/>
            <w:tcBorders>
              <w:bottom w:val="single" w:sz="4" w:space="0" w:color="auto"/>
            </w:tcBorders>
            <w:noWrap/>
            <w:hideMark/>
          </w:tcPr>
          <w:p w:rsidR="004F2EE4" w:rsidRPr="004F2EE4" w:rsidRDefault="004F2EE4">
            <w:r w:rsidRPr="004F2EE4">
              <w:t>Full Application Submission for Non-Profit Applicants</w:t>
            </w:r>
          </w:p>
        </w:tc>
        <w:tc>
          <w:tcPr>
            <w:tcW w:w="2250" w:type="dxa"/>
            <w:tcBorders>
              <w:bottom w:val="single" w:sz="4" w:space="0" w:color="auto"/>
            </w:tcBorders>
            <w:noWrap/>
            <w:hideMark/>
          </w:tcPr>
          <w:p w:rsidR="004F2EE4" w:rsidRPr="004F2EE4" w:rsidRDefault="004F2EE4" w:rsidP="004F2EE4">
            <w:pPr>
              <w:cnfStyle w:val="000000100000" w:firstRow="0" w:lastRow="0" w:firstColumn="0" w:lastColumn="0" w:oddVBand="0" w:evenVBand="0" w:oddHBand="1" w:evenHBand="0" w:firstRowFirstColumn="0" w:firstRowLastColumn="0" w:lastRowFirstColumn="0" w:lastRowLastColumn="0"/>
            </w:pPr>
            <w:r w:rsidRPr="004F2EE4">
              <w:t>125</w:t>
            </w:r>
          </w:p>
        </w:tc>
        <w:tc>
          <w:tcPr>
            <w:cnfStyle w:val="000010000000" w:firstRow="0" w:lastRow="0" w:firstColumn="0" w:lastColumn="0" w:oddVBand="1" w:evenVBand="0" w:oddHBand="0" w:evenHBand="0" w:firstRowFirstColumn="0" w:firstRowLastColumn="0" w:lastRowFirstColumn="0" w:lastRowLastColumn="0"/>
            <w:tcW w:w="1665" w:type="dxa"/>
            <w:tcBorders>
              <w:bottom w:val="single" w:sz="4" w:space="0" w:color="auto"/>
            </w:tcBorders>
            <w:noWrap/>
            <w:hideMark/>
          </w:tcPr>
          <w:p w:rsidR="004F2EE4" w:rsidRPr="004F2EE4" w:rsidRDefault="004F2EE4" w:rsidP="004F2EE4">
            <w:r w:rsidRPr="004F2EE4">
              <w:t>19.5</w:t>
            </w:r>
          </w:p>
        </w:tc>
        <w:tc>
          <w:tcPr>
            <w:tcW w:w="1665" w:type="dxa"/>
            <w:tcBorders>
              <w:bottom w:val="single" w:sz="4" w:space="0" w:color="auto"/>
            </w:tcBorders>
            <w:noWrap/>
            <w:hideMark/>
          </w:tcPr>
          <w:p w:rsidR="004F2EE4" w:rsidRPr="004F2EE4" w:rsidRDefault="004F2EE4" w:rsidP="004F2EE4">
            <w:pPr>
              <w:cnfStyle w:val="000000100000" w:firstRow="0" w:lastRow="0" w:firstColumn="0" w:lastColumn="0" w:oddVBand="0" w:evenVBand="0" w:oddHBand="1" w:evenHBand="0" w:firstRowFirstColumn="0" w:firstRowLastColumn="0" w:lastRowFirstColumn="0" w:lastRowLastColumn="0"/>
            </w:pPr>
            <w:r w:rsidRPr="004F2EE4">
              <w:t>2436.9</w:t>
            </w:r>
          </w:p>
        </w:tc>
      </w:tr>
      <w:tr w:rsidR="00423679" w:rsidRPr="001C19B3" w:rsidTr="003C072C">
        <w:trPr>
          <w:trHeight w:val="255"/>
        </w:trPr>
        <w:tc>
          <w:tcPr>
            <w:cnfStyle w:val="000010000000" w:firstRow="0" w:lastRow="0" w:firstColumn="0" w:lastColumn="0" w:oddVBand="1" w:evenVBand="0" w:oddHBand="0" w:evenHBand="0" w:firstRowFirstColumn="0" w:firstRowLastColumn="0" w:lastRowFirstColumn="0" w:lastRowLastColumn="0"/>
            <w:tcW w:w="3438" w:type="dxa"/>
            <w:tcBorders>
              <w:top w:val="single" w:sz="4" w:space="0" w:color="auto"/>
              <w:bottom w:val="single" w:sz="8" w:space="0" w:color="B2B2B2" w:themeColor="accent2"/>
            </w:tcBorders>
            <w:shd w:val="clear" w:color="auto" w:fill="BFBFBF" w:themeFill="background1" w:themeFillShade="BF"/>
            <w:noWrap/>
          </w:tcPr>
          <w:p w:rsidR="00423679" w:rsidRPr="001C19B3" w:rsidRDefault="00423679">
            <w:pPr>
              <w:rPr>
                <w:b/>
              </w:rPr>
            </w:pPr>
            <w:r w:rsidRPr="001C19B3">
              <w:rPr>
                <w:b/>
              </w:rPr>
              <w:t>TOTAL</w:t>
            </w:r>
          </w:p>
        </w:tc>
        <w:tc>
          <w:tcPr>
            <w:tcW w:w="2250" w:type="dxa"/>
            <w:tcBorders>
              <w:top w:val="single" w:sz="4" w:space="0" w:color="auto"/>
              <w:bottom w:val="single" w:sz="8" w:space="0" w:color="B2B2B2" w:themeColor="accent2"/>
            </w:tcBorders>
            <w:shd w:val="clear" w:color="auto" w:fill="BFBFBF" w:themeFill="background1" w:themeFillShade="BF"/>
            <w:noWrap/>
          </w:tcPr>
          <w:p w:rsidR="00423679" w:rsidRPr="001C19B3" w:rsidRDefault="00423679" w:rsidP="004F2EE4">
            <w:pPr>
              <w:cnfStyle w:val="000000000000" w:firstRow="0" w:lastRow="0" w:firstColumn="0" w:lastColumn="0" w:oddVBand="0" w:evenVBand="0" w:oddHBand="0" w:evenHBand="0" w:firstRowFirstColumn="0" w:firstRowLastColumn="0" w:lastRowFirstColumn="0" w:lastRowLastColumn="0"/>
              <w:rPr>
                <w:b/>
              </w:rPr>
            </w:pPr>
            <w:r w:rsidRPr="001C19B3">
              <w:rPr>
                <w:b/>
              </w:rPr>
              <w:t>1672</w:t>
            </w:r>
          </w:p>
        </w:tc>
        <w:tc>
          <w:tcPr>
            <w:cnfStyle w:val="000010000000" w:firstRow="0" w:lastRow="0" w:firstColumn="0" w:lastColumn="0" w:oddVBand="1" w:evenVBand="0" w:oddHBand="0" w:evenHBand="0" w:firstRowFirstColumn="0" w:firstRowLastColumn="0" w:lastRowFirstColumn="0" w:lastRowLastColumn="0"/>
            <w:tcW w:w="1665" w:type="dxa"/>
            <w:tcBorders>
              <w:top w:val="single" w:sz="4" w:space="0" w:color="auto"/>
              <w:bottom w:val="single" w:sz="8" w:space="0" w:color="B2B2B2" w:themeColor="accent2"/>
            </w:tcBorders>
            <w:shd w:val="clear" w:color="auto" w:fill="BFBFBF" w:themeFill="background1" w:themeFillShade="BF"/>
            <w:noWrap/>
          </w:tcPr>
          <w:p w:rsidR="00423679" w:rsidRPr="001C19B3" w:rsidRDefault="00423679" w:rsidP="004F2EE4">
            <w:pPr>
              <w:rPr>
                <w:b/>
              </w:rPr>
            </w:pPr>
          </w:p>
        </w:tc>
        <w:tc>
          <w:tcPr>
            <w:tcW w:w="1665" w:type="dxa"/>
            <w:tcBorders>
              <w:top w:val="single" w:sz="4" w:space="0" w:color="auto"/>
              <w:bottom w:val="single" w:sz="8" w:space="0" w:color="B2B2B2" w:themeColor="accent2"/>
            </w:tcBorders>
            <w:shd w:val="clear" w:color="auto" w:fill="BFBFBF" w:themeFill="background1" w:themeFillShade="BF"/>
            <w:noWrap/>
          </w:tcPr>
          <w:p w:rsidR="00423679" w:rsidRPr="001C19B3" w:rsidRDefault="00423679" w:rsidP="004F2EE4">
            <w:pPr>
              <w:cnfStyle w:val="000000000000" w:firstRow="0" w:lastRow="0" w:firstColumn="0" w:lastColumn="0" w:oddVBand="0" w:evenVBand="0" w:oddHBand="0" w:evenHBand="0" w:firstRowFirstColumn="0" w:firstRowLastColumn="0" w:lastRowFirstColumn="0" w:lastRowLastColumn="0"/>
              <w:rPr>
                <w:b/>
              </w:rPr>
            </w:pPr>
            <w:r w:rsidRPr="001C19B3">
              <w:rPr>
                <w:b/>
              </w:rPr>
              <w:t>22,512</w:t>
            </w:r>
          </w:p>
        </w:tc>
      </w:tr>
      <w:tr w:rsidR="001C19B3" w:rsidRPr="001C19B3" w:rsidTr="003C072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438" w:type="dxa"/>
            <w:shd w:val="clear" w:color="auto" w:fill="D9D9D9" w:themeFill="background1" w:themeFillShade="D9"/>
            <w:noWrap/>
          </w:tcPr>
          <w:p w:rsidR="001C19B3" w:rsidRPr="001C19B3" w:rsidRDefault="001C19B3" w:rsidP="001C19B3">
            <w:pPr>
              <w:rPr>
                <w:b/>
              </w:rPr>
            </w:pPr>
            <w:r>
              <w:rPr>
                <w:b/>
              </w:rPr>
              <w:t>Average Applicant Burden</w:t>
            </w:r>
          </w:p>
        </w:tc>
        <w:tc>
          <w:tcPr>
            <w:tcW w:w="2250" w:type="dxa"/>
            <w:shd w:val="clear" w:color="auto" w:fill="D9D9D9" w:themeFill="background1" w:themeFillShade="D9"/>
            <w:noWrap/>
          </w:tcPr>
          <w:p w:rsidR="001C19B3" w:rsidRPr="001C19B3" w:rsidRDefault="001C19B3" w:rsidP="004F2EE4">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665" w:type="dxa"/>
            <w:shd w:val="clear" w:color="auto" w:fill="D9D9D9" w:themeFill="background1" w:themeFillShade="D9"/>
            <w:noWrap/>
          </w:tcPr>
          <w:p w:rsidR="001C19B3" w:rsidRPr="001C19B3" w:rsidRDefault="001C19B3" w:rsidP="004F2EE4">
            <w:pPr>
              <w:rPr>
                <w:b/>
              </w:rPr>
            </w:pPr>
          </w:p>
        </w:tc>
        <w:tc>
          <w:tcPr>
            <w:tcW w:w="1665" w:type="dxa"/>
            <w:shd w:val="clear" w:color="auto" w:fill="D9D9D9" w:themeFill="background1" w:themeFillShade="D9"/>
            <w:noWrap/>
          </w:tcPr>
          <w:p w:rsidR="001C19B3" w:rsidRPr="001C19B3" w:rsidRDefault="001C19B3" w:rsidP="004F2EE4">
            <w:pPr>
              <w:cnfStyle w:val="000000100000" w:firstRow="0" w:lastRow="0" w:firstColumn="0" w:lastColumn="0" w:oddVBand="0" w:evenVBand="0" w:oddHBand="1" w:evenHBand="0" w:firstRowFirstColumn="0" w:firstRowLastColumn="0" w:lastRowFirstColumn="0" w:lastRowLastColumn="0"/>
              <w:rPr>
                <w:b/>
              </w:rPr>
            </w:pPr>
            <w:r>
              <w:rPr>
                <w:b/>
              </w:rPr>
              <w:t>13.46</w:t>
            </w:r>
          </w:p>
        </w:tc>
      </w:tr>
    </w:tbl>
    <w:p w:rsidR="004F2EE4" w:rsidRDefault="004F2EE4" w:rsidP="005611F6"/>
    <w:p w:rsidR="00E916EC" w:rsidRDefault="00E916EC" w:rsidP="005611F6">
      <w:r w:rsidRPr="00E916EC">
        <w:t>By multiplying the expected number of applicants in each category by the average time to complete an application for that category of applicant, EDA was able to estimate the total applicant burden and average applicant burden.</w:t>
      </w:r>
    </w:p>
    <w:p w:rsidR="00556DEB" w:rsidRPr="00234FDD" w:rsidRDefault="00556DEB" w:rsidP="005611F6">
      <w:pPr>
        <w:pStyle w:val="Heading2"/>
      </w:pPr>
      <w:r w:rsidRPr="00234FDD">
        <w:t>Provide an estimate of the total annual cost burden to the respondents or record</w:t>
      </w:r>
      <w:r w:rsidR="00FF3640" w:rsidRPr="00234FDD">
        <w:t xml:space="preserve"> </w:t>
      </w:r>
      <w:r w:rsidRPr="00234FDD">
        <w:t xml:space="preserve">keepers resulting from the collection of information (excluding the </w:t>
      </w:r>
      <w:r w:rsidR="00E95422" w:rsidRPr="00234FDD">
        <w:t xml:space="preserve">value of the burden hours in </w:t>
      </w:r>
      <w:r w:rsidR="005D5D93">
        <w:t xml:space="preserve">Question </w:t>
      </w:r>
      <w:r w:rsidR="00A746F2" w:rsidRPr="00234FDD">
        <w:t>12 a</w:t>
      </w:r>
      <w:r w:rsidR="00E95422" w:rsidRPr="00234FDD">
        <w:t>bove</w:t>
      </w:r>
      <w:r w:rsidR="00A746F2" w:rsidRPr="00234FDD">
        <w:t>).</w:t>
      </w:r>
    </w:p>
    <w:p w:rsidR="005D5D93" w:rsidRDefault="00EF1FDB" w:rsidP="005611F6">
      <w:r>
        <w:t>Not Applicable.</w:t>
      </w:r>
    </w:p>
    <w:p w:rsidR="005611F6" w:rsidRDefault="005611F6">
      <w:pPr>
        <w:spacing w:after="0"/>
        <w:rPr>
          <w:b/>
          <w:u w:val="single"/>
        </w:rPr>
      </w:pPr>
    </w:p>
    <w:p w:rsidR="00A746F2" w:rsidRPr="00234FDD" w:rsidRDefault="00A746F2" w:rsidP="005611F6">
      <w:pPr>
        <w:pStyle w:val="Heading2"/>
      </w:pPr>
      <w:r w:rsidRPr="00234FDD">
        <w:t>Provide estimates of annualized cost to the Federal government.</w:t>
      </w:r>
    </w:p>
    <w:p w:rsidR="003D6BD4" w:rsidRPr="008627EA" w:rsidRDefault="003D6BD4" w:rsidP="005611F6">
      <w:r w:rsidRPr="003C072C">
        <w:t xml:space="preserve">The estimated total annualized costs to the Federal government for these information collections are approximately </w:t>
      </w:r>
      <w:r w:rsidRPr="003C072C">
        <w:rPr>
          <w:b/>
        </w:rPr>
        <w:t>$</w:t>
      </w:r>
      <w:r w:rsidR="008627EA" w:rsidRPr="003C072C">
        <w:rPr>
          <w:b/>
        </w:rPr>
        <w:t>2,</w:t>
      </w:r>
      <w:r w:rsidR="003A54C1" w:rsidRPr="003C072C">
        <w:rPr>
          <w:b/>
        </w:rPr>
        <w:t>859</w:t>
      </w:r>
      <w:r w:rsidR="008627EA" w:rsidRPr="003C072C">
        <w:rPr>
          <w:b/>
        </w:rPr>
        <w:t>,</w:t>
      </w:r>
      <w:r w:rsidR="003A54C1" w:rsidRPr="003C072C">
        <w:rPr>
          <w:b/>
        </w:rPr>
        <w:t>120</w:t>
      </w:r>
      <w:r w:rsidR="008627EA" w:rsidRPr="003C072C">
        <w:rPr>
          <w:b/>
        </w:rPr>
        <w:t xml:space="preserve"> </w:t>
      </w:r>
      <w:r w:rsidR="008627EA" w:rsidRPr="003C072C">
        <w:t>(based on</w:t>
      </w:r>
      <w:r w:rsidR="003A54C1" w:rsidRPr="003C072C">
        <w:t xml:space="preserve"> an average of</w:t>
      </w:r>
      <w:r w:rsidR="008627EA" w:rsidRPr="003C072C">
        <w:t xml:space="preserve"> 38 hours of professional and support time at $45 per hour; </w:t>
      </w:r>
      <w:r w:rsidR="003A54C1" w:rsidRPr="003C072C">
        <w:t>1672</w:t>
      </w:r>
      <w:r w:rsidR="008627EA" w:rsidRPr="003C072C">
        <w:t xml:space="preserve"> responses @ $1,710 each)</w:t>
      </w:r>
      <w:r w:rsidRPr="003C072C">
        <w:t>.</w:t>
      </w:r>
      <w:r w:rsidRPr="008627EA">
        <w:t xml:space="preserve">  </w:t>
      </w:r>
    </w:p>
    <w:p w:rsidR="00A746F2" w:rsidRDefault="00A746F2" w:rsidP="005611F6">
      <w:pPr>
        <w:pStyle w:val="Heading2"/>
      </w:pPr>
      <w:r w:rsidRPr="00234FDD">
        <w:t xml:space="preserve">Explain the reasons for any program </w:t>
      </w:r>
      <w:r w:rsidR="001739BB">
        <w:t>changes or adjustments</w:t>
      </w:r>
      <w:r w:rsidRPr="00234FDD">
        <w:t>.</w:t>
      </w:r>
    </w:p>
    <w:p w:rsidR="00D435E6" w:rsidRDefault="00D435E6" w:rsidP="00D435E6">
      <w:r>
        <w:t>In 2014, EDA underwent a comprehensive review and improvement effort for its grants cycle process.  Using staff input, and results from EDA’s 2014 Customer Service survey, EDA reimagined its grants application process from the ground up, making significant i</w:t>
      </w:r>
      <w:bookmarkStart w:id="2" w:name="_GoBack"/>
      <w:bookmarkEnd w:id="2"/>
      <w:r>
        <w:t>mprovements for both stakeholders and staff.  As part of this process, EDA is making changes to its forms to address the following concerns:</w:t>
      </w:r>
    </w:p>
    <w:p w:rsidR="00D435E6" w:rsidRDefault="00D435E6" w:rsidP="00D435E6">
      <w:pPr>
        <w:pStyle w:val="ListParagraph"/>
        <w:numPr>
          <w:ilvl w:val="0"/>
          <w:numId w:val="7"/>
        </w:numPr>
      </w:pPr>
      <w:r>
        <w:lastRenderedPageBreak/>
        <w:t>Confusion among applicants regarding which sections of the ED-900 needed to be completed for the program they were applying for;</w:t>
      </w:r>
    </w:p>
    <w:p w:rsidR="00D435E6" w:rsidRDefault="00D435E6" w:rsidP="00D435E6">
      <w:pPr>
        <w:pStyle w:val="ListParagraph"/>
        <w:numPr>
          <w:ilvl w:val="0"/>
          <w:numId w:val="7"/>
        </w:numPr>
      </w:pPr>
      <w:r>
        <w:t>Undue burden on applicants to complete the application form for projects that were not likely to be funded;</w:t>
      </w:r>
    </w:p>
    <w:p w:rsidR="00D435E6" w:rsidRDefault="00D435E6" w:rsidP="00D435E6">
      <w:pPr>
        <w:pStyle w:val="ListParagraph"/>
        <w:numPr>
          <w:ilvl w:val="0"/>
          <w:numId w:val="7"/>
        </w:numPr>
      </w:pPr>
      <w:r>
        <w:t>Outdated links to external sources;</w:t>
      </w:r>
    </w:p>
    <w:p w:rsidR="00D435E6" w:rsidRDefault="00D435E6" w:rsidP="00D435E6">
      <w:pPr>
        <w:pStyle w:val="ListParagraph"/>
        <w:numPr>
          <w:ilvl w:val="0"/>
          <w:numId w:val="7"/>
        </w:numPr>
      </w:pPr>
      <w:r>
        <w:t>Unnecessary waste of paper and ink when a complete application was printed, since sections that may not be required for a particular program were printed along with those that were required.</w:t>
      </w:r>
    </w:p>
    <w:p w:rsidR="00D435E6" w:rsidRDefault="00D435E6" w:rsidP="00D435E6">
      <w:r>
        <w:t>In order to address these concerns, EDA is dividing the ED-900 into a suite of smaller forms that can be mixed and matched to fit the needs of different program solicitations on grants.gov.  This will ensure that applicants only see the information they are required to provide in order to apply and eliminate the unnecessary waste of paper and ink resources.  In addition, EDA has developed a new “Proposal” form, which will allow applicants to submit significantly less information to EDA in order to get a better understanding of the potential competitiveness of their application.  The following is a crosswalk of the currently approved ED-900 with the proposed new forms:</w:t>
      </w:r>
    </w:p>
    <w:tbl>
      <w:tblPr>
        <w:tblStyle w:val="TableGrid"/>
        <w:tblW w:w="0" w:type="auto"/>
        <w:tblLook w:val="04A0" w:firstRow="1" w:lastRow="0" w:firstColumn="1" w:lastColumn="0" w:noHBand="0" w:noVBand="1"/>
      </w:tblPr>
      <w:tblGrid>
        <w:gridCol w:w="2628"/>
        <w:gridCol w:w="4422"/>
        <w:gridCol w:w="2526"/>
      </w:tblGrid>
      <w:tr w:rsidR="00D435E6" w:rsidRPr="00032FCF" w:rsidTr="00350FAC">
        <w:trPr>
          <w:trHeight w:val="300"/>
          <w:tblHeader/>
        </w:trPr>
        <w:tc>
          <w:tcPr>
            <w:tcW w:w="2628" w:type="dxa"/>
            <w:shd w:val="clear" w:color="auto" w:fill="BFBFBF" w:themeFill="background1" w:themeFillShade="BF"/>
            <w:noWrap/>
            <w:vAlign w:val="bottom"/>
            <w:hideMark/>
          </w:tcPr>
          <w:p w:rsidR="00D435E6" w:rsidRPr="00032FCF" w:rsidRDefault="00D435E6" w:rsidP="00350FAC">
            <w:pPr>
              <w:spacing w:after="100" w:afterAutospacing="1"/>
              <w:rPr>
                <w:b/>
              </w:rPr>
            </w:pPr>
            <w:r w:rsidRPr="00032FCF">
              <w:rPr>
                <w:b/>
              </w:rPr>
              <w:t>Proposed New Form</w:t>
            </w:r>
          </w:p>
        </w:tc>
        <w:tc>
          <w:tcPr>
            <w:tcW w:w="4422" w:type="dxa"/>
            <w:shd w:val="clear" w:color="auto" w:fill="BFBFBF" w:themeFill="background1" w:themeFillShade="BF"/>
            <w:noWrap/>
            <w:vAlign w:val="bottom"/>
            <w:hideMark/>
          </w:tcPr>
          <w:p w:rsidR="00D435E6" w:rsidRPr="00032FCF" w:rsidRDefault="00D435E6" w:rsidP="00350FAC">
            <w:pPr>
              <w:spacing w:after="100" w:afterAutospacing="1"/>
              <w:rPr>
                <w:b/>
              </w:rPr>
            </w:pPr>
            <w:r w:rsidRPr="00032FCF">
              <w:rPr>
                <w:b/>
              </w:rPr>
              <w:t>Content of the Form</w:t>
            </w:r>
          </w:p>
        </w:tc>
        <w:tc>
          <w:tcPr>
            <w:tcW w:w="2526" w:type="dxa"/>
            <w:shd w:val="clear" w:color="auto" w:fill="BFBFBF" w:themeFill="background1" w:themeFillShade="BF"/>
            <w:noWrap/>
            <w:vAlign w:val="bottom"/>
            <w:hideMark/>
          </w:tcPr>
          <w:p w:rsidR="00D435E6" w:rsidRPr="00032FCF" w:rsidRDefault="00D435E6" w:rsidP="00350FAC">
            <w:pPr>
              <w:spacing w:after="100" w:afterAutospacing="1"/>
              <w:rPr>
                <w:b/>
              </w:rPr>
            </w:pPr>
            <w:r w:rsidRPr="00032FCF">
              <w:rPr>
                <w:b/>
              </w:rPr>
              <w:t>Relevant Sections of the Existing ED-900</w:t>
            </w:r>
          </w:p>
        </w:tc>
      </w:tr>
      <w:tr w:rsidR="00D435E6" w:rsidRPr="00032FCF" w:rsidTr="00350FAC">
        <w:trPr>
          <w:trHeight w:val="900"/>
        </w:trPr>
        <w:tc>
          <w:tcPr>
            <w:tcW w:w="2628" w:type="dxa"/>
            <w:hideMark/>
          </w:tcPr>
          <w:p w:rsidR="00D435E6" w:rsidRPr="00032FCF" w:rsidRDefault="00D435E6" w:rsidP="00350FAC">
            <w:r w:rsidRPr="00032FCF">
              <w:t>ED-900 - General Application for EDA Programs</w:t>
            </w:r>
          </w:p>
        </w:tc>
        <w:tc>
          <w:tcPr>
            <w:tcW w:w="4422" w:type="dxa"/>
            <w:hideMark/>
          </w:tcPr>
          <w:p w:rsidR="00D435E6" w:rsidRPr="00032FCF" w:rsidRDefault="00D435E6" w:rsidP="00350FAC">
            <w:r w:rsidRPr="00032FCF">
              <w:t>Questions that pertain to all EDA programs, including Project Narrative questions (geographic coverage, scope of work, potential impacts), budget narrative, and eligibility questions</w:t>
            </w:r>
            <w:r>
              <w:t>.</w:t>
            </w:r>
          </w:p>
        </w:tc>
        <w:tc>
          <w:tcPr>
            <w:tcW w:w="2526" w:type="dxa"/>
            <w:hideMark/>
          </w:tcPr>
          <w:p w:rsidR="00D435E6" w:rsidRPr="00032FCF" w:rsidRDefault="00D435E6" w:rsidP="00350FAC">
            <w:r w:rsidRPr="00032FCF">
              <w:t>Sections A, B, C, D, E, K</w:t>
            </w:r>
          </w:p>
        </w:tc>
      </w:tr>
      <w:tr w:rsidR="00D435E6" w:rsidRPr="00032FCF" w:rsidTr="00350FAC">
        <w:trPr>
          <w:trHeight w:val="600"/>
        </w:trPr>
        <w:tc>
          <w:tcPr>
            <w:tcW w:w="2628" w:type="dxa"/>
            <w:hideMark/>
          </w:tcPr>
          <w:p w:rsidR="00D435E6" w:rsidRPr="00032FCF" w:rsidRDefault="00D435E6" w:rsidP="00350FAC">
            <w:r w:rsidRPr="00032FCF">
              <w:t>ED-900A - Additional EDA Assurances</w:t>
            </w:r>
          </w:p>
        </w:tc>
        <w:tc>
          <w:tcPr>
            <w:tcW w:w="4422" w:type="dxa"/>
            <w:hideMark/>
          </w:tcPr>
          <w:p w:rsidR="00D435E6" w:rsidRPr="00032FCF" w:rsidRDefault="00D435E6" w:rsidP="00350FAC">
            <w:r w:rsidRPr="00032FCF">
              <w:t>Specific assurances that applicants need to provide in order to apply for EDA funding</w:t>
            </w:r>
            <w:r>
              <w:t>.</w:t>
            </w:r>
          </w:p>
        </w:tc>
        <w:tc>
          <w:tcPr>
            <w:tcW w:w="2526" w:type="dxa"/>
            <w:hideMark/>
          </w:tcPr>
          <w:p w:rsidR="00D435E6" w:rsidRPr="00032FCF" w:rsidRDefault="00D435E6" w:rsidP="00350FAC">
            <w:r w:rsidRPr="00032FCF">
              <w:t xml:space="preserve">Exhibits B, C, and D </w:t>
            </w:r>
          </w:p>
        </w:tc>
      </w:tr>
      <w:tr w:rsidR="00D435E6" w:rsidRPr="00032FCF" w:rsidTr="00350FAC">
        <w:trPr>
          <w:trHeight w:val="900"/>
        </w:trPr>
        <w:tc>
          <w:tcPr>
            <w:tcW w:w="2628" w:type="dxa"/>
            <w:hideMark/>
          </w:tcPr>
          <w:p w:rsidR="00D435E6" w:rsidRPr="00032FCF" w:rsidRDefault="00D435E6" w:rsidP="00350FAC">
            <w:r w:rsidRPr="00032FCF">
              <w:t>ED-900B - Beneficiary Information Form</w:t>
            </w:r>
          </w:p>
        </w:tc>
        <w:tc>
          <w:tcPr>
            <w:tcW w:w="4422" w:type="dxa"/>
            <w:hideMark/>
          </w:tcPr>
          <w:p w:rsidR="00D435E6" w:rsidRPr="00032FCF" w:rsidRDefault="00D435E6" w:rsidP="00350FAC">
            <w:r w:rsidRPr="00032FCF">
              <w:t xml:space="preserve">Specific assurances required from beneficiaries of EDA funding, including documentation of estimated jobs and private investment resulting from the EDA project.  </w:t>
            </w:r>
          </w:p>
        </w:tc>
        <w:tc>
          <w:tcPr>
            <w:tcW w:w="2526" w:type="dxa"/>
            <w:hideMark/>
          </w:tcPr>
          <w:p w:rsidR="00D435E6" w:rsidRPr="00032FCF" w:rsidRDefault="00D435E6" w:rsidP="00350FAC">
            <w:r w:rsidRPr="00032FCF">
              <w:t>Exhibit A</w:t>
            </w:r>
          </w:p>
        </w:tc>
      </w:tr>
      <w:tr w:rsidR="00D435E6" w:rsidRPr="00032FCF" w:rsidTr="00350FAC">
        <w:trPr>
          <w:trHeight w:val="600"/>
        </w:trPr>
        <w:tc>
          <w:tcPr>
            <w:tcW w:w="2628" w:type="dxa"/>
            <w:hideMark/>
          </w:tcPr>
          <w:p w:rsidR="00D435E6" w:rsidRPr="00032FCF" w:rsidRDefault="00D435E6" w:rsidP="00350FAC">
            <w:r w:rsidRPr="00032FCF">
              <w:t>ED-900C - EDA Application Supplement for Construction Programs</w:t>
            </w:r>
          </w:p>
        </w:tc>
        <w:tc>
          <w:tcPr>
            <w:tcW w:w="4422" w:type="dxa"/>
            <w:hideMark/>
          </w:tcPr>
          <w:p w:rsidR="00D435E6" w:rsidRPr="00032FCF" w:rsidRDefault="00D435E6" w:rsidP="00350FAC">
            <w:r w:rsidRPr="00032FCF">
              <w:t>Information required from construction applicants as part of a full application after the proposal has been approved.</w:t>
            </w:r>
          </w:p>
        </w:tc>
        <w:tc>
          <w:tcPr>
            <w:tcW w:w="2526" w:type="dxa"/>
            <w:hideMark/>
          </w:tcPr>
          <w:p w:rsidR="00D435E6" w:rsidRPr="00032FCF" w:rsidRDefault="00D435E6" w:rsidP="00350FAC">
            <w:r w:rsidRPr="00032FCF">
              <w:t>Section M, except questions included in the ED-900P Proposal Form.</w:t>
            </w:r>
          </w:p>
        </w:tc>
      </w:tr>
      <w:tr w:rsidR="00D435E6" w:rsidRPr="00032FCF" w:rsidTr="00350FAC">
        <w:trPr>
          <w:trHeight w:val="900"/>
        </w:trPr>
        <w:tc>
          <w:tcPr>
            <w:tcW w:w="2628" w:type="dxa"/>
            <w:hideMark/>
          </w:tcPr>
          <w:p w:rsidR="00D435E6" w:rsidRPr="00032FCF" w:rsidRDefault="00D435E6" w:rsidP="00350FAC">
            <w:r w:rsidRPr="00032FCF">
              <w:t>ED-900D - Requirements for Design and Engineering Assistance</w:t>
            </w:r>
          </w:p>
        </w:tc>
        <w:tc>
          <w:tcPr>
            <w:tcW w:w="4422" w:type="dxa"/>
            <w:hideMark/>
          </w:tcPr>
          <w:p w:rsidR="00D435E6" w:rsidRPr="00032FCF" w:rsidRDefault="00D435E6" w:rsidP="00350FAC">
            <w:r w:rsidRPr="00032FCF">
              <w:t>Information required from design/engineering only applicants as part of a full application after the proposal has been approved.</w:t>
            </w:r>
          </w:p>
        </w:tc>
        <w:tc>
          <w:tcPr>
            <w:tcW w:w="2526" w:type="dxa"/>
            <w:hideMark/>
          </w:tcPr>
          <w:p w:rsidR="00D435E6" w:rsidRPr="00032FCF" w:rsidRDefault="00D435E6" w:rsidP="00350FAC">
            <w:r w:rsidRPr="00032FCF">
              <w:t>Section N</w:t>
            </w:r>
          </w:p>
        </w:tc>
      </w:tr>
      <w:tr w:rsidR="00D435E6" w:rsidRPr="00032FCF" w:rsidTr="00350FAC">
        <w:trPr>
          <w:trHeight w:val="900"/>
        </w:trPr>
        <w:tc>
          <w:tcPr>
            <w:tcW w:w="2628" w:type="dxa"/>
            <w:hideMark/>
          </w:tcPr>
          <w:p w:rsidR="00D435E6" w:rsidRPr="00032FCF" w:rsidRDefault="00D435E6" w:rsidP="00350FAC">
            <w:r w:rsidRPr="00032FCF">
              <w:t>ED-900E - Calculation of Estimated Relocation and Acquisition Expenses</w:t>
            </w:r>
          </w:p>
        </w:tc>
        <w:tc>
          <w:tcPr>
            <w:tcW w:w="4422" w:type="dxa"/>
            <w:hideMark/>
          </w:tcPr>
          <w:p w:rsidR="00D435E6" w:rsidRPr="00032FCF" w:rsidRDefault="00D435E6" w:rsidP="00350FAC">
            <w:r w:rsidRPr="00032FCF">
              <w:t>Provides detailed breakdown of the estimated total for line item 3 ("relocation expenses and payments") of Form SF-424C, 'Budget Information - Construction Programs</w:t>
            </w:r>
            <w:r>
              <w:t xml:space="preserve"> to comply with the </w:t>
            </w:r>
            <w:r w:rsidRPr="00032FCF">
              <w:t xml:space="preserve">Uniform </w:t>
            </w:r>
            <w:r w:rsidRPr="00032FCF">
              <w:lastRenderedPageBreak/>
              <w:t>Relocation Act</w:t>
            </w:r>
            <w:r>
              <w:t>.</w:t>
            </w:r>
          </w:p>
        </w:tc>
        <w:tc>
          <w:tcPr>
            <w:tcW w:w="2526" w:type="dxa"/>
            <w:hideMark/>
          </w:tcPr>
          <w:p w:rsidR="00D435E6" w:rsidRPr="00032FCF" w:rsidRDefault="00D435E6" w:rsidP="00350FAC">
            <w:r w:rsidRPr="00032FCF">
              <w:lastRenderedPageBreak/>
              <w:t>Exhibit E</w:t>
            </w:r>
          </w:p>
        </w:tc>
      </w:tr>
      <w:tr w:rsidR="00D435E6" w:rsidRPr="00032FCF" w:rsidTr="00350FAC">
        <w:trPr>
          <w:trHeight w:val="600"/>
        </w:trPr>
        <w:tc>
          <w:tcPr>
            <w:tcW w:w="2628" w:type="dxa"/>
            <w:hideMark/>
          </w:tcPr>
          <w:p w:rsidR="00D435E6" w:rsidRPr="00032FCF" w:rsidRDefault="00D435E6" w:rsidP="00350FAC">
            <w:r w:rsidRPr="00032FCF">
              <w:lastRenderedPageBreak/>
              <w:t>ED-900F - Supplement for Revolving Loan Fund Applications</w:t>
            </w:r>
          </w:p>
        </w:tc>
        <w:tc>
          <w:tcPr>
            <w:tcW w:w="4422" w:type="dxa"/>
            <w:hideMark/>
          </w:tcPr>
          <w:p w:rsidR="00D435E6" w:rsidRPr="00032FCF" w:rsidRDefault="00D435E6" w:rsidP="00350FAC">
            <w:r w:rsidRPr="00032FCF">
              <w:t xml:space="preserve">Information required </w:t>
            </w:r>
            <w:proofErr w:type="gramStart"/>
            <w:r w:rsidRPr="00032FCF">
              <w:t>to evaluate</w:t>
            </w:r>
            <w:proofErr w:type="gramEnd"/>
            <w:r w:rsidRPr="00032FCF">
              <w:t xml:space="preserve"> the competitiveness of a revolving loan fund application.</w:t>
            </w:r>
          </w:p>
        </w:tc>
        <w:tc>
          <w:tcPr>
            <w:tcW w:w="2526" w:type="dxa"/>
            <w:hideMark/>
          </w:tcPr>
          <w:p w:rsidR="00D435E6" w:rsidRPr="00032FCF" w:rsidRDefault="00D435E6" w:rsidP="00350FAC">
            <w:r w:rsidRPr="00032FCF">
              <w:t>Section L</w:t>
            </w:r>
          </w:p>
        </w:tc>
      </w:tr>
      <w:tr w:rsidR="00D435E6" w:rsidRPr="00032FCF" w:rsidTr="00350FAC">
        <w:trPr>
          <w:trHeight w:val="1500"/>
        </w:trPr>
        <w:tc>
          <w:tcPr>
            <w:tcW w:w="2628" w:type="dxa"/>
            <w:hideMark/>
          </w:tcPr>
          <w:p w:rsidR="00D435E6" w:rsidRPr="00032FCF" w:rsidRDefault="00D435E6" w:rsidP="00350FAC">
            <w:r w:rsidRPr="00032FCF">
              <w:t>ED-900P - Proposal for EDA Assistance</w:t>
            </w:r>
          </w:p>
        </w:tc>
        <w:tc>
          <w:tcPr>
            <w:tcW w:w="4422" w:type="dxa"/>
            <w:hideMark/>
          </w:tcPr>
          <w:p w:rsidR="00D435E6" w:rsidRPr="00032FCF" w:rsidRDefault="00D435E6" w:rsidP="00350FAC">
            <w:r w:rsidRPr="00032FCF">
              <w:t>New general questions to allow applicants to give a broad overview of their proposed project/scope of work.</w:t>
            </w:r>
          </w:p>
        </w:tc>
        <w:tc>
          <w:tcPr>
            <w:tcW w:w="2526" w:type="dxa"/>
            <w:hideMark/>
          </w:tcPr>
          <w:p w:rsidR="00D435E6" w:rsidRPr="00032FCF" w:rsidRDefault="00D435E6" w:rsidP="00350FAC">
            <w:r w:rsidRPr="00032FCF">
              <w:t>For all applicants, new questions not contained in the ED-900.</w:t>
            </w:r>
            <w:r w:rsidRPr="00032FCF">
              <w:br/>
              <w:t>For construction applicants only, portions of section M not covered in the ED-900C Construction Form.</w:t>
            </w:r>
          </w:p>
        </w:tc>
      </w:tr>
      <w:tr w:rsidR="00D435E6" w:rsidRPr="00032FCF" w:rsidTr="00350FAC">
        <w:trPr>
          <w:trHeight w:val="900"/>
        </w:trPr>
        <w:tc>
          <w:tcPr>
            <w:tcW w:w="2628" w:type="dxa"/>
            <w:hideMark/>
          </w:tcPr>
          <w:p w:rsidR="00D435E6" w:rsidRPr="00032FCF" w:rsidRDefault="00D435E6" w:rsidP="00350FAC">
            <w:r w:rsidRPr="00032FCF">
              <w:t>Environmental Narrative and Applicant Certification Clause</w:t>
            </w:r>
          </w:p>
        </w:tc>
        <w:tc>
          <w:tcPr>
            <w:tcW w:w="4422" w:type="dxa"/>
            <w:hideMark/>
          </w:tcPr>
          <w:p w:rsidR="00D435E6" w:rsidRPr="00032FCF" w:rsidRDefault="00D435E6" w:rsidP="00350FAC">
            <w:r w:rsidRPr="00032FCF">
              <w:t xml:space="preserve">Template to guide the applicant through the development of an environmental narrative that satisfies the requirements of the National Environmental Policy Act (NEPA).  </w:t>
            </w:r>
          </w:p>
        </w:tc>
        <w:tc>
          <w:tcPr>
            <w:tcW w:w="2526" w:type="dxa"/>
            <w:hideMark/>
          </w:tcPr>
          <w:p w:rsidR="00D435E6" w:rsidRPr="00032FCF" w:rsidRDefault="00D435E6" w:rsidP="00350FAC">
            <w:r w:rsidRPr="00032FCF">
              <w:t>Referenced in section M.8, with separate documents posted on EDA's website.</w:t>
            </w:r>
          </w:p>
        </w:tc>
      </w:tr>
    </w:tbl>
    <w:p w:rsidR="00D435E6" w:rsidRDefault="00D435E6" w:rsidP="00D435E6"/>
    <w:p w:rsidR="00A746F2" w:rsidRPr="00234FDD" w:rsidRDefault="00A746F2" w:rsidP="005611F6">
      <w:pPr>
        <w:pStyle w:val="Heading2"/>
      </w:pPr>
      <w:r w:rsidRPr="00234FDD">
        <w:t xml:space="preserve">For collections </w:t>
      </w:r>
      <w:r w:rsidR="00E95422" w:rsidRPr="00234FDD">
        <w:t>whose collections</w:t>
      </w:r>
      <w:r w:rsidRPr="00234FDD">
        <w:t xml:space="preserve"> will be published, outline</w:t>
      </w:r>
      <w:r w:rsidR="00E95422" w:rsidRPr="00234FDD">
        <w:t xml:space="preserve"> the</w:t>
      </w:r>
      <w:r w:rsidRPr="00234FDD">
        <w:t xml:space="preserve"> plans for tabulation and publication.</w:t>
      </w:r>
    </w:p>
    <w:p w:rsidR="00547C06" w:rsidRDefault="00547C06" w:rsidP="005611F6">
      <w:r w:rsidRPr="00234FDD">
        <w:t xml:space="preserve">Specific details of </w:t>
      </w:r>
      <w:r w:rsidR="006D4912" w:rsidRPr="00234FDD">
        <w:t xml:space="preserve">information collected </w:t>
      </w:r>
      <w:r w:rsidRPr="00234FDD">
        <w:t xml:space="preserve">from respondents </w:t>
      </w:r>
      <w:r w:rsidR="006D4912" w:rsidRPr="00234FDD">
        <w:t xml:space="preserve">will </w:t>
      </w:r>
      <w:r w:rsidRPr="00234FDD">
        <w:t xml:space="preserve">generally </w:t>
      </w:r>
      <w:r w:rsidR="006D4912" w:rsidRPr="00234FDD">
        <w:t>not be published.</w:t>
      </w:r>
      <w:r w:rsidRPr="00234FDD">
        <w:t xml:space="preserve">  </w:t>
      </w:r>
      <w:r w:rsidR="006D4912" w:rsidRPr="00234FDD">
        <w:t xml:space="preserve">However, some of the information collected may be published in aggregate form </w:t>
      </w:r>
      <w:r w:rsidRPr="00234FDD">
        <w:t>as part of EDA’s annual report, G</w:t>
      </w:r>
      <w:r w:rsidR="005160E9">
        <w:t xml:space="preserve">overnment </w:t>
      </w:r>
      <w:r w:rsidRPr="00234FDD">
        <w:t>P</w:t>
      </w:r>
      <w:r w:rsidR="005160E9">
        <w:t xml:space="preserve">erformance and </w:t>
      </w:r>
      <w:r w:rsidRPr="00234FDD">
        <w:t>R</w:t>
      </w:r>
      <w:r w:rsidR="005160E9">
        <w:t xml:space="preserve">esults </w:t>
      </w:r>
      <w:r w:rsidRPr="00234FDD">
        <w:t>A</w:t>
      </w:r>
      <w:r w:rsidR="005160E9">
        <w:t>ct</w:t>
      </w:r>
      <w:r w:rsidRPr="00234FDD">
        <w:t xml:space="preserve"> reporting</w:t>
      </w:r>
      <w:r w:rsidR="00370C23" w:rsidRPr="00234FDD">
        <w:t>,</w:t>
      </w:r>
      <w:r w:rsidRPr="00234FDD">
        <w:t xml:space="preserve"> EDA’s Balanced Scorecard</w:t>
      </w:r>
      <w:r w:rsidR="00370C23" w:rsidRPr="00234FDD">
        <w:t xml:space="preserve"> or other</w:t>
      </w:r>
      <w:r w:rsidRPr="00234FDD">
        <w:t xml:space="preserve"> summar</w:t>
      </w:r>
      <w:r w:rsidR="00370C23" w:rsidRPr="00234FDD">
        <w:t>y report</w:t>
      </w:r>
      <w:r w:rsidR="00E97AB8">
        <w:t>s</w:t>
      </w:r>
      <w:r w:rsidRPr="00234FDD">
        <w:t xml:space="preserve">.  </w:t>
      </w:r>
    </w:p>
    <w:p w:rsidR="00A746F2" w:rsidRPr="00234FDD" w:rsidRDefault="00A746F2" w:rsidP="005611F6">
      <w:pPr>
        <w:pStyle w:val="Heading2"/>
      </w:pPr>
      <w:r w:rsidRPr="00234FDD">
        <w:t>If seeking approval to not display the expiration date for OMB approval of the information collection, explain the reasons that the display would be inappropriate.</w:t>
      </w:r>
    </w:p>
    <w:p w:rsidR="006B4D92" w:rsidRDefault="00E97AB8" w:rsidP="005611F6">
      <w:r>
        <w:t xml:space="preserve">Not Applicable. </w:t>
      </w:r>
    </w:p>
    <w:p w:rsidR="00A746F2" w:rsidRPr="00234FDD" w:rsidRDefault="00A746F2" w:rsidP="005611F6">
      <w:pPr>
        <w:pStyle w:val="Heading2"/>
      </w:pPr>
      <w:r w:rsidRPr="00234FDD">
        <w:t xml:space="preserve">Explain each exception to the </w:t>
      </w:r>
      <w:r w:rsidR="00E95422" w:rsidRPr="00234FDD">
        <w:t>c</w:t>
      </w:r>
      <w:r w:rsidRPr="00234FDD">
        <w:t xml:space="preserve">ertification statement. </w:t>
      </w:r>
    </w:p>
    <w:p w:rsidR="00547C06" w:rsidRPr="00234FDD" w:rsidRDefault="007E6133" w:rsidP="005611F6">
      <w:r w:rsidRPr="00234FDD">
        <w:t>No exceptions are requested.</w:t>
      </w:r>
    </w:p>
    <w:p w:rsidR="00A746F2" w:rsidRPr="00234FDD" w:rsidRDefault="00A746F2" w:rsidP="005611F6">
      <w:pPr>
        <w:pStyle w:val="Heading1"/>
      </w:pPr>
      <w:r w:rsidRPr="00234FDD">
        <w:t>B.  COLLECTIONS OF INFORMATION EMPLOYING STATISTICAL METHODS</w:t>
      </w:r>
    </w:p>
    <w:p w:rsidR="004534DA" w:rsidRPr="00234FDD" w:rsidRDefault="005851F6" w:rsidP="005611F6">
      <w:pPr>
        <w:spacing w:before="120"/>
      </w:pPr>
      <w:r w:rsidRPr="00234FDD">
        <w:t xml:space="preserve">This information collection does not employ statistical methods.  </w:t>
      </w:r>
    </w:p>
    <w:sectPr w:rsidR="004534DA" w:rsidRPr="00234FDD" w:rsidSect="00234FDD">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FC2" w:rsidRDefault="00352FC2" w:rsidP="005611F6">
      <w:r>
        <w:separator/>
      </w:r>
    </w:p>
  </w:endnote>
  <w:endnote w:type="continuationSeparator" w:id="0">
    <w:p w:rsidR="00352FC2" w:rsidRDefault="00352FC2" w:rsidP="0056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8E" w:rsidRDefault="006A628E" w:rsidP="005611F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6A628E" w:rsidRDefault="006A628E" w:rsidP="005611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8E" w:rsidRDefault="006A628E" w:rsidP="005611F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AA1764">
      <w:rPr>
        <w:rStyle w:val="PageNumber"/>
        <w:noProof/>
      </w:rPr>
      <w:t>2</w:t>
    </w:r>
    <w:r>
      <w:rPr>
        <w:rStyle w:val="PageNumber"/>
      </w:rPr>
      <w:fldChar w:fldCharType="end"/>
    </w:r>
  </w:p>
  <w:p w:rsidR="006A628E" w:rsidRPr="000527F8" w:rsidRDefault="006A628E" w:rsidP="005611F6">
    <w:pPr>
      <w:pStyle w:val="Head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FC2" w:rsidRDefault="00352FC2" w:rsidP="005611F6">
      <w:r>
        <w:separator/>
      </w:r>
    </w:p>
  </w:footnote>
  <w:footnote w:type="continuationSeparator" w:id="0">
    <w:p w:rsidR="00352FC2" w:rsidRDefault="00352FC2" w:rsidP="005611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5313"/>
    <w:multiLevelType w:val="hybridMultilevel"/>
    <w:tmpl w:val="6C883D66"/>
    <w:lvl w:ilvl="0" w:tplc="CCB24E9C">
      <w:start w:val="1"/>
      <w:numFmt w:val="decimal"/>
      <w:pStyle w:val="Heading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D47E71"/>
    <w:multiLevelType w:val="hybridMultilevel"/>
    <w:tmpl w:val="4D426AF4"/>
    <w:lvl w:ilvl="0" w:tplc="1F6AA90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415AEF"/>
    <w:multiLevelType w:val="hybridMultilevel"/>
    <w:tmpl w:val="AA4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2E6DE9"/>
    <w:multiLevelType w:val="hybridMultilevel"/>
    <w:tmpl w:val="130401A4"/>
    <w:lvl w:ilvl="0" w:tplc="2B46A37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A94B17"/>
    <w:multiLevelType w:val="hybridMultilevel"/>
    <w:tmpl w:val="80ACCE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FAB1539"/>
    <w:multiLevelType w:val="singleLevel"/>
    <w:tmpl w:val="C68C797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6">
    <w:nsid w:val="676D208C"/>
    <w:multiLevelType w:val="hybridMultilevel"/>
    <w:tmpl w:val="4462D980"/>
    <w:lvl w:ilvl="0" w:tplc="316C6A7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6"/>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9A"/>
    <w:rsid w:val="00003E15"/>
    <w:rsid w:val="00021E31"/>
    <w:rsid w:val="00027B6B"/>
    <w:rsid w:val="00030AD4"/>
    <w:rsid w:val="00032FCF"/>
    <w:rsid w:val="000527F8"/>
    <w:rsid w:val="00052E54"/>
    <w:rsid w:val="00060E5B"/>
    <w:rsid w:val="00070F61"/>
    <w:rsid w:val="00074760"/>
    <w:rsid w:val="000772D7"/>
    <w:rsid w:val="0008036E"/>
    <w:rsid w:val="000842F1"/>
    <w:rsid w:val="00090CFE"/>
    <w:rsid w:val="000A3517"/>
    <w:rsid w:val="000B5C83"/>
    <w:rsid w:val="000C32A9"/>
    <w:rsid w:val="000C6550"/>
    <w:rsid w:val="000D3319"/>
    <w:rsid w:val="000D3E78"/>
    <w:rsid w:val="000E65AE"/>
    <w:rsid w:val="000F0F5D"/>
    <w:rsid w:val="000F2B4F"/>
    <w:rsid w:val="00102953"/>
    <w:rsid w:val="00103680"/>
    <w:rsid w:val="00137A26"/>
    <w:rsid w:val="00140495"/>
    <w:rsid w:val="00171691"/>
    <w:rsid w:val="001739BB"/>
    <w:rsid w:val="00174E7B"/>
    <w:rsid w:val="00180E14"/>
    <w:rsid w:val="001914C7"/>
    <w:rsid w:val="00192F63"/>
    <w:rsid w:val="001A075D"/>
    <w:rsid w:val="001A424A"/>
    <w:rsid w:val="001A4B37"/>
    <w:rsid w:val="001B38E8"/>
    <w:rsid w:val="001C19B3"/>
    <w:rsid w:val="001E0748"/>
    <w:rsid w:val="001E135C"/>
    <w:rsid w:val="001E4C83"/>
    <w:rsid w:val="001E7F5D"/>
    <w:rsid w:val="00203B77"/>
    <w:rsid w:val="0020454E"/>
    <w:rsid w:val="00206596"/>
    <w:rsid w:val="00212CDF"/>
    <w:rsid w:val="00215943"/>
    <w:rsid w:val="0022171B"/>
    <w:rsid w:val="002273E9"/>
    <w:rsid w:val="00234FDD"/>
    <w:rsid w:val="0024231D"/>
    <w:rsid w:val="00242804"/>
    <w:rsid w:val="00253A4B"/>
    <w:rsid w:val="00254CDF"/>
    <w:rsid w:val="00257EEF"/>
    <w:rsid w:val="002718BB"/>
    <w:rsid w:val="002820C7"/>
    <w:rsid w:val="002837C6"/>
    <w:rsid w:val="00287C43"/>
    <w:rsid w:val="00296CD7"/>
    <w:rsid w:val="002A372E"/>
    <w:rsid w:val="002A3AF9"/>
    <w:rsid w:val="002C082B"/>
    <w:rsid w:val="002C1069"/>
    <w:rsid w:val="002D329A"/>
    <w:rsid w:val="002E0935"/>
    <w:rsid w:val="002E34F9"/>
    <w:rsid w:val="002F0EA0"/>
    <w:rsid w:val="002F477A"/>
    <w:rsid w:val="00301147"/>
    <w:rsid w:val="00303241"/>
    <w:rsid w:val="0030739B"/>
    <w:rsid w:val="00325520"/>
    <w:rsid w:val="00326CD0"/>
    <w:rsid w:val="0034523A"/>
    <w:rsid w:val="00346233"/>
    <w:rsid w:val="00347534"/>
    <w:rsid w:val="00352FC2"/>
    <w:rsid w:val="00370507"/>
    <w:rsid w:val="00370C23"/>
    <w:rsid w:val="00372799"/>
    <w:rsid w:val="00376874"/>
    <w:rsid w:val="003824B9"/>
    <w:rsid w:val="00395DAC"/>
    <w:rsid w:val="003A07BB"/>
    <w:rsid w:val="003A31C7"/>
    <w:rsid w:val="003A54C1"/>
    <w:rsid w:val="003B6C9B"/>
    <w:rsid w:val="003B7DE6"/>
    <w:rsid w:val="003C072C"/>
    <w:rsid w:val="003D1C68"/>
    <w:rsid w:val="003D64D3"/>
    <w:rsid w:val="003D6BD4"/>
    <w:rsid w:val="003E587F"/>
    <w:rsid w:val="004160CA"/>
    <w:rsid w:val="00423679"/>
    <w:rsid w:val="00426DB8"/>
    <w:rsid w:val="004304B6"/>
    <w:rsid w:val="0044339B"/>
    <w:rsid w:val="00447F1B"/>
    <w:rsid w:val="00451BCC"/>
    <w:rsid w:val="0045202E"/>
    <w:rsid w:val="004534DA"/>
    <w:rsid w:val="004566A4"/>
    <w:rsid w:val="004618C6"/>
    <w:rsid w:val="0047727D"/>
    <w:rsid w:val="0048183F"/>
    <w:rsid w:val="004914E5"/>
    <w:rsid w:val="00492B51"/>
    <w:rsid w:val="00495868"/>
    <w:rsid w:val="004A773D"/>
    <w:rsid w:val="004D0098"/>
    <w:rsid w:val="004F2EE4"/>
    <w:rsid w:val="004F392A"/>
    <w:rsid w:val="004F3C67"/>
    <w:rsid w:val="004F6AE1"/>
    <w:rsid w:val="00502AB9"/>
    <w:rsid w:val="005160E9"/>
    <w:rsid w:val="0053612E"/>
    <w:rsid w:val="00537D1D"/>
    <w:rsid w:val="00547C06"/>
    <w:rsid w:val="00556DEB"/>
    <w:rsid w:val="005611F6"/>
    <w:rsid w:val="00580E30"/>
    <w:rsid w:val="005851F6"/>
    <w:rsid w:val="0059106B"/>
    <w:rsid w:val="005924D2"/>
    <w:rsid w:val="0059552B"/>
    <w:rsid w:val="00595703"/>
    <w:rsid w:val="005A685D"/>
    <w:rsid w:val="005A6BEE"/>
    <w:rsid w:val="005B60F8"/>
    <w:rsid w:val="005C3FFA"/>
    <w:rsid w:val="005D5D93"/>
    <w:rsid w:val="005E0D43"/>
    <w:rsid w:val="005F04CB"/>
    <w:rsid w:val="00600DAD"/>
    <w:rsid w:val="00606CED"/>
    <w:rsid w:val="00607384"/>
    <w:rsid w:val="00615E41"/>
    <w:rsid w:val="00623E8A"/>
    <w:rsid w:val="00626137"/>
    <w:rsid w:val="00634E1F"/>
    <w:rsid w:val="006360ED"/>
    <w:rsid w:val="00636A6D"/>
    <w:rsid w:val="006403D6"/>
    <w:rsid w:val="006445AE"/>
    <w:rsid w:val="00644802"/>
    <w:rsid w:val="00644919"/>
    <w:rsid w:val="00652449"/>
    <w:rsid w:val="00656142"/>
    <w:rsid w:val="00670CA2"/>
    <w:rsid w:val="006772F1"/>
    <w:rsid w:val="006968D3"/>
    <w:rsid w:val="006A628E"/>
    <w:rsid w:val="006B4D92"/>
    <w:rsid w:val="006C0701"/>
    <w:rsid w:val="006C0A25"/>
    <w:rsid w:val="006C3D32"/>
    <w:rsid w:val="006C4715"/>
    <w:rsid w:val="006C7E55"/>
    <w:rsid w:val="006D4912"/>
    <w:rsid w:val="006D5940"/>
    <w:rsid w:val="006E1484"/>
    <w:rsid w:val="006F2BDE"/>
    <w:rsid w:val="00717A96"/>
    <w:rsid w:val="00720BC0"/>
    <w:rsid w:val="00722A9D"/>
    <w:rsid w:val="007264A8"/>
    <w:rsid w:val="00745C11"/>
    <w:rsid w:val="00752595"/>
    <w:rsid w:val="0075489B"/>
    <w:rsid w:val="00790C8F"/>
    <w:rsid w:val="007971B4"/>
    <w:rsid w:val="007B0DF1"/>
    <w:rsid w:val="007B2750"/>
    <w:rsid w:val="007B3A31"/>
    <w:rsid w:val="007B4488"/>
    <w:rsid w:val="007C4D09"/>
    <w:rsid w:val="007C7136"/>
    <w:rsid w:val="007E6133"/>
    <w:rsid w:val="007F1BBD"/>
    <w:rsid w:val="007F1DB1"/>
    <w:rsid w:val="007F45E3"/>
    <w:rsid w:val="007F57BC"/>
    <w:rsid w:val="00801042"/>
    <w:rsid w:val="00805228"/>
    <w:rsid w:val="0080783E"/>
    <w:rsid w:val="00807844"/>
    <w:rsid w:val="00811B4D"/>
    <w:rsid w:val="00814916"/>
    <w:rsid w:val="00816415"/>
    <w:rsid w:val="00826565"/>
    <w:rsid w:val="00832BD2"/>
    <w:rsid w:val="00834B40"/>
    <w:rsid w:val="00842E38"/>
    <w:rsid w:val="0085092A"/>
    <w:rsid w:val="008627EA"/>
    <w:rsid w:val="00863A5D"/>
    <w:rsid w:val="008673BE"/>
    <w:rsid w:val="00870116"/>
    <w:rsid w:val="008701AC"/>
    <w:rsid w:val="008767A1"/>
    <w:rsid w:val="00884019"/>
    <w:rsid w:val="0088486D"/>
    <w:rsid w:val="00887109"/>
    <w:rsid w:val="00893714"/>
    <w:rsid w:val="008B0A94"/>
    <w:rsid w:val="008B1E4F"/>
    <w:rsid w:val="008C16E4"/>
    <w:rsid w:val="008C4965"/>
    <w:rsid w:val="008D252F"/>
    <w:rsid w:val="00901C83"/>
    <w:rsid w:val="00904CC7"/>
    <w:rsid w:val="009065DE"/>
    <w:rsid w:val="00907436"/>
    <w:rsid w:val="00924416"/>
    <w:rsid w:val="00927810"/>
    <w:rsid w:val="00930C88"/>
    <w:rsid w:val="00934E8B"/>
    <w:rsid w:val="00936C99"/>
    <w:rsid w:val="00947138"/>
    <w:rsid w:val="00966204"/>
    <w:rsid w:val="009670CC"/>
    <w:rsid w:val="00983F80"/>
    <w:rsid w:val="00986CE3"/>
    <w:rsid w:val="00987A66"/>
    <w:rsid w:val="009A1374"/>
    <w:rsid w:val="009A1F5F"/>
    <w:rsid w:val="009B0669"/>
    <w:rsid w:val="009C3726"/>
    <w:rsid w:val="009D1A14"/>
    <w:rsid w:val="009E451D"/>
    <w:rsid w:val="009F5916"/>
    <w:rsid w:val="00A00789"/>
    <w:rsid w:val="00A01CDF"/>
    <w:rsid w:val="00A13D39"/>
    <w:rsid w:val="00A14E2E"/>
    <w:rsid w:val="00A24C82"/>
    <w:rsid w:val="00A305DD"/>
    <w:rsid w:val="00A3531A"/>
    <w:rsid w:val="00A43B27"/>
    <w:rsid w:val="00A648A2"/>
    <w:rsid w:val="00A702CA"/>
    <w:rsid w:val="00A72A08"/>
    <w:rsid w:val="00A746F2"/>
    <w:rsid w:val="00A81480"/>
    <w:rsid w:val="00A84DE7"/>
    <w:rsid w:val="00A87805"/>
    <w:rsid w:val="00A92CA3"/>
    <w:rsid w:val="00AA1764"/>
    <w:rsid w:val="00AA3954"/>
    <w:rsid w:val="00AC2110"/>
    <w:rsid w:val="00AC26CD"/>
    <w:rsid w:val="00AC399F"/>
    <w:rsid w:val="00AC707A"/>
    <w:rsid w:val="00AD26B6"/>
    <w:rsid w:val="00AE6732"/>
    <w:rsid w:val="00AE75E0"/>
    <w:rsid w:val="00AF5DB6"/>
    <w:rsid w:val="00B00EC9"/>
    <w:rsid w:val="00B42740"/>
    <w:rsid w:val="00B63FEF"/>
    <w:rsid w:val="00B70989"/>
    <w:rsid w:val="00B71FF2"/>
    <w:rsid w:val="00B745A6"/>
    <w:rsid w:val="00B848AB"/>
    <w:rsid w:val="00B86B72"/>
    <w:rsid w:val="00B95D08"/>
    <w:rsid w:val="00B9612E"/>
    <w:rsid w:val="00B9734A"/>
    <w:rsid w:val="00BA0AC0"/>
    <w:rsid w:val="00BA53F2"/>
    <w:rsid w:val="00BA73FA"/>
    <w:rsid w:val="00BB10DF"/>
    <w:rsid w:val="00BB1419"/>
    <w:rsid w:val="00BB66D8"/>
    <w:rsid w:val="00BC5DA5"/>
    <w:rsid w:val="00BD2D14"/>
    <w:rsid w:val="00BD53AF"/>
    <w:rsid w:val="00BE543B"/>
    <w:rsid w:val="00BF52D4"/>
    <w:rsid w:val="00BF6750"/>
    <w:rsid w:val="00C01252"/>
    <w:rsid w:val="00C03C2A"/>
    <w:rsid w:val="00C21857"/>
    <w:rsid w:val="00C23A97"/>
    <w:rsid w:val="00C25526"/>
    <w:rsid w:val="00C363D9"/>
    <w:rsid w:val="00C46379"/>
    <w:rsid w:val="00C6072E"/>
    <w:rsid w:val="00C6327D"/>
    <w:rsid w:val="00C637E6"/>
    <w:rsid w:val="00C65CE5"/>
    <w:rsid w:val="00C76853"/>
    <w:rsid w:val="00C7729C"/>
    <w:rsid w:val="00C81F26"/>
    <w:rsid w:val="00C839F8"/>
    <w:rsid w:val="00C87C83"/>
    <w:rsid w:val="00C916B3"/>
    <w:rsid w:val="00C95071"/>
    <w:rsid w:val="00C96ECF"/>
    <w:rsid w:val="00CB38FE"/>
    <w:rsid w:val="00CB5C74"/>
    <w:rsid w:val="00CD10C9"/>
    <w:rsid w:val="00CD1DBD"/>
    <w:rsid w:val="00CD2896"/>
    <w:rsid w:val="00CF7321"/>
    <w:rsid w:val="00D0394E"/>
    <w:rsid w:val="00D26A1B"/>
    <w:rsid w:val="00D35274"/>
    <w:rsid w:val="00D420AF"/>
    <w:rsid w:val="00D435E6"/>
    <w:rsid w:val="00D738D3"/>
    <w:rsid w:val="00D75B73"/>
    <w:rsid w:val="00D801C3"/>
    <w:rsid w:val="00D80F8E"/>
    <w:rsid w:val="00D81847"/>
    <w:rsid w:val="00D96838"/>
    <w:rsid w:val="00DA3230"/>
    <w:rsid w:val="00DA4E27"/>
    <w:rsid w:val="00DA62C9"/>
    <w:rsid w:val="00DC08B6"/>
    <w:rsid w:val="00DC143F"/>
    <w:rsid w:val="00DC58E7"/>
    <w:rsid w:val="00DE254A"/>
    <w:rsid w:val="00DE5457"/>
    <w:rsid w:val="00E0288C"/>
    <w:rsid w:val="00E03D50"/>
    <w:rsid w:val="00E0774E"/>
    <w:rsid w:val="00E10A74"/>
    <w:rsid w:val="00E11472"/>
    <w:rsid w:val="00E25886"/>
    <w:rsid w:val="00E34857"/>
    <w:rsid w:val="00E36C9E"/>
    <w:rsid w:val="00E429DE"/>
    <w:rsid w:val="00E43350"/>
    <w:rsid w:val="00E50BD4"/>
    <w:rsid w:val="00E5577A"/>
    <w:rsid w:val="00E557E7"/>
    <w:rsid w:val="00E604FD"/>
    <w:rsid w:val="00E764F3"/>
    <w:rsid w:val="00E916EC"/>
    <w:rsid w:val="00E931BD"/>
    <w:rsid w:val="00E95422"/>
    <w:rsid w:val="00E97AB8"/>
    <w:rsid w:val="00EA0141"/>
    <w:rsid w:val="00EA35ED"/>
    <w:rsid w:val="00EA4BEC"/>
    <w:rsid w:val="00EA655D"/>
    <w:rsid w:val="00EB6163"/>
    <w:rsid w:val="00EC047A"/>
    <w:rsid w:val="00EC36CA"/>
    <w:rsid w:val="00EC791F"/>
    <w:rsid w:val="00ED4E6B"/>
    <w:rsid w:val="00ED548B"/>
    <w:rsid w:val="00ED7EEB"/>
    <w:rsid w:val="00EF1FDB"/>
    <w:rsid w:val="00EF616D"/>
    <w:rsid w:val="00F00A88"/>
    <w:rsid w:val="00F031D4"/>
    <w:rsid w:val="00F03961"/>
    <w:rsid w:val="00F0630A"/>
    <w:rsid w:val="00F10BE8"/>
    <w:rsid w:val="00F125EB"/>
    <w:rsid w:val="00F14A89"/>
    <w:rsid w:val="00F2048F"/>
    <w:rsid w:val="00F27CDC"/>
    <w:rsid w:val="00F31C3B"/>
    <w:rsid w:val="00F37942"/>
    <w:rsid w:val="00F40D4D"/>
    <w:rsid w:val="00F46237"/>
    <w:rsid w:val="00F571E4"/>
    <w:rsid w:val="00F60642"/>
    <w:rsid w:val="00F80554"/>
    <w:rsid w:val="00F84CE5"/>
    <w:rsid w:val="00F9191E"/>
    <w:rsid w:val="00FA0816"/>
    <w:rsid w:val="00FA3625"/>
    <w:rsid w:val="00FB5B25"/>
    <w:rsid w:val="00FB6A0C"/>
    <w:rsid w:val="00FC0582"/>
    <w:rsid w:val="00FC26BF"/>
    <w:rsid w:val="00FD1AB2"/>
    <w:rsid w:val="00FF3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1F6"/>
    <w:pPr>
      <w:spacing w:after="120"/>
    </w:pPr>
    <w:rPr>
      <w:color w:val="000000"/>
      <w:sz w:val="24"/>
      <w:szCs w:val="24"/>
    </w:rPr>
  </w:style>
  <w:style w:type="paragraph" w:styleId="Heading1">
    <w:name w:val="heading 1"/>
    <w:basedOn w:val="Normal"/>
    <w:next w:val="Normal"/>
    <w:link w:val="Heading1Char"/>
    <w:qFormat/>
    <w:rsid w:val="005611F6"/>
    <w:pPr>
      <w:spacing w:before="240" w:after="0"/>
      <w:outlineLvl w:val="0"/>
    </w:pPr>
    <w:rPr>
      <w:b/>
    </w:rPr>
  </w:style>
  <w:style w:type="paragraph" w:styleId="Heading2">
    <w:name w:val="heading 2"/>
    <w:basedOn w:val="Normal"/>
    <w:next w:val="Normal"/>
    <w:link w:val="Heading2Char"/>
    <w:unhideWhenUsed/>
    <w:qFormat/>
    <w:rsid w:val="005611F6"/>
    <w:pPr>
      <w:numPr>
        <w:numId w:val="5"/>
      </w:numPr>
      <w:tabs>
        <w:tab w:val="clear" w:pos="720"/>
        <w:tab w:val="num" w:pos="0"/>
      </w:tabs>
      <w:spacing w:before="120" w:after="240"/>
      <w:ind w:left="0" w:firstLine="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semiHidden/>
    <w:rsid w:val="008D252F"/>
    <w:rPr>
      <w:sz w:val="16"/>
      <w:szCs w:val="16"/>
    </w:rPr>
  </w:style>
  <w:style w:type="paragraph" w:styleId="CommentText">
    <w:name w:val="annotation text"/>
    <w:basedOn w:val="Normal"/>
    <w:semiHidden/>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table" w:styleId="TableGrid">
    <w:name w:val="Table Grid"/>
    <w:basedOn w:val="TableNormal"/>
    <w:rsid w:val="00A0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611F6"/>
    <w:rPr>
      <w:b/>
      <w:color w:val="000000"/>
      <w:sz w:val="24"/>
      <w:szCs w:val="24"/>
    </w:rPr>
  </w:style>
  <w:style w:type="character" w:customStyle="1" w:styleId="Heading2Char">
    <w:name w:val="Heading 2 Char"/>
    <w:basedOn w:val="DefaultParagraphFont"/>
    <w:link w:val="Heading2"/>
    <w:rsid w:val="005611F6"/>
    <w:rPr>
      <w:b/>
      <w:color w:val="000000"/>
      <w:sz w:val="24"/>
      <w:szCs w:val="24"/>
      <w:u w:val="single"/>
    </w:rPr>
  </w:style>
  <w:style w:type="paragraph" w:styleId="ListParagraph">
    <w:name w:val="List Paragraph"/>
    <w:basedOn w:val="Normal"/>
    <w:uiPriority w:val="34"/>
    <w:qFormat/>
    <w:rsid w:val="005611F6"/>
    <w:pPr>
      <w:ind w:left="720"/>
      <w:contextualSpacing/>
    </w:pPr>
  </w:style>
  <w:style w:type="table" w:styleId="LightShading-Accent1">
    <w:name w:val="Light Shading Accent 1"/>
    <w:basedOn w:val="TableNormal"/>
    <w:uiPriority w:val="60"/>
    <w:rsid w:val="001C19B3"/>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Grid-Accent1">
    <w:name w:val="Light Grid Accent 1"/>
    <w:basedOn w:val="TableNormal"/>
    <w:uiPriority w:val="62"/>
    <w:rsid w:val="001C19B3"/>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MediumShading1-Accent3">
    <w:name w:val="Medium Shading 1 Accent 3"/>
    <w:basedOn w:val="TableNormal"/>
    <w:uiPriority w:val="63"/>
    <w:rsid w:val="003C072C"/>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3C072C"/>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MediumShading1-Accent2">
    <w:name w:val="Medium Shading 1 Accent 2"/>
    <w:basedOn w:val="TableNormal"/>
    <w:uiPriority w:val="63"/>
    <w:rsid w:val="003C072C"/>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1F6"/>
    <w:pPr>
      <w:spacing w:after="120"/>
    </w:pPr>
    <w:rPr>
      <w:color w:val="000000"/>
      <w:sz w:val="24"/>
      <w:szCs w:val="24"/>
    </w:rPr>
  </w:style>
  <w:style w:type="paragraph" w:styleId="Heading1">
    <w:name w:val="heading 1"/>
    <w:basedOn w:val="Normal"/>
    <w:next w:val="Normal"/>
    <w:link w:val="Heading1Char"/>
    <w:qFormat/>
    <w:rsid w:val="005611F6"/>
    <w:pPr>
      <w:spacing w:before="240" w:after="0"/>
      <w:outlineLvl w:val="0"/>
    </w:pPr>
    <w:rPr>
      <w:b/>
    </w:rPr>
  </w:style>
  <w:style w:type="paragraph" w:styleId="Heading2">
    <w:name w:val="heading 2"/>
    <w:basedOn w:val="Normal"/>
    <w:next w:val="Normal"/>
    <w:link w:val="Heading2Char"/>
    <w:unhideWhenUsed/>
    <w:qFormat/>
    <w:rsid w:val="005611F6"/>
    <w:pPr>
      <w:numPr>
        <w:numId w:val="5"/>
      </w:numPr>
      <w:tabs>
        <w:tab w:val="clear" w:pos="720"/>
        <w:tab w:val="num" w:pos="0"/>
      </w:tabs>
      <w:spacing w:before="120" w:after="240"/>
      <w:ind w:left="0" w:firstLine="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semiHidden/>
    <w:rsid w:val="008D252F"/>
    <w:rPr>
      <w:sz w:val="16"/>
      <w:szCs w:val="16"/>
    </w:rPr>
  </w:style>
  <w:style w:type="paragraph" w:styleId="CommentText">
    <w:name w:val="annotation text"/>
    <w:basedOn w:val="Normal"/>
    <w:semiHidden/>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table" w:styleId="TableGrid">
    <w:name w:val="Table Grid"/>
    <w:basedOn w:val="TableNormal"/>
    <w:rsid w:val="00A0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611F6"/>
    <w:rPr>
      <w:b/>
      <w:color w:val="000000"/>
      <w:sz w:val="24"/>
      <w:szCs w:val="24"/>
    </w:rPr>
  </w:style>
  <w:style w:type="character" w:customStyle="1" w:styleId="Heading2Char">
    <w:name w:val="Heading 2 Char"/>
    <w:basedOn w:val="DefaultParagraphFont"/>
    <w:link w:val="Heading2"/>
    <w:rsid w:val="005611F6"/>
    <w:rPr>
      <w:b/>
      <w:color w:val="000000"/>
      <w:sz w:val="24"/>
      <w:szCs w:val="24"/>
      <w:u w:val="single"/>
    </w:rPr>
  </w:style>
  <w:style w:type="paragraph" w:styleId="ListParagraph">
    <w:name w:val="List Paragraph"/>
    <w:basedOn w:val="Normal"/>
    <w:uiPriority w:val="34"/>
    <w:qFormat/>
    <w:rsid w:val="005611F6"/>
    <w:pPr>
      <w:ind w:left="720"/>
      <w:contextualSpacing/>
    </w:pPr>
  </w:style>
  <w:style w:type="table" w:styleId="LightShading-Accent1">
    <w:name w:val="Light Shading Accent 1"/>
    <w:basedOn w:val="TableNormal"/>
    <w:uiPriority w:val="60"/>
    <w:rsid w:val="001C19B3"/>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Grid-Accent1">
    <w:name w:val="Light Grid Accent 1"/>
    <w:basedOn w:val="TableNormal"/>
    <w:uiPriority w:val="62"/>
    <w:rsid w:val="001C19B3"/>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MediumShading1-Accent3">
    <w:name w:val="Medium Shading 1 Accent 3"/>
    <w:basedOn w:val="TableNormal"/>
    <w:uiPriority w:val="63"/>
    <w:rsid w:val="003C072C"/>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3C072C"/>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MediumShading1-Accent2">
    <w:name w:val="Medium Shading 1 Accent 2"/>
    <w:basedOn w:val="TableNormal"/>
    <w:uiPriority w:val="63"/>
    <w:rsid w:val="003C072C"/>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83583">
      <w:bodyDiv w:val="1"/>
      <w:marLeft w:val="0"/>
      <w:marRight w:val="0"/>
      <w:marTop w:val="0"/>
      <w:marBottom w:val="0"/>
      <w:divBdr>
        <w:top w:val="none" w:sz="0" w:space="0" w:color="auto"/>
        <w:left w:val="none" w:sz="0" w:space="0" w:color="auto"/>
        <w:bottom w:val="none" w:sz="0" w:space="0" w:color="auto"/>
        <w:right w:val="none" w:sz="0" w:space="0" w:color="auto"/>
      </w:divBdr>
    </w:div>
    <w:div w:id="259217176">
      <w:bodyDiv w:val="1"/>
      <w:marLeft w:val="0"/>
      <w:marRight w:val="0"/>
      <w:marTop w:val="0"/>
      <w:marBottom w:val="0"/>
      <w:divBdr>
        <w:top w:val="none" w:sz="0" w:space="0" w:color="auto"/>
        <w:left w:val="none" w:sz="0" w:space="0" w:color="auto"/>
        <w:bottom w:val="none" w:sz="0" w:space="0" w:color="auto"/>
        <w:right w:val="none" w:sz="0" w:space="0" w:color="auto"/>
      </w:divBdr>
    </w:div>
    <w:div w:id="419065542">
      <w:bodyDiv w:val="1"/>
      <w:marLeft w:val="0"/>
      <w:marRight w:val="0"/>
      <w:marTop w:val="0"/>
      <w:marBottom w:val="0"/>
      <w:divBdr>
        <w:top w:val="none" w:sz="0" w:space="0" w:color="auto"/>
        <w:left w:val="none" w:sz="0" w:space="0" w:color="auto"/>
        <w:bottom w:val="none" w:sz="0" w:space="0" w:color="auto"/>
        <w:right w:val="none" w:sz="0" w:space="0" w:color="auto"/>
      </w:divBdr>
    </w:div>
    <w:div w:id="525675425">
      <w:bodyDiv w:val="1"/>
      <w:marLeft w:val="0"/>
      <w:marRight w:val="0"/>
      <w:marTop w:val="0"/>
      <w:marBottom w:val="0"/>
      <w:divBdr>
        <w:top w:val="none" w:sz="0" w:space="0" w:color="auto"/>
        <w:left w:val="none" w:sz="0" w:space="0" w:color="auto"/>
        <w:bottom w:val="none" w:sz="0" w:space="0" w:color="auto"/>
        <w:right w:val="none" w:sz="0" w:space="0" w:color="auto"/>
      </w:divBdr>
    </w:div>
    <w:div w:id="659239741">
      <w:bodyDiv w:val="1"/>
      <w:marLeft w:val="0"/>
      <w:marRight w:val="0"/>
      <w:marTop w:val="0"/>
      <w:marBottom w:val="0"/>
      <w:divBdr>
        <w:top w:val="none" w:sz="0" w:space="0" w:color="auto"/>
        <w:left w:val="none" w:sz="0" w:space="0" w:color="auto"/>
        <w:bottom w:val="none" w:sz="0" w:space="0" w:color="auto"/>
        <w:right w:val="none" w:sz="0" w:space="0" w:color="auto"/>
      </w:divBdr>
    </w:div>
    <w:div w:id="855459998">
      <w:bodyDiv w:val="1"/>
      <w:marLeft w:val="0"/>
      <w:marRight w:val="0"/>
      <w:marTop w:val="0"/>
      <w:marBottom w:val="0"/>
      <w:divBdr>
        <w:top w:val="none" w:sz="0" w:space="0" w:color="auto"/>
        <w:left w:val="none" w:sz="0" w:space="0" w:color="auto"/>
        <w:bottom w:val="none" w:sz="0" w:space="0" w:color="auto"/>
        <w:right w:val="none" w:sz="0" w:space="0" w:color="auto"/>
      </w:divBdr>
    </w:div>
    <w:div w:id="867067670">
      <w:bodyDiv w:val="1"/>
      <w:marLeft w:val="0"/>
      <w:marRight w:val="0"/>
      <w:marTop w:val="0"/>
      <w:marBottom w:val="0"/>
      <w:divBdr>
        <w:top w:val="none" w:sz="0" w:space="0" w:color="auto"/>
        <w:left w:val="none" w:sz="0" w:space="0" w:color="auto"/>
        <w:bottom w:val="none" w:sz="0" w:space="0" w:color="auto"/>
        <w:right w:val="none" w:sz="0" w:space="0" w:color="auto"/>
      </w:divBdr>
    </w:div>
    <w:div w:id="1044988261">
      <w:bodyDiv w:val="1"/>
      <w:marLeft w:val="0"/>
      <w:marRight w:val="0"/>
      <w:marTop w:val="0"/>
      <w:marBottom w:val="0"/>
      <w:divBdr>
        <w:top w:val="none" w:sz="0" w:space="0" w:color="auto"/>
        <w:left w:val="none" w:sz="0" w:space="0" w:color="auto"/>
        <w:bottom w:val="none" w:sz="0" w:space="0" w:color="auto"/>
        <w:right w:val="none" w:sz="0" w:space="0" w:color="auto"/>
      </w:divBdr>
    </w:div>
    <w:div w:id="1446733628">
      <w:bodyDiv w:val="1"/>
      <w:marLeft w:val="0"/>
      <w:marRight w:val="0"/>
      <w:marTop w:val="0"/>
      <w:marBottom w:val="0"/>
      <w:divBdr>
        <w:top w:val="none" w:sz="0" w:space="0" w:color="auto"/>
        <w:left w:val="none" w:sz="0" w:space="0" w:color="auto"/>
        <w:bottom w:val="none" w:sz="0" w:space="0" w:color="auto"/>
        <w:right w:val="none" w:sz="0" w:space="0" w:color="auto"/>
      </w:divBdr>
    </w:div>
    <w:div w:id="1565598761">
      <w:bodyDiv w:val="1"/>
      <w:marLeft w:val="0"/>
      <w:marRight w:val="0"/>
      <w:marTop w:val="0"/>
      <w:marBottom w:val="0"/>
      <w:divBdr>
        <w:top w:val="none" w:sz="0" w:space="0" w:color="auto"/>
        <w:left w:val="none" w:sz="0" w:space="0" w:color="auto"/>
        <w:bottom w:val="none" w:sz="0" w:space="0" w:color="auto"/>
        <w:right w:val="none" w:sz="0" w:space="0" w:color="auto"/>
      </w:divBdr>
    </w:div>
    <w:div w:id="1751658216">
      <w:bodyDiv w:val="1"/>
      <w:marLeft w:val="0"/>
      <w:marRight w:val="0"/>
      <w:marTop w:val="0"/>
      <w:marBottom w:val="0"/>
      <w:divBdr>
        <w:top w:val="none" w:sz="0" w:space="0" w:color="auto"/>
        <w:left w:val="none" w:sz="0" w:space="0" w:color="auto"/>
        <w:bottom w:val="none" w:sz="0" w:space="0" w:color="auto"/>
        <w:right w:val="none" w:sz="0" w:space="0" w:color="auto"/>
      </w:divBdr>
    </w:div>
    <w:div w:id="195686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7</Pages>
  <Words>2247</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 the Economic Development Administration’s</vt:lpstr>
    </vt:vector>
  </TitlesOfParts>
  <Company>Hewlett-Packard</Company>
  <LinksUpToDate>false</LinksUpToDate>
  <CharactersWithSpaces>15505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Economic Development Administration’s</dc:title>
  <dc:creator>jvertman</dc:creator>
  <cp:lastModifiedBy>kmillius</cp:lastModifiedBy>
  <cp:revision>7</cp:revision>
  <cp:lastPrinted>2013-02-25T21:48:00Z</cp:lastPrinted>
  <dcterms:created xsi:type="dcterms:W3CDTF">2015-02-26T17:14:00Z</dcterms:created>
  <dcterms:modified xsi:type="dcterms:W3CDTF">2015-06-30T20:17:00Z</dcterms:modified>
</cp:coreProperties>
</file>