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D60" w:rsidRDefault="003A0D60" w:rsidP="004A2EBA">
      <w:pPr>
        <w:jc w:val="center"/>
        <w:rPr>
          <w:b/>
        </w:rPr>
      </w:pPr>
      <w:bookmarkStart w:id="0" w:name="_GoBack"/>
      <w:bookmarkEnd w:id="0"/>
      <w:r w:rsidRPr="00FC2483">
        <w:rPr>
          <w:b/>
          <w:bCs/>
        </w:rPr>
        <w:t xml:space="preserve">SUPPORTING STATEMENT </w:t>
      </w:r>
      <w:r>
        <w:rPr>
          <w:b/>
          <w:bCs/>
        </w:rPr>
        <w:br/>
      </w:r>
      <w:r w:rsidRPr="00FC2483">
        <w:rPr>
          <w:b/>
          <w:bCs/>
        </w:rPr>
        <w:t xml:space="preserve">Paperwork Reduction Act Information Collection Submission </w:t>
      </w:r>
      <w:r>
        <w:rPr>
          <w:b/>
          <w:bCs/>
        </w:rPr>
        <w:br/>
      </w:r>
      <w:r w:rsidR="006E60E4" w:rsidRPr="00121211">
        <w:rPr>
          <w:b/>
        </w:rPr>
        <w:t xml:space="preserve">Loans in Areas Having Special Flood </w:t>
      </w:r>
      <w:r w:rsidR="006E60E4">
        <w:rPr>
          <w:b/>
        </w:rPr>
        <w:t>Hazards</w:t>
      </w:r>
      <w:r w:rsidR="00286EAA">
        <w:rPr>
          <w:b/>
        </w:rPr>
        <w:t xml:space="preserve"> </w:t>
      </w:r>
      <w:r w:rsidR="00AE6D2B">
        <w:rPr>
          <w:b/>
        </w:rPr>
        <w:t xml:space="preserve">under </w:t>
      </w:r>
      <w:r w:rsidR="00286EAA">
        <w:rPr>
          <w:b/>
        </w:rPr>
        <w:t>12 CFR 760</w:t>
      </w:r>
    </w:p>
    <w:p w:rsidR="00AE6D2B" w:rsidRDefault="00AE6D2B" w:rsidP="004A2EBA">
      <w:pPr>
        <w:jc w:val="center"/>
        <w:rPr>
          <w:b/>
        </w:rPr>
      </w:pPr>
      <w:r>
        <w:rPr>
          <w:b/>
        </w:rPr>
        <w:t xml:space="preserve">OMB Control No. </w:t>
      </w:r>
      <w:r w:rsidRPr="00121211">
        <w:rPr>
          <w:b/>
        </w:rPr>
        <w:t>3133-0143</w:t>
      </w:r>
    </w:p>
    <w:p w:rsidR="00AD5307" w:rsidRDefault="00AD5307" w:rsidP="004A2EBA">
      <w:pPr>
        <w:jc w:val="center"/>
        <w:rPr>
          <w:b/>
        </w:rPr>
      </w:pPr>
      <w:r>
        <w:rPr>
          <w:b/>
        </w:rPr>
        <w:t>M</w:t>
      </w:r>
      <w:r w:rsidR="00B06869">
        <w:rPr>
          <w:b/>
        </w:rPr>
        <w:t>ay</w:t>
      </w:r>
      <w:r>
        <w:rPr>
          <w:b/>
        </w:rPr>
        <w:t xml:space="preserve"> 2015</w:t>
      </w:r>
    </w:p>
    <w:p w:rsidR="003A0D60" w:rsidRDefault="003A0D60" w:rsidP="003A0D60">
      <w:pPr>
        <w:pStyle w:val="ListParagraph"/>
        <w:ind w:left="0"/>
        <w:rPr>
          <w:b/>
        </w:rPr>
      </w:pPr>
    </w:p>
    <w:p w:rsidR="003A0D60" w:rsidRPr="00A13B41" w:rsidRDefault="003A0D60" w:rsidP="003A0D60">
      <w:pPr>
        <w:pStyle w:val="ListParagraph"/>
        <w:ind w:left="0"/>
        <w:rPr>
          <w:b/>
        </w:rPr>
      </w:pPr>
    </w:p>
    <w:p w:rsidR="003A0D60" w:rsidRPr="00E44F63" w:rsidRDefault="003A0D60" w:rsidP="003A0D60">
      <w:pPr>
        <w:pStyle w:val="ListParagraph"/>
        <w:numPr>
          <w:ilvl w:val="0"/>
          <w:numId w:val="2"/>
        </w:numPr>
        <w:ind w:left="0"/>
        <w:rPr>
          <w:b/>
        </w:rPr>
      </w:pPr>
      <w:r w:rsidRPr="00E44F63">
        <w:rPr>
          <w:b/>
        </w:rPr>
        <w:t>JUSTIFICATION</w:t>
      </w:r>
    </w:p>
    <w:p w:rsidR="003A0D60" w:rsidRPr="00E44F63" w:rsidRDefault="003A0D60" w:rsidP="003A0D60">
      <w:pPr>
        <w:pStyle w:val="ListParagraph"/>
        <w:ind w:left="0"/>
        <w:rPr>
          <w:b/>
        </w:rPr>
      </w:pPr>
    </w:p>
    <w:p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rsidR="006E60E4" w:rsidRDefault="003A0D60" w:rsidP="00AA4CC0">
      <w:pPr>
        <w:pStyle w:val="ListParagraph"/>
        <w:tabs>
          <w:tab w:val="left" w:pos="-720"/>
          <w:tab w:val="left" w:pos="286"/>
          <w:tab w:val="left" w:pos="403"/>
        </w:tabs>
        <w:suppressAutoHyphens/>
        <w:ind w:left="0" w:hanging="360"/>
        <w:rPr>
          <w:rFonts w:ascii="CG Times (W1)" w:hAnsi="CG Times (W1)"/>
        </w:rPr>
      </w:pPr>
      <w:r>
        <w:tab/>
      </w:r>
      <w:r w:rsidR="006E60E4">
        <w:rPr>
          <w:rFonts w:ascii="CG Times (W1)" w:hAnsi="CG Times (W1)"/>
        </w:rPr>
        <w:t xml:space="preserve">Generally, NCUA is required to make this collection of information under the Federal flood statutes.  Title V of the Riegle Community Development and Regulatory Improvement Act of 1994 (Public Law 103-325, 108 Stat. 2255), known as the National Flood Insurance Reform Act of 1994, comprehensively amended the National Flood Insurance Act of 1968 and the Flood Disaster Protection Act of 1973 (42 U.S.C. 4001 – 4129) (the Flood Acts).  Under the Flood Acts, </w:t>
      </w:r>
      <w:r w:rsidR="006E60E4">
        <w:t>federally insured credit unions must follow recordkeeping and disclosure provisions regarding certain loans that require flood insurance.</w:t>
      </w:r>
    </w:p>
    <w:p w:rsidR="006E60E4" w:rsidRPr="00631257" w:rsidRDefault="006E60E4" w:rsidP="006E60E4">
      <w:pPr>
        <w:pStyle w:val="ListParagraph"/>
        <w:tabs>
          <w:tab w:val="left" w:pos="-720"/>
          <w:tab w:val="left" w:pos="286"/>
          <w:tab w:val="left" w:pos="403"/>
        </w:tabs>
        <w:suppressAutoHyphens/>
        <w:ind w:left="0"/>
      </w:pPr>
    </w:p>
    <w:p w:rsidR="003A0D60" w:rsidRDefault="003A0D60" w:rsidP="003A0D60">
      <w:pPr>
        <w:pStyle w:val="ListParagraph"/>
        <w:numPr>
          <w:ilvl w:val="0"/>
          <w:numId w:val="3"/>
        </w:numPr>
        <w:ind w:left="0"/>
        <w:rPr>
          <w:b/>
        </w:rPr>
      </w:pPr>
      <w:r w:rsidRPr="00E44F63">
        <w:rPr>
          <w:b/>
        </w:rPr>
        <w:t>Purpose and Use of the Information Collection</w:t>
      </w:r>
    </w:p>
    <w:p w:rsidR="006E4341" w:rsidRPr="004E2233" w:rsidRDefault="006E4341" w:rsidP="006E4341">
      <w:pPr>
        <w:rPr>
          <w:rFonts w:ascii="CG Times (W1)" w:hAnsi="CG Times (W1)"/>
        </w:rPr>
      </w:pPr>
      <w:r w:rsidRPr="004E2233">
        <w:rPr>
          <w:rFonts w:ascii="CG Times (W1)" w:hAnsi="CG Times (W1)"/>
        </w:rPr>
        <w:t>NCUA is</w:t>
      </w:r>
      <w:r>
        <w:rPr>
          <w:rFonts w:ascii="CG Times (W1)" w:hAnsi="CG Times (W1)"/>
        </w:rPr>
        <w:t xml:space="preserve"> requesting a reinstatement of</w:t>
      </w:r>
      <w:r w:rsidRPr="004E2233">
        <w:rPr>
          <w:rFonts w:ascii="CG Times (W1)" w:hAnsi="CG Times (W1)"/>
        </w:rPr>
        <w:t xml:space="preserve"> a previously approved collection of information for 3133-0143 (12 CFR Part 760, Loans in Areas Having Special Flood Hazards).  The Flood Acts made the purchase of flood insurance mandatory in connection with loans made by regulated lending institutions</w:t>
      </w:r>
      <w:r>
        <w:rPr>
          <w:rFonts w:ascii="CG Times (W1)" w:hAnsi="CG Times (W1)"/>
        </w:rPr>
        <w:t xml:space="preserve"> (such as credit unions)</w:t>
      </w:r>
      <w:r w:rsidRPr="004E2233">
        <w:rPr>
          <w:rFonts w:ascii="CG Times (W1)" w:hAnsi="CG Times (W1)"/>
        </w:rPr>
        <w:t xml:space="preserve"> when the loans are secured by improved real estate or mobile homes located in a special flood hazard area in a participating community.  NCUA, along with other financial </w:t>
      </w:r>
      <w:r w:rsidR="009014E8">
        <w:rPr>
          <w:rFonts w:ascii="CG Times (W1)" w:hAnsi="CG Times (W1)"/>
        </w:rPr>
        <w:t xml:space="preserve">institution </w:t>
      </w:r>
      <w:r w:rsidRPr="004E2233">
        <w:rPr>
          <w:rFonts w:ascii="CG Times (W1)" w:hAnsi="CG Times (W1)"/>
        </w:rPr>
        <w:t xml:space="preserve">regulators, issued regulations governing the lending institutions they supervise.  Therefore, under Part 760 of NCUA’s regulations, a federally insured credit union shall not make, increase, extend, or renew any designated loan unless the building or mobile home and any personal property securing the loan is covered by flood insurance for the term of the loan.  A designated loan means a loan secured by a building or mobile home that is located or to be located in a special flood hazard area in which flood insurance is available under the Flood Acts.  </w:t>
      </w:r>
    </w:p>
    <w:p w:rsidR="006E4341" w:rsidRDefault="006E4341" w:rsidP="006E4341">
      <w:pPr>
        <w:rPr>
          <w:rFonts w:ascii="CG Times (W1)" w:hAnsi="CG Times (W1)"/>
        </w:rPr>
      </w:pPr>
    </w:p>
    <w:p w:rsidR="006E4341" w:rsidRPr="004E2233" w:rsidRDefault="006E4341" w:rsidP="006E4341">
      <w:pPr>
        <w:rPr>
          <w:rFonts w:ascii="CG Times (W1)" w:hAnsi="CG Times (W1)"/>
        </w:rPr>
      </w:pPr>
      <w:r w:rsidRPr="004E2233">
        <w:rPr>
          <w:rFonts w:ascii="CG Times (W1)" w:hAnsi="CG Times (W1)"/>
        </w:rPr>
        <w:t>Specifically, a federally insured credit union is required to</w:t>
      </w:r>
      <w:r>
        <w:rPr>
          <w:rFonts w:ascii="CG Times (W1)" w:hAnsi="CG Times (W1)"/>
        </w:rPr>
        <w:t xml:space="preserve"> follow the provisions below.</w:t>
      </w:r>
    </w:p>
    <w:p w:rsidR="006E4341" w:rsidRDefault="006E4341" w:rsidP="006E4341">
      <w:pPr>
        <w:rPr>
          <w:rFonts w:ascii="CG Times (W1)" w:hAnsi="CG Times (W1)"/>
        </w:rPr>
      </w:pPr>
    </w:p>
    <w:p w:rsidR="006E4341" w:rsidRDefault="006E4341" w:rsidP="006E4341">
      <w:pPr>
        <w:rPr>
          <w:rFonts w:ascii="CG Times (W1)" w:hAnsi="CG Times (W1)"/>
          <w:u w:val="single"/>
        </w:rPr>
      </w:pPr>
      <w:r>
        <w:rPr>
          <w:rFonts w:ascii="CG Times (W1)" w:hAnsi="CG Times (W1)"/>
          <w:u w:val="single"/>
        </w:rPr>
        <w:t xml:space="preserve">A.  </w:t>
      </w:r>
      <w:r w:rsidRPr="00F84370">
        <w:rPr>
          <w:rFonts w:ascii="CG Times (W1)" w:hAnsi="CG Times (W1)"/>
          <w:u w:val="single"/>
        </w:rPr>
        <w:t>Recordkeeping</w:t>
      </w:r>
    </w:p>
    <w:p w:rsidR="006E4341" w:rsidRDefault="006E4341" w:rsidP="006E4341">
      <w:pPr>
        <w:rPr>
          <w:rFonts w:ascii="CG Times (W1)" w:hAnsi="CG Times (W1)"/>
        </w:rPr>
      </w:pPr>
    </w:p>
    <w:p w:rsidR="006E4341" w:rsidRPr="00B06869" w:rsidRDefault="006E4341" w:rsidP="006E4341">
      <w:pPr>
        <w:ind w:firstLine="432"/>
        <w:rPr>
          <w:rFonts w:ascii="CG Times (W1)" w:hAnsi="CG Times (W1)"/>
          <w:b/>
          <w:u w:val="single"/>
        </w:rPr>
      </w:pPr>
      <w:r w:rsidRPr="00B06869">
        <w:rPr>
          <w:b/>
          <w:u w:val="single"/>
        </w:rPr>
        <w:t>§</w:t>
      </w:r>
      <w:r w:rsidRPr="00B06869">
        <w:rPr>
          <w:rFonts w:ascii="CG Times (W1)" w:hAnsi="CG Times (W1)"/>
          <w:b/>
          <w:u w:val="single"/>
        </w:rPr>
        <w:t xml:space="preserve"> 760.6:  IC #1 - Retention of Standard Flood Hazard Determination Form</w:t>
      </w:r>
    </w:p>
    <w:p w:rsidR="006E4341" w:rsidRDefault="006E4341" w:rsidP="006E4341">
      <w:pPr>
        <w:rPr>
          <w:rFonts w:ascii="CG Times (W1)" w:hAnsi="CG Times (W1)"/>
        </w:rPr>
      </w:pPr>
    </w:p>
    <w:p w:rsidR="006E4341" w:rsidRPr="004E2233" w:rsidRDefault="00063847" w:rsidP="006E4341">
      <w:pPr>
        <w:rPr>
          <w:rFonts w:ascii="CG Times (W1)" w:hAnsi="CG Times (W1)"/>
        </w:rPr>
      </w:pPr>
      <w:r>
        <w:rPr>
          <w:rFonts w:ascii="CG Times (W1)" w:hAnsi="CG Times (W1)"/>
        </w:rPr>
        <w:t xml:space="preserve">A </w:t>
      </w:r>
      <w:r w:rsidR="006E4341">
        <w:rPr>
          <w:rFonts w:ascii="CG Times (W1)" w:hAnsi="CG Times (W1)"/>
        </w:rPr>
        <w:t>credit union must r</w:t>
      </w:r>
      <w:r w:rsidR="006E4341" w:rsidRPr="004E2233">
        <w:rPr>
          <w:rFonts w:ascii="CG Times (W1)" w:hAnsi="CG Times (W1)"/>
        </w:rPr>
        <w:t xml:space="preserve">etain a completed copy of the Standard Flood Hazard Determination Form developed by the Federal Emergency Management Agency (FEMA).  This form is used by lenders, such as credit unions, to document their determination of whether a building or mobile home offered as collateral security for a loan is or will be located in a special flood hazard area </w:t>
      </w:r>
      <w:r w:rsidR="009014E8">
        <w:rPr>
          <w:rFonts w:ascii="CG Times (W1)" w:hAnsi="CG Times (W1)"/>
        </w:rPr>
        <w:t xml:space="preserve">in which </w:t>
      </w:r>
      <w:r w:rsidR="006E4341" w:rsidRPr="004E2233">
        <w:rPr>
          <w:rFonts w:ascii="CG Times (W1)" w:hAnsi="CG Times (W1)"/>
        </w:rPr>
        <w:t>flood insurance</w:t>
      </w:r>
      <w:r w:rsidR="009014E8">
        <w:rPr>
          <w:rFonts w:ascii="CG Times (W1)" w:hAnsi="CG Times (W1)"/>
        </w:rPr>
        <w:t xml:space="preserve"> is available</w:t>
      </w:r>
      <w:r w:rsidR="006E4341" w:rsidRPr="004E2233">
        <w:rPr>
          <w:rFonts w:ascii="CG Times (W1)" w:hAnsi="CG Times (W1)"/>
        </w:rPr>
        <w:t>.</w:t>
      </w:r>
    </w:p>
    <w:p w:rsidR="006E4341" w:rsidRDefault="006E4341" w:rsidP="006E4341">
      <w:pPr>
        <w:rPr>
          <w:rFonts w:ascii="CG Times (W1)" w:hAnsi="CG Times (W1)"/>
        </w:rPr>
      </w:pPr>
    </w:p>
    <w:p w:rsidR="006E4341" w:rsidRDefault="006E4341" w:rsidP="006E4341">
      <w:pPr>
        <w:rPr>
          <w:rFonts w:ascii="CG Times (W1)" w:hAnsi="CG Times (W1)"/>
        </w:rPr>
      </w:pPr>
      <w:r>
        <w:rPr>
          <w:rFonts w:ascii="CG Times (W1)" w:hAnsi="CG Times (W1)"/>
        </w:rPr>
        <w:t xml:space="preserve">A credit union must retain a copy of the completed </w:t>
      </w:r>
      <w:r w:rsidRPr="004E2233">
        <w:rPr>
          <w:rFonts w:ascii="CG Times (W1)" w:hAnsi="CG Times (W1)"/>
        </w:rPr>
        <w:t>Standard Flood Hazard Determination Form</w:t>
      </w:r>
      <w:r w:rsidR="00C126AD">
        <w:rPr>
          <w:rFonts w:ascii="CG Times (W1)" w:hAnsi="CG Times (W1)"/>
        </w:rPr>
        <w:t xml:space="preserve"> for the duration of the loan</w:t>
      </w:r>
      <w:r>
        <w:rPr>
          <w:rFonts w:ascii="CG Times (W1)" w:hAnsi="CG Times (W1)"/>
        </w:rPr>
        <w:t>.  NCUA uses this record to verify compliance.</w:t>
      </w:r>
    </w:p>
    <w:p w:rsidR="006E4341" w:rsidRDefault="006E4341" w:rsidP="006E4341">
      <w:pPr>
        <w:rPr>
          <w:rFonts w:ascii="CG Times (W1)" w:hAnsi="CG Times (W1)"/>
          <w:u w:val="single"/>
        </w:rPr>
      </w:pPr>
    </w:p>
    <w:p w:rsidR="006E4341" w:rsidRDefault="006E4341" w:rsidP="006E4341">
      <w:pPr>
        <w:rPr>
          <w:rFonts w:ascii="CG Times (W1)" w:hAnsi="CG Times (W1)"/>
        </w:rPr>
      </w:pPr>
      <w:r>
        <w:rPr>
          <w:rFonts w:ascii="CG Times (W1)" w:hAnsi="CG Times (W1)"/>
          <w:u w:val="single"/>
        </w:rPr>
        <w:t xml:space="preserve">B.  </w:t>
      </w:r>
      <w:r w:rsidRPr="00F84370">
        <w:rPr>
          <w:rFonts w:ascii="CG Times (W1)" w:hAnsi="CG Times (W1)"/>
          <w:u w:val="single"/>
        </w:rPr>
        <w:t>Disclosures</w:t>
      </w:r>
      <w:r>
        <w:rPr>
          <w:rFonts w:ascii="CG Times (W1)" w:hAnsi="CG Times (W1)"/>
          <w:u w:val="single"/>
        </w:rPr>
        <w:t>:</w:t>
      </w:r>
      <w:r w:rsidRPr="00F84370">
        <w:rPr>
          <w:rFonts w:ascii="CG Times (W1)" w:hAnsi="CG Times (W1)"/>
        </w:rPr>
        <w:t xml:space="preserve">  </w:t>
      </w:r>
      <w:r>
        <w:rPr>
          <w:rFonts w:ascii="CG Times (W1)" w:hAnsi="CG Times (W1)"/>
        </w:rPr>
        <w:t xml:space="preserve">As required by the Flood Acts and Part 760, a credit union must retain a record of the receipts of all disclosures listed below.  NCUA uses this record to verify compliance.  </w:t>
      </w:r>
    </w:p>
    <w:p w:rsidR="006E4341" w:rsidRDefault="006E4341" w:rsidP="006E4341">
      <w:pPr>
        <w:rPr>
          <w:rFonts w:ascii="CG Times (W1)" w:hAnsi="CG Times (W1)"/>
          <w:u w:val="single"/>
        </w:rPr>
      </w:pPr>
    </w:p>
    <w:p w:rsidR="006E4341" w:rsidRPr="00B06869" w:rsidRDefault="006E4341" w:rsidP="00B06869">
      <w:pPr>
        <w:ind w:left="432"/>
        <w:rPr>
          <w:rFonts w:ascii="CG Times (W1)" w:hAnsi="CG Times (W1)"/>
          <w:b/>
          <w:u w:val="single"/>
        </w:rPr>
      </w:pPr>
      <w:r w:rsidRPr="00B06869">
        <w:rPr>
          <w:b/>
          <w:u w:val="single"/>
        </w:rPr>
        <w:t>§</w:t>
      </w:r>
      <w:r w:rsidRPr="00B06869">
        <w:rPr>
          <w:rFonts w:ascii="CG Times (W1)" w:hAnsi="CG Times (W1)"/>
          <w:b/>
          <w:u w:val="single"/>
        </w:rPr>
        <w:t xml:space="preserve"> 760.9 and Appendix:  IC #2 - Notice of Special Flood Hazards to Borrower and Servicer</w:t>
      </w:r>
    </w:p>
    <w:p w:rsidR="006E4341" w:rsidRDefault="006E4341" w:rsidP="006E4341">
      <w:pPr>
        <w:rPr>
          <w:rFonts w:ascii="CG Times (W1)" w:hAnsi="CG Times (W1)"/>
        </w:rPr>
      </w:pPr>
    </w:p>
    <w:p w:rsidR="006E4341" w:rsidRPr="004E2233" w:rsidRDefault="006E4341" w:rsidP="006E4341">
      <w:pPr>
        <w:rPr>
          <w:rFonts w:ascii="CG Times (W1)" w:hAnsi="CG Times (W1)"/>
        </w:rPr>
      </w:pPr>
      <w:r>
        <w:rPr>
          <w:rFonts w:ascii="CG Times (W1)" w:hAnsi="CG Times (W1)"/>
        </w:rPr>
        <w:t>A credit union must n</w:t>
      </w:r>
      <w:r w:rsidRPr="004E2233">
        <w:rPr>
          <w:rFonts w:ascii="CG Times (W1)" w:hAnsi="CG Times (W1)"/>
        </w:rPr>
        <w:t xml:space="preserve">otify a borrower and </w:t>
      </w:r>
      <w:r>
        <w:rPr>
          <w:rFonts w:ascii="CG Times (W1)" w:hAnsi="CG Times (W1)"/>
        </w:rPr>
        <w:t xml:space="preserve">the </w:t>
      </w:r>
      <w:r w:rsidRPr="004E2233">
        <w:rPr>
          <w:rFonts w:ascii="CG Times (W1)" w:hAnsi="CG Times (W1)"/>
        </w:rPr>
        <w:t>servicer when a building or mobile home offered as collateral security for a loan is determined to be in a special flood hazard area and notify them whether flood insurance is available.</w:t>
      </w:r>
    </w:p>
    <w:p w:rsidR="006E4341" w:rsidRDefault="006E4341" w:rsidP="006E4341">
      <w:pPr>
        <w:rPr>
          <w:rFonts w:ascii="CG Times (W1)" w:hAnsi="CG Times (W1)"/>
        </w:rPr>
      </w:pPr>
    </w:p>
    <w:p w:rsidR="006E4341" w:rsidRDefault="006E4341" w:rsidP="006E4341">
      <w:pPr>
        <w:rPr>
          <w:rFonts w:ascii="CG Times (W1)" w:hAnsi="CG Times (W1)"/>
        </w:rPr>
      </w:pPr>
      <w:r>
        <w:rPr>
          <w:rFonts w:ascii="CG Times (W1)" w:hAnsi="CG Times (W1)"/>
        </w:rPr>
        <w:t xml:space="preserve">This notice informs a borrower whether the property securing the loan is located in a special flood hazard area, whether flood insurance on the property securing the loan is required, and includes a description of the flood insurance purchase requirements.  In addition, the notice provides a borrower with information regarding the availability of Federal assistance in the event of a declared Federal flood disaster.  </w:t>
      </w:r>
    </w:p>
    <w:p w:rsidR="006E4341" w:rsidRDefault="006E4341" w:rsidP="006E4341">
      <w:pPr>
        <w:rPr>
          <w:rFonts w:ascii="CG Times (W1)" w:hAnsi="CG Times (W1)"/>
        </w:rPr>
      </w:pPr>
    </w:p>
    <w:p w:rsidR="006E4341" w:rsidRPr="00B06869" w:rsidRDefault="006E4341" w:rsidP="006E4341">
      <w:pPr>
        <w:ind w:left="432"/>
        <w:rPr>
          <w:rFonts w:ascii="CG Times (W1)" w:hAnsi="CG Times (W1)"/>
          <w:b/>
          <w:u w:val="single"/>
        </w:rPr>
      </w:pPr>
      <w:r w:rsidRPr="00B06869">
        <w:rPr>
          <w:b/>
          <w:u w:val="single"/>
        </w:rPr>
        <w:t>§</w:t>
      </w:r>
      <w:r w:rsidRPr="00B06869">
        <w:rPr>
          <w:rFonts w:ascii="CG Times (W1)" w:hAnsi="CG Times (W1)"/>
          <w:b/>
          <w:u w:val="single"/>
        </w:rPr>
        <w:t xml:space="preserve"> 760.10:  IC #3 - Notice to FEMA of Servicer and IC #4 - Notice to FEMA of Change in Servicer</w:t>
      </w:r>
    </w:p>
    <w:p w:rsidR="006E4341" w:rsidRDefault="006E4341" w:rsidP="006E4341">
      <w:pPr>
        <w:rPr>
          <w:rFonts w:ascii="CG Times (W1)" w:hAnsi="CG Times (W1)"/>
        </w:rPr>
      </w:pPr>
    </w:p>
    <w:p w:rsidR="006E4341" w:rsidRDefault="006E4341" w:rsidP="006E4341">
      <w:pPr>
        <w:rPr>
          <w:rFonts w:ascii="CG Times (W1)" w:hAnsi="CG Times (W1)"/>
        </w:rPr>
      </w:pPr>
      <w:r>
        <w:rPr>
          <w:rFonts w:ascii="CG Times (W1)" w:hAnsi="CG Times (W1)"/>
        </w:rPr>
        <w:t>A credit union must n</w:t>
      </w:r>
      <w:r w:rsidRPr="004E2233">
        <w:rPr>
          <w:rFonts w:ascii="CG Times (W1)" w:hAnsi="CG Times (W1)"/>
        </w:rPr>
        <w:t>otify FEMA of the identity of, and any change in, the servicer of a loan secured by a building or mobile home located or to be located in a special flood hazard area.</w:t>
      </w:r>
    </w:p>
    <w:p w:rsidR="006E4341" w:rsidRDefault="006E4341" w:rsidP="006E4341">
      <w:pPr>
        <w:rPr>
          <w:rFonts w:ascii="CG Times (W1)" w:hAnsi="CG Times (W1)"/>
        </w:rPr>
      </w:pPr>
    </w:p>
    <w:p w:rsidR="006E4341" w:rsidRDefault="006E4341" w:rsidP="006E4341">
      <w:pPr>
        <w:rPr>
          <w:rFonts w:ascii="CG Times (W1)" w:hAnsi="CG Times (W1)"/>
        </w:rPr>
      </w:pPr>
      <w:r>
        <w:rPr>
          <w:rFonts w:ascii="CG Times (W1)" w:hAnsi="CG Times (W1)"/>
        </w:rPr>
        <w:t xml:space="preserve">This notice to FEMA informs FEMA of the identity of the initial loan servicer and, if necessary, of changes in servicers.  FEMA uses this notice to maintain current information for direct inquiries and flood insurance policy renewals.  A notice is also provided to the loan servicer to assist in making the servicer aware of its responsibility for performing certain tasks on behalf of the lender, such as collecting insurance premiums.  </w:t>
      </w:r>
    </w:p>
    <w:p w:rsidR="006E4341" w:rsidRDefault="006E4341" w:rsidP="006E4341">
      <w:pPr>
        <w:rPr>
          <w:rFonts w:ascii="CG Times (W1)" w:hAnsi="CG Times (W1)"/>
        </w:rPr>
      </w:pPr>
    </w:p>
    <w:p w:rsidR="006E4341" w:rsidRPr="00B06869" w:rsidRDefault="006E4341" w:rsidP="006E4341">
      <w:pPr>
        <w:ind w:left="432"/>
        <w:rPr>
          <w:rFonts w:ascii="CG Times (W1)" w:hAnsi="CG Times (W1)"/>
          <w:b/>
          <w:u w:val="single"/>
        </w:rPr>
      </w:pPr>
      <w:r w:rsidRPr="00B06869">
        <w:rPr>
          <w:b/>
          <w:u w:val="single"/>
        </w:rPr>
        <w:t>§</w:t>
      </w:r>
      <w:r w:rsidRPr="00B06869">
        <w:rPr>
          <w:rFonts w:ascii="CG Times (W1)" w:hAnsi="CG Times (W1)"/>
          <w:b/>
          <w:u w:val="single"/>
        </w:rPr>
        <w:t xml:space="preserve"> 760.7:  IC #5 - Notice to Borrower of Lapsed Mandated Flood Insurance and IC #6 - Purchase of Force–Placed Flood Insurance</w:t>
      </w:r>
    </w:p>
    <w:p w:rsidR="006E4341" w:rsidRDefault="006E4341" w:rsidP="006E4341">
      <w:pPr>
        <w:rPr>
          <w:rFonts w:ascii="CG Times (W1)" w:hAnsi="CG Times (W1)"/>
        </w:rPr>
      </w:pPr>
    </w:p>
    <w:p w:rsidR="006E4341" w:rsidRDefault="006E4341" w:rsidP="006E4341">
      <w:pPr>
        <w:rPr>
          <w:rFonts w:ascii="CG Times (W1)" w:hAnsi="CG Times (W1)"/>
        </w:rPr>
      </w:pPr>
      <w:r>
        <w:rPr>
          <w:rFonts w:ascii="CG Times (W1)" w:hAnsi="CG Times (W1)"/>
        </w:rPr>
        <w:t>A credit union must n</w:t>
      </w:r>
      <w:r w:rsidRPr="004E2233">
        <w:rPr>
          <w:rFonts w:ascii="CG Times (W1)" w:hAnsi="CG Times (W1)"/>
        </w:rPr>
        <w:t xml:space="preserve">otify a borrower whose mandated flood insurance policy has expired or if the policy covers an amount less than the required amount, of the borrower's obligation to obtain a flood insurance policy for the required amount.  If the borrower fails to obtain a flood insurance policy for the required amount following this notification, the credit union or its servicer must purchase flood insurance on the borrower's behalf and charge the borrower for the cost.  </w:t>
      </w:r>
    </w:p>
    <w:p w:rsidR="006E4341" w:rsidRDefault="006E4341" w:rsidP="006E4341">
      <w:pPr>
        <w:rPr>
          <w:rFonts w:ascii="CG Times (W1)" w:hAnsi="CG Times (W1)"/>
        </w:rPr>
      </w:pPr>
    </w:p>
    <w:p w:rsidR="006E4341" w:rsidRPr="00B06869" w:rsidRDefault="006E4341" w:rsidP="006E4341">
      <w:pPr>
        <w:ind w:left="432"/>
        <w:rPr>
          <w:rFonts w:ascii="CG Times (W1)" w:hAnsi="CG Times (W1)"/>
          <w:b/>
          <w:u w:val="single"/>
        </w:rPr>
      </w:pPr>
      <w:r w:rsidRPr="00B06869">
        <w:rPr>
          <w:b/>
          <w:u w:val="single"/>
        </w:rPr>
        <w:t>§§</w:t>
      </w:r>
      <w:r w:rsidRPr="00B06869">
        <w:rPr>
          <w:rFonts w:ascii="CG Times (W1)" w:hAnsi="CG Times (W1)"/>
          <w:b/>
          <w:u w:val="single"/>
        </w:rPr>
        <w:t xml:space="preserve"> 760.7</w:t>
      </w:r>
      <w:r w:rsidR="001364CB" w:rsidRPr="00B06869">
        <w:rPr>
          <w:rFonts w:ascii="CG Times (W1)" w:hAnsi="CG Times (W1)"/>
          <w:b/>
          <w:u w:val="single"/>
        </w:rPr>
        <w:t xml:space="preserve"> and</w:t>
      </w:r>
      <w:r w:rsidRPr="00B06869">
        <w:rPr>
          <w:rFonts w:ascii="CG Times (W1)" w:hAnsi="CG Times (W1)"/>
          <w:b/>
          <w:u w:val="single"/>
        </w:rPr>
        <w:t xml:space="preserve"> 760.9:  IC #7 - Notice to Borrower and Servicer of Remapping and IC #8 - Purchase of Force–Placed Flood Insurance for Borrower from Remapping</w:t>
      </w:r>
    </w:p>
    <w:p w:rsidR="006E4341" w:rsidRDefault="006E4341" w:rsidP="006E4341">
      <w:pPr>
        <w:rPr>
          <w:rFonts w:ascii="CG Times (W1)" w:hAnsi="CG Times (W1)"/>
        </w:rPr>
      </w:pPr>
    </w:p>
    <w:p w:rsidR="006E4341" w:rsidRPr="004E2233" w:rsidRDefault="006E4341" w:rsidP="006E4341">
      <w:pPr>
        <w:rPr>
          <w:rFonts w:ascii="CG Times (W1)" w:hAnsi="CG Times (W1)"/>
        </w:rPr>
      </w:pPr>
      <w:r>
        <w:rPr>
          <w:rFonts w:ascii="CG Times (W1)" w:hAnsi="CG Times (W1)"/>
        </w:rPr>
        <w:t>A credit union must n</w:t>
      </w:r>
      <w:r w:rsidRPr="004E2233">
        <w:rPr>
          <w:rFonts w:ascii="CG Times (W1)" w:hAnsi="CG Times (W1)"/>
        </w:rPr>
        <w:t xml:space="preserve">otify </w:t>
      </w:r>
      <w:r>
        <w:rPr>
          <w:rFonts w:ascii="CG Times (W1)" w:hAnsi="CG Times (W1)"/>
        </w:rPr>
        <w:t>a</w:t>
      </w:r>
      <w:r w:rsidRPr="004E2233">
        <w:rPr>
          <w:rFonts w:ascii="CG Times (W1)" w:hAnsi="CG Times (W1)"/>
        </w:rPr>
        <w:t xml:space="preserve"> borrower and</w:t>
      </w:r>
      <w:r>
        <w:rPr>
          <w:rFonts w:ascii="CG Times (W1)" w:hAnsi="CG Times (W1)"/>
        </w:rPr>
        <w:t xml:space="preserve"> the</w:t>
      </w:r>
      <w:r w:rsidRPr="004E2233">
        <w:rPr>
          <w:rFonts w:ascii="CG Times (W1)" w:hAnsi="CG Times (W1)"/>
        </w:rPr>
        <w:t xml:space="preserve"> servicer if the secured property becomes newly located in a special flood hazard area due to remapping of flood hazard areas by FEMA, which would obligate the borrower to obtain flood insurance.</w:t>
      </w:r>
      <w:r>
        <w:rPr>
          <w:rFonts w:ascii="CG Times (W1)" w:hAnsi="CG Times (W1)"/>
        </w:rPr>
        <w:t xml:space="preserve">  </w:t>
      </w:r>
      <w:r w:rsidRPr="004E2233">
        <w:rPr>
          <w:rFonts w:ascii="CG Times (W1)" w:hAnsi="CG Times (W1)"/>
        </w:rPr>
        <w:t xml:space="preserve">In addition, the credit union or its servicer must purchase flood insurance on the borrower's behalf if the borrower, after </w:t>
      </w:r>
      <w:r w:rsidRPr="004E2233">
        <w:rPr>
          <w:rFonts w:ascii="CG Times (W1)" w:hAnsi="CG Times (W1)"/>
        </w:rPr>
        <w:lastRenderedPageBreak/>
        <w:t>notification, fails to obtain mandated flood insurance due to remapping</w:t>
      </w:r>
      <w:r w:rsidR="00620387">
        <w:rPr>
          <w:rFonts w:ascii="CG Times (W1)" w:hAnsi="CG Times (W1)"/>
        </w:rPr>
        <w:t>, and charge the borrower for the cost</w:t>
      </w:r>
      <w:r w:rsidRPr="004E2233">
        <w:rPr>
          <w:rFonts w:ascii="CG Times (W1)" w:hAnsi="CG Times (W1)"/>
        </w:rPr>
        <w:t>.</w:t>
      </w:r>
    </w:p>
    <w:p w:rsidR="006E4341" w:rsidRPr="00E44F63" w:rsidRDefault="006E4341" w:rsidP="006E4341"/>
    <w:p w:rsidR="003A0D60" w:rsidRDefault="003A0D60" w:rsidP="003A0D60">
      <w:pPr>
        <w:pStyle w:val="ListParagraph"/>
        <w:numPr>
          <w:ilvl w:val="0"/>
          <w:numId w:val="3"/>
        </w:numPr>
        <w:ind w:left="0"/>
        <w:rPr>
          <w:b/>
        </w:rPr>
      </w:pPr>
      <w:r w:rsidRPr="00E44F63">
        <w:rPr>
          <w:b/>
        </w:rPr>
        <w:t>Consideration Given to Information Technology</w:t>
      </w:r>
    </w:p>
    <w:p w:rsidR="006E4341" w:rsidRDefault="003A0D60" w:rsidP="00AA4CC0">
      <w:pPr>
        <w:pStyle w:val="ListParagraph"/>
        <w:tabs>
          <w:tab w:val="left" w:pos="-720"/>
          <w:tab w:val="left" w:pos="720"/>
        </w:tabs>
        <w:suppressAutoHyphens/>
        <w:ind w:left="0" w:hanging="360"/>
        <w:rPr>
          <w:rFonts w:ascii="CG Times (W1)" w:hAnsi="CG Times (W1)"/>
        </w:rPr>
      </w:pPr>
      <w:r>
        <w:tab/>
      </w:r>
      <w:r w:rsidR="006E4341">
        <w:rPr>
          <w:rFonts w:ascii="CG Times (W1)" w:hAnsi="CG Times (W1)"/>
        </w:rPr>
        <w:t>Credit unions may use any information technology available to provide the required notices or to retain required records.</w:t>
      </w:r>
    </w:p>
    <w:p w:rsidR="006E4341" w:rsidRPr="00E44F63" w:rsidRDefault="006E4341" w:rsidP="006E4341"/>
    <w:p w:rsidR="003A0D60" w:rsidRPr="00E44F63" w:rsidRDefault="003A0D60" w:rsidP="003A0D60">
      <w:pPr>
        <w:pStyle w:val="ListParagraph"/>
        <w:numPr>
          <w:ilvl w:val="0"/>
          <w:numId w:val="3"/>
        </w:numPr>
        <w:ind w:left="0"/>
        <w:rPr>
          <w:b/>
        </w:rPr>
      </w:pPr>
      <w:r w:rsidRPr="00E44F63">
        <w:rPr>
          <w:b/>
        </w:rPr>
        <w:t xml:space="preserve">Duplication </w:t>
      </w:r>
    </w:p>
    <w:p w:rsidR="006E4341" w:rsidRDefault="003A0D60" w:rsidP="00AA4CC0">
      <w:pPr>
        <w:pStyle w:val="ListParagraph"/>
        <w:tabs>
          <w:tab w:val="left" w:pos="-720"/>
          <w:tab w:val="left" w:pos="286"/>
          <w:tab w:val="left" w:pos="403"/>
        </w:tabs>
        <w:suppressAutoHyphens/>
        <w:ind w:left="0" w:hanging="360"/>
        <w:rPr>
          <w:rFonts w:ascii="CG Times (W1)" w:hAnsi="CG Times (W1)"/>
        </w:rPr>
      </w:pPr>
      <w:r>
        <w:tab/>
      </w:r>
      <w:r w:rsidR="006E4341">
        <w:rPr>
          <w:rFonts w:ascii="CG Times (W1)" w:hAnsi="CG Times (W1)"/>
        </w:rPr>
        <w:t>This information collection is unique to a credit union and to each loan.  It is not duplicated anywhere.</w:t>
      </w:r>
    </w:p>
    <w:p w:rsidR="006E4341" w:rsidRPr="00631257" w:rsidRDefault="006E4341" w:rsidP="006E4341">
      <w:pPr>
        <w:pStyle w:val="ListParagraph"/>
        <w:tabs>
          <w:tab w:val="left" w:pos="-720"/>
          <w:tab w:val="left" w:pos="286"/>
          <w:tab w:val="left" w:pos="403"/>
        </w:tabs>
        <w:suppressAutoHyphens/>
        <w:ind w:left="0"/>
      </w:pPr>
    </w:p>
    <w:p w:rsidR="003A0D60" w:rsidRPr="00E44F63" w:rsidRDefault="003A0D60" w:rsidP="003A0D60">
      <w:pPr>
        <w:pStyle w:val="ListParagraph"/>
        <w:numPr>
          <w:ilvl w:val="0"/>
          <w:numId w:val="3"/>
        </w:numPr>
        <w:ind w:left="0"/>
        <w:rPr>
          <w:b/>
        </w:rPr>
      </w:pPr>
      <w:r>
        <w:rPr>
          <w:b/>
        </w:rPr>
        <w:t xml:space="preserve">Effect </w:t>
      </w:r>
      <w:r w:rsidRPr="00E44F63">
        <w:rPr>
          <w:b/>
        </w:rPr>
        <w:t>on Small Entities</w:t>
      </w:r>
    </w:p>
    <w:p w:rsidR="006E4341" w:rsidRDefault="003A0D60" w:rsidP="00AA4CC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CG Times (W1)" w:hAnsi="CG Times (W1)"/>
        </w:rPr>
      </w:pPr>
      <w:r>
        <w:tab/>
      </w:r>
      <w:r w:rsidR="006E4341">
        <w:rPr>
          <w:rFonts w:ascii="CG Times (W1)" w:hAnsi="CG Times (W1)"/>
        </w:rPr>
        <w:t>This</w:t>
      </w:r>
      <w:r w:rsidR="006E4341" w:rsidRPr="005B5E0B">
        <w:rPr>
          <w:rFonts w:ascii="CG Times (W1)" w:hAnsi="CG Times (W1)"/>
        </w:rPr>
        <w:t xml:space="preserve"> collection of information does not have a significant impact on a substantial number of small credit unions.  </w:t>
      </w:r>
      <w:r w:rsidR="006E4341">
        <w:rPr>
          <w:rFonts w:ascii="CG Times (W1)" w:hAnsi="CG Times (W1)"/>
        </w:rPr>
        <w:t>C</w:t>
      </w:r>
      <w:r w:rsidR="006E4341" w:rsidRPr="005B5E0B">
        <w:rPr>
          <w:rFonts w:ascii="CG Times (W1)" w:hAnsi="CG Times (W1)"/>
        </w:rPr>
        <w:t xml:space="preserve">redit unions may use the </w:t>
      </w:r>
      <w:r w:rsidR="006E4341" w:rsidRPr="004E2233">
        <w:rPr>
          <w:rFonts w:ascii="CG Times (W1)" w:hAnsi="CG Times (W1)"/>
        </w:rPr>
        <w:t xml:space="preserve">Standard Flood Hazard Determination Form </w:t>
      </w:r>
      <w:r w:rsidR="006E4341">
        <w:rPr>
          <w:rFonts w:ascii="CG Times (W1)" w:hAnsi="CG Times (W1)"/>
        </w:rPr>
        <w:t>(</w:t>
      </w:r>
      <w:r w:rsidR="006E4341" w:rsidRPr="005B5E0B">
        <w:rPr>
          <w:rFonts w:ascii="CG Times (W1)" w:hAnsi="CG Times (W1)"/>
        </w:rPr>
        <w:t>provided by FEMA</w:t>
      </w:r>
      <w:r w:rsidR="006E4341">
        <w:rPr>
          <w:rFonts w:ascii="CG Times (W1)" w:hAnsi="CG Times (W1)"/>
        </w:rPr>
        <w:t>)</w:t>
      </w:r>
      <w:r w:rsidR="006E4341" w:rsidRPr="005B5E0B">
        <w:rPr>
          <w:rFonts w:ascii="CG Times (W1)" w:hAnsi="CG Times (W1)"/>
        </w:rPr>
        <w:t xml:space="preserve"> to notify borrowers.  In </w:t>
      </w:r>
      <w:r w:rsidR="006E4341">
        <w:rPr>
          <w:rFonts w:ascii="CG Times (W1)" w:hAnsi="CG Times (W1)"/>
        </w:rPr>
        <w:t>addition, the Appendix to Part 760 provides</w:t>
      </w:r>
      <w:r w:rsidR="006E4341" w:rsidRPr="005B5E0B">
        <w:rPr>
          <w:rFonts w:ascii="CG Times (W1)" w:hAnsi="CG Times (W1)"/>
        </w:rPr>
        <w:t xml:space="preserve"> </w:t>
      </w:r>
      <w:r w:rsidR="006E4341">
        <w:rPr>
          <w:rFonts w:ascii="CG Times (W1)" w:hAnsi="CG Times (W1)"/>
        </w:rPr>
        <w:t xml:space="preserve">a sample </w:t>
      </w:r>
      <w:r w:rsidR="006E4341" w:rsidRPr="005B5E0B">
        <w:rPr>
          <w:rFonts w:ascii="CG Times (W1)" w:hAnsi="CG Times (W1)"/>
        </w:rPr>
        <w:t>model notice</w:t>
      </w:r>
      <w:r w:rsidR="006E4341">
        <w:rPr>
          <w:rFonts w:ascii="CG Times (W1)" w:hAnsi="CG Times (W1)"/>
        </w:rPr>
        <w:t xml:space="preserve"> for credit unions.</w:t>
      </w:r>
    </w:p>
    <w:p w:rsidR="006E4341" w:rsidRPr="00631257" w:rsidRDefault="006E4341" w:rsidP="006E4341">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p>
    <w:p w:rsidR="003A0D60" w:rsidRPr="00E44F63" w:rsidRDefault="003A0D60" w:rsidP="003A0D60">
      <w:pPr>
        <w:pStyle w:val="ListParagraph"/>
        <w:numPr>
          <w:ilvl w:val="0"/>
          <w:numId w:val="3"/>
        </w:numPr>
        <w:ind w:left="0"/>
        <w:rPr>
          <w:b/>
        </w:rPr>
      </w:pPr>
      <w:r w:rsidRPr="00E44F63">
        <w:rPr>
          <w:b/>
        </w:rPr>
        <w:t xml:space="preserve">Consequences of Not Conducting Collection </w:t>
      </w:r>
    </w:p>
    <w:p w:rsidR="006E4341" w:rsidRDefault="003A0D60" w:rsidP="00AA4CC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rFonts w:ascii="CG Times (W1)" w:hAnsi="CG Times (W1)"/>
        </w:rPr>
      </w:pPr>
      <w:r>
        <w:tab/>
      </w:r>
      <w:r w:rsidR="006E4341">
        <w:rPr>
          <w:rFonts w:ascii="CG Times (W1)" w:hAnsi="CG Times (W1)"/>
        </w:rPr>
        <w:t>This information collection is conducted only for loans secured by improved real estate or a mobile home located in flood hazard areas.  Less frequent notice would substantially impair the effectiveness of the program.</w:t>
      </w:r>
    </w:p>
    <w:p w:rsidR="006E4341" w:rsidRPr="00E44F63" w:rsidRDefault="006E4341" w:rsidP="006E4341"/>
    <w:p w:rsidR="003A0D60" w:rsidRDefault="003A0D60" w:rsidP="003A0D60">
      <w:pPr>
        <w:pStyle w:val="ListParagraph"/>
        <w:numPr>
          <w:ilvl w:val="0"/>
          <w:numId w:val="3"/>
        </w:numPr>
        <w:ind w:left="0"/>
        <w:rPr>
          <w:b/>
        </w:rPr>
      </w:pPr>
      <w:r>
        <w:rPr>
          <w:b/>
        </w:rPr>
        <w:t>Inconsistencies with Guidelines in 5 CFR 1320.5(d)(2)</w:t>
      </w:r>
    </w:p>
    <w:p w:rsidR="008A555D" w:rsidRPr="00B70BC0" w:rsidRDefault="008A555D" w:rsidP="008A555D">
      <w:r>
        <w:t>There are no special circumstances. This collection is consistent with the guidelines in 5 CFR 1320.5(d)(2).</w:t>
      </w:r>
    </w:p>
    <w:p w:rsidR="006E4341" w:rsidRPr="00E44F63" w:rsidRDefault="006E4341" w:rsidP="003A0D60">
      <w:pPr>
        <w:pStyle w:val="ListParagraph"/>
        <w:ind w:left="0" w:hanging="360"/>
        <w:rPr>
          <w:b/>
        </w:rPr>
      </w:pPr>
    </w:p>
    <w:p w:rsidR="003A0D60" w:rsidRDefault="003A0D60" w:rsidP="003A0D60">
      <w:pPr>
        <w:pStyle w:val="ListParagraph"/>
        <w:numPr>
          <w:ilvl w:val="0"/>
          <w:numId w:val="3"/>
        </w:numPr>
        <w:ind w:left="0"/>
        <w:rPr>
          <w:b/>
        </w:rPr>
      </w:pPr>
      <w:r w:rsidRPr="00E44F63">
        <w:rPr>
          <w:b/>
        </w:rPr>
        <w:t>Consultations Outside the Agency</w:t>
      </w:r>
    </w:p>
    <w:p w:rsidR="006E4341" w:rsidRDefault="00C126AD" w:rsidP="006E4341">
      <w:pPr>
        <w:numPr>
          <w:ilvl w:val="12"/>
          <w:numId w:val="0"/>
        </w:numPr>
        <w:rPr>
          <w:rFonts w:ascii="CG Times (W1)" w:hAnsi="CG Times (W1)"/>
        </w:rPr>
      </w:pPr>
      <w:r w:rsidRPr="00C126AD">
        <w:rPr>
          <w:rFonts w:ascii="CG Times (W1)" w:hAnsi="CG Times (W1)"/>
        </w:rPr>
        <w:t xml:space="preserve">The required </w:t>
      </w:r>
      <w:r w:rsidR="00F31579">
        <w:rPr>
          <w:rFonts w:ascii="CG Times (W1)" w:hAnsi="CG Times (W1)"/>
        </w:rPr>
        <w:t>Federal Register notice with a 3</w:t>
      </w:r>
      <w:r w:rsidRPr="00C126AD">
        <w:rPr>
          <w:rFonts w:ascii="CG Times (W1)" w:hAnsi="CG Times (W1)"/>
        </w:rPr>
        <w:t xml:space="preserve">0-day </w:t>
      </w:r>
      <w:r w:rsidR="008F1C70">
        <w:rPr>
          <w:rFonts w:ascii="CG Times (W1)" w:hAnsi="CG Times (W1)"/>
        </w:rPr>
        <w:t xml:space="preserve">public </w:t>
      </w:r>
      <w:r w:rsidRPr="00C126AD">
        <w:rPr>
          <w:rFonts w:ascii="CG Times (W1)" w:hAnsi="CG Times (W1)"/>
        </w:rPr>
        <w:t>comment period soliciting comments on this collection of information was published</w:t>
      </w:r>
      <w:r w:rsidR="008F1C70">
        <w:rPr>
          <w:rFonts w:ascii="CG Times (W1)" w:hAnsi="CG Times (W1)"/>
        </w:rPr>
        <w:t xml:space="preserve"> on </w:t>
      </w:r>
      <w:r w:rsidR="00F31579">
        <w:rPr>
          <w:rFonts w:ascii="CG Times (W1)" w:hAnsi="CG Times (W1)"/>
        </w:rPr>
        <w:t>May 28, 2015</w:t>
      </w:r>
      <w:r w:rsidR="008F1C70">
        <w:rPr>
          <w:rFonts w:ascii="CG Times (W1)" w:hAnsi="CG Times (W1)"/>
        </w:rPr>
        <w:t>.  (</w:t>
      </w:r>
      <w:r w:rsidR="00F31579">
        <w:rPr>
          <w:rFonts w:ascii="CG Times (W1)" w:hAnsi="CG Times (W1)"/>
        </w:rPr>
        <w:t>80</w:t>
      </w:r>
      <w:r w:rsidR="003F42FD">
        <w:rPr>
          <w:rFonts w:ascii="CG Times (W1)" w:hAnsi="CG Times (W1)"/>
        </w:rPr>
        <w:t xml:space="preserve"> Fed. Reg. </w:t>
      </w:r>
      <w:r w:rsidR="00F31579">
        <w:rPr>
          <w:rFonts w:ascii="CG Times (W1)" w:hAnsi="CG Times (W1)"/>
        </w:rPr>
        <w:t>30499)</w:t>
      </w:r>
      <w:r w:rsidR="006E4341">
        <w:rPr>
          <w:rFonts w:ascii="CG Times (W1)" w:hAnsi="CG Times (W1)"/>
        </w:rPr>
        <w:t>.</w:t>
      </w:r>
      <w:r w:rsidR="008F1C70">
        <w:rPr>
          <w:rFonts w:ascii="CG Times (W1)" w:hAnsi="CG Times (W1)"/>
        </w:rPr>
        <w:t xml:space="preserve">  NCUA did not receive any comments.</w:t>
      </w:r>
      <w:r w:rsidR="003C3F39">
        <w:rPr>
          <w:rFonts w:ascii="CG Times (W1)" w:hAnsi="CG Times (W1)"/>
        </w:rPr>
        <w:t xml:space="preserve">  </w:t>
      </w:r>
    </w:p>
    <w:p w:rsidR="006E4341" w:rsidRPr="00E44F63" w:rsidRDefault="006E4341" w:rsidP="006E4341">
      <w:pPr>
        <w:pStyle w:val="ListParagraph"/>
        <w:ind w:left="0"/>
        <w:rPr>
          <w:b/>
        </w:rPr>
      </w:pPr>
    </w:p>
    <w:p w:rsidR="003A0D60" w:rsidRPr="00E44F63" w:rsidRDefault="003A0D60" w:rsidP="003A0D60">
      <w:pPr>
        <w:pStyle w:val="ListParagraph"/>
        <w:numPr>
          <w:ilvl w:val="0"/>
          <w:numId w:val="3"/>
        </w:numPr>
        <w:ind w:left="0"/>
        <w:rPr>
          <w:b/>
        </w:rPr>
      </w:pPr>
      <w:r w:rsidRPr="00E44F63">
        <w:rPr>
          <w:b/>
        </w:rPr>
        <w:t>Payment or Gift</w:t>
      </w:r>
    </w:p>
    <w:p w:rsidR="008A555D" w:rsidRDefault="008A555D" w:rsidP="008A555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There is no intent by NCUA to provide payment or gifts for information collected.  </w:t>
      </w:r>
    </w:p>
    <w:p w:rsidR="006E4341" w:rsidRPr="00E44F63" w:rsidRDefault="006E4341" w:rsidP="006E4341"/>
    <w:p w:rsidR="003A0D60" w:rsidRPr="00E44F63" w:rsidRDefault="003A0D60" w:rsidP="003A0D60">
      <w:pPr>
        <w:pStyle w:val="ListParagraph"/>
        <w:numPr>
          <w:ilvl w:val="0"/>
          <w:numId w:val="3"/>
        </w:numPr>
        <w:ind w:left="0"/>
        <w:rPr>
          <w:b/>
        </w:rPr>
      </w:pPr>
      <w:r w:rsidRPr="00E44F63">
        <w:rPr>
          <w:b/>
        </w:rPr>
        <w:t xml:space="preserve">Confidentiality </w:t>
      </w:r>
    </w:p>
    <w:p w:rsidR="003F450A" w:rsidRPr="008F5512" w:rsidRDefault="003F450A" w:rsidP="003F450A">
      <w:pPr>
        <w:numPr>
          <w:ilvl w:val="12"/>
          <w:numId w:val="0"/>
        </w:numPr>
        <w:rPr>
          <w:rFonts w:ascii="CG Times (W1)" w:hAnsi="CG Times (W1)"/>
        </w:rPr>
      </w:pPr>
      <w:r w:rsidRPr="005B5E0B">
        <w:rPr>
          <w:rFonts w:ascii="CG Times (W1)" w:hAnsi="CG Times (W1)"/>
        </w:rPr>
        <w:t xml:space="preserve">Not applicable.  </w:t>
      </w:r>
      <w:r>
        <w:rPr>
          <w:rFonts w:ascii="CG Times (W1)" w:hAnsi="CG Times (W1)"/>
        </w:rPr>
        <w:t>There is no issue of confidentiality b</w:t>
      </w:r>
      <w:r w:rsidRPr="005B5E0B">
        <w:rPr>
          <w:rFonts w:ascii="CG Times (W1)" w:hAnsi="CG Times (W1)"/>
        </w:rPr>
        <w:t>ecause NCUA does not collect any information.  NCUA</w:t>
      </w:r>
      <w:r>
        <w:rPr>
          <w:rFonts w:ascii="CG Times (W1)" w:hAnsi="CG Times (W1)"/>
        </w:rPr>
        <w:t xml:space="preserve"> may review records required by Part 760</w:t>
      </w:r>
      <w:r w:rsidRPr="005B5E0B">
        <w:rPr>
          <w:rFonts w:ascii="CG Times (W1)" w:hAnsi="CG Times (W1)"/>
        </w:rPr>
        <w:t xml:space="preserve"> during a</w:t>
      </w:r>
      <w:r>
        <w:rPr>
          <w:rFonts w:ascii="CG Times (W1)" w:hAnsi="CG Times (W1)"/>
        </w:rPr>
        <w:t xml:space="preserve"> credit union examination.  However,</w:t>
      </w:r>
      <w:r w:rsidRPr="005B5E0B">
        <w:rPr>
          <w:rFonts w:ascii="CG Times (W1)" w:hAnsi="CG Times (W1)"/>
        </w:rPr>
        <w:t xml:space="preserve"> those records would be protected from disclosure by exemption 8 of the Freedom of Information Act (FOIA).  5 U.S.C. §552(b)(8).</w:t>
      </w:r>
    </w:p>
    <w:p w:rsidR="003F450A" w:rsidRPr="00E44F63" w:rsidRDefault="003F450A" w:rsidP="003F450A">
      <w:pPr>
        <w:tabs>
          <w:tab w:val="left" w:pos="6187"/>
        </w:tabs>
      </w:pPr>
    </w:p>
    <w:p w:rsidR="003A0D60" w:rsidRPr="00E44F63" w:rsidRDefault="003A0D60" w:rsidP="003A0D60">
      <w:pPr>
        <w:pStyle w:val="ListParagraph"/>
        <w:numPr>
          <w:ilvl w:val="0"/>
          <w:numId w:val="3"/>
        </w:numPr>
        <w:ind w:left="0"/>
        <w:rPr>
          <w:b/>
        </w:rPr>
      </w:pPr>
      <w:r w:rsidRPr="00E44F63">
        <w:rPr>
          <w:b/>
        </w:rPr>
        <w:t xml:space="preserve">Sensitive </w:t>
      </w:r>
      <w:r>
        <w:rPr>
          <w:b/>
        </w:rPr>
        <w:t>Questions</w:t>
      </w:r>
    </w:p>
    <w:p w:rsidR="003D67D9" w:rsidRPr="008F5512" w:rsidRDefault="003A0D60" w:rsidP="00EA43D1">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CG Times (W1)" w:hAnsi="CG Times (W1)"/>
        </w:rPr>
      </w:pPr>
      <w:r>
        <w:tab/>
      </w:r>
      <w:r w:rsidR="003D67D9" w:rsidRPr="008F5512">
        <w:rPr>
          <w:rFonts w:ascii="CG Times (W1)" w:hAnsi="CG Times (W1)"/>
        </w:rPr>
        <w:t>No questions of a sensitive nature are involved.</w:t>
      </w:r>
      <w:r w:rsidR="000428A3">
        <w:rPr>
          <w:rFonts w:ascii="CG Times (W1)" w:hAnsi="CG Times (W1)"/>
        </w:rPr>
        <w:t xml:space="preserve"> </w:t>
      </w:r>
      <w:r w:rsidR="00A9408F">
        <w:rPr>
          <w:rFonts w:ascii="CG Times (W1)" w:hAnsi="CG Times (W1)"/>
        </w:rPr>
        <w:t xml:space="preserve"> </w:t>
      </w:r>
      <w:r w:rsidR="000428A3">
        <w:t>The information collection does not collect any Personally Identifiable Information (PII).</w:t>
      </w:r>
    </w:p>
    <w:p w:rsidR="004A2EBA" w:rsidRDefault="004A2EBA">
      <w:pPr>
        <w:spacing w:after="200" w:line="276" w:lineRule="auto"/>
        <w:rPr>
          <w:i/>
        </w:rPr>
      </w:pPr>
      <w:r>
        <w:rPr>
          <w:i/>
        </w:rPr>
        <w:br w:type="page"/>
      </w:r>
    </w:p>
    <w:p w:rsidR="003A0D60" w:rsidRPr="00DB18FA" w:rsidRDefault="003A0D60" w:rsidP="003A0D60">
      <w:pPr>
        <w:ind w:hanging="360"/>
        <w:rPr>
          <w:i/>
        </w:rPr>
      </w:pPr>
    </w:p>
    <w:p w:rsidR="003A0D60" w:rsidRDefault="003A0D60" w:rsidP="003A0D60">
      <w:pPr>
        <w:pStyle w:val="ListParagraph"/>
        <w:numPr>
          <w:ilvl w:val="0"/>
          <w:numId w:val="3"/>
        </w:numPr>
        <w:ind w:left="0"/>
        <w:rPr>
          <w:b/>
        </w:rPr>
      </w:pPr>
      <w:r w:rsidRPr="00E44F63">
        <w:rPr>
          <w:b/>
        </w:rPr>
        <w:t>Burden of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523"/>
        <w:gridCol w:w="1310"/>
        <w:gridCol w:w="1256"/>
        <w:gridCol w:w="1256"/>
        <w:gridCol w:w="876"/>
        <w:gridCol w:w="1202"/>
      </w:tblGrid>
      <w:tr w:rsidR="003D67D9" w:rsidRPr="00D11967" w:rsidTr="004A2EBA">
        <w:trPr>
          <w:cantSplit/>
          <w:tblHeader/>
        </w:trPr>
        <w:tc>
          <w:tcPr>
            <w:tcW w:w="1052" w:type="pct"/>
            <w:shd w:val="clear" w:color="auto" w:fill="DBE5F1"/>
          </w:tcPr>
          <w:p w:rsidR="003D67D9" w:rsidRPr="007A6866" w:rsidRDefault="003A0D60" w:rsidP="00C569A8">
            <w:pPr>
              <w:rPr>
                <w:rFonts w:eastAsia="Calibri"/>
                <w:b/>
              </w:rPr>
            </w:pPr>
            <w:r>
              <w:tab/>
            </w:r>
          </w:p>
        </w:tc>
        <w:tc>
          <w:tcPr>
            <w:tcW w:w="795" w:type="pct"/>
            <w:shd w:val="clear" w:color="auto" w:fill="DBE5F1"/>
          </w:tcPr>
          <w:p w:rsidR="003D67D9" w:rsidRPr="007A6866" w:rsidRDefault="003D67D9" w:rsidP="00C569A8">
            <w:pPr>
              <w:rPr>
                <w:rFonts w:eastAsia="Calibri"/>
                <w:b/>
              </w:rPr>
            </w:pPr>
            <w:r w:rsidRPr="007A6866">
              <w:rPr>
                <w:rFonts w:eastAsia="Calibri"/>
                <w:b/>
              </w:rPr>
              <w:t>Number of Respondents</w:t>
            </w:r>
          </w:p>
        </w:tc>
        <w:tc>
          <w:tcPr>
            <w:tcW w:w="684" w:type="pct"/>
            <w:shd w:val="clear" w:color="auto" w:fill="DBE5F1"/>
          </w:tcPr>
          <w:p w:rsidR="003D67D9" w:rsidRPr="007A6866" w:rsidRDefault="003D67D9" w:rsidP="00C569A8">
            <w:pPr>
              <w:rPr>
                <w:rFonts w:eastAsia="Calibri"/>
                <w:b/>
              </w:rPr>
            </w:pPr>
            <w:r w:rsidRPr="007A6866">
              <w:rPr>
                <w:rFonts w:eastAsia="Calibri"/>
                <w:b/>
              </w:rPr>
              <w:t>Estimated Annual Frequency</w:t>
            </w:r>
          </w:p>
        </w:tc>
        <w:tc>
          <w:tcPr>
            <w:tcW w:w="656" w:type="pct"/>
            <w:shd w:val="clear" w:color="auto" w:fill="DBE5F1"/>
          </w:tcPr>
          <w:p w:rsidR="003D67D9" w:rsidRPr="007A6866" w:rsidRDefault="003D67D9" w:rsidP="00C569A8">
            <w:pPr>
              <w:rPr>
                <w:rFonts w:eastAsia="Calibri"/>
                <w:b/>
              </w:rPr>
            </w:pPr>
            <w:r w:rsidRPr="007A6866">
              <w:rPr>
                <w:rFonts w:eastAsia="Calibri"/>
                <w:b/>
              </w:rPr>
              <w:t>Estimated Average Response Time (minutes)</w:t>
            </w:r>
          </w:p>
        </w:tc>
        <w:tc>
          <w:tcPr>
            <w:tcW w:w="677" w:type="pct"/>
            <w:shd w:val="clear" w:color="auto" w:fill="DBE5F1"/>
          </w:tcPr>
          <w:p w:rsidR="003D67D9" w:rsidRPr="007A6866" w:rsidRDefault="003D67D9" w:rsidP="00C569A8">
            <w:pPr>
              <w:rPr>
                <w:rFonts w:eastAsia="Calibri"/>
                <w:b/>
              </w:rPr>
            </w:pPr>
            <w:r w:rsidRPr="007A6866">
              <w:rPr>
                <w:rFonts w:eastAsia="Calibri"/>
                <w:b/>
              </w:rPr>
              <w:t>Estimated Annual Burden (Hours)</w:t>
            </w:r>
          </w:p>
        </w:tc>
        <w:tc>
          <w:tcPr>
            <w:tcW w:w="457" w:type="pct"/>
            <w:shd w:val="clear" w:color="auto" w:fill="DBE5F1"/>
          </w:tcPr>
          <w:p w:rsidR="003D67D9" w:rsidRPr="007A6866" w:rsidRDefault="003D67D9" w:rsidP="00C569A8">
            <w:pPr>
              <w:rPr>
                <w:rFonts w:eastAsia="Calibri"/>
                <w:b/>
              </w:rPr>
            </w:pPr>
            <w:r w:rsidRPr="007A6866">
              <w:rPr>
                <w:rFonts w:eastAsia="Calibri"/>
                <w:b/>
              </w:rPr>
              <w:t>Cost per Hour</w:t>
            </w:r>
          </w:p>
        </w:tc>
        <w:tc>
          <w:tcPr>
            <w:tcW w:w="679" w:type="pct"/>
            <w:shd w:val="clear" w:color="auto" w:fill="DBE5F1"/>
          </w:tcPr>
          <w:p w:rsidR="003D67D9" w:rsidRPr="007A6866" w:rsidRDefault="003D67D9" w:rsidP="00C569A8">
            <w:pPr>
              <w:rPr>
                <w:rFonts w:eastAsia="Calibri"/>
                <w:b/>
              </w:rPr>
            </w:pPr>
            <w:r w:rsidRPr="007A6866">
              <w:rPr>
                <w:rFonts w:eastAsia="Calibri"/>
                <w:b/>
              </w:rPr>
              <w:t>Total Cost ($ Millions)</w:t>
            </w:r>
          </w:p>
        </w:tc>
      </w:tr>
      <w:tr w:rsidR="003D67D9" w:rsidRPr="00D11967" w:rsidTr="00C569A8">
        <w:tc>
          <w:tcPr>
            <w:tcW w:w="5000" w:type="pct"/>
            <w:gridSpan w:val="7"/>
            <w:shd w:val="clear" w:color="auto" w:fill="C2D69B"/>
          </w:tcPr>
          <w:p w:rsidR="003D67D9" w:rsidRPr="007A6866" w:rsidRDefault="003D67D9" w:rsidP="00C569A8">
            <w:pPr>
              <w:rPr>
                <w:rFonts w:eastAsia="Calibri"/>
                <w:b/>
              </w:rPr>
            </w:pPr>
            <w:r w:rsidRPr="007A6866">
              <w:rPr>
                <w:rFonts w:eastAsia="Calibri"/>
                <w:b/>
              </w:rPr>
              <w:t>Recordkeeping</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#1 - Retention of Standard Flood Hazard Determination Form</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sidRPr="00C41A5C">
              <w:rPr>
                <w:rFonts w:eastAsia="Calibri"/>
              </w:rPr>
              <w:t>270</w:t>
            </w:r>
          </w:p>
        </w:tc>
        <w:tc>
          <w:tcPr>
            <w:tcW w:w="656" w:type="pct"/>
            <w:shd w:val="clear" w:color="auto" w:fill="auto"/>
          </w:tcPr>
          <w:p w:rsidR="003D67D9" w:rsidRPr="007A6866" w:rsidRDefault="003D67D9" w:rsidP="00C569A8">
            <w:pPr>
              <w:rPr>
                <w:rFonts w:eastAsia="Calibri"/>
              </w:rPr>
            </w:pPr>
            <w:r w:rsidRPr="007A6866">
              <w:rPr>
                <w:rFonts w:eastAsia="Calibri"/>
              </w:rPr>
              <w:t>2.5</w:t>
            </w:r>
          </w:p>
        </w:tc>
        <w:tc>
          <w:tcPr>
            <w:tcW w:w="677" w:type="pct"/>
            <w:shd w:val="clear" w:color="auto" w:fill="auto"/>
          </w:tcPr>
          <w:p w:rsidR="003D67D9" w:rsidRPr="007A6866" w:rsidRDefault="003D67D9" w:rsidP="00C126AD">
            <w:pPr>
              <w:rPr>
                <w:rFonts w:eastAsia="Calibri"/>
              </w:rPr>
            </w:pPr>
            <w:bookmarkStart w:id="1" w:name="OLE_LINK1"/>
            <w:r w:rsidRPr="007A6866">
              <w:rPr>
                <w:rFonts w:eastAsia="Calibri"/>
              </w:rPr>
              <w:t>45,</w:t>
            </w:r>
            <w:r w:rsidR="00C126AD">
              <w:rPr>
                <w:rFonts w:eastAsia="Calibri"/>
              </w:rPr>
              <w:t>360</w:t>
            </w:r>
            <w:bookmarkEnd w:id="1"/>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C569A8">
            <w:pPr>
              <w:rPr>
                <w:rFonts w:eastAsia="Calibri"/>
              </w:rPr>
            </w:pPr>
            <w:r w:rsidRPr="007A6866">
              <w:rPr>
                <w:rFonts w:eastAsia="Calibri"/>
              </w:rPr>
              <w:t>1.97</w:t>
            </w:r>
          </w:p>
        </w:tc>
      </w:tr>
      <w:tr w:rsidR="003D67D9" w:rsidRPr="00D11967" w:rsidTr="00C569A8">
        <w:tc>
          <w:tcPr>
            <w:tcW w:w="5000" w:type="pct"/>
            <w:gridSpan w:val="7"/>
            <w:shd w:val="clear" w:color="auto" w:fill="C2D69B"/>
          </w:tcPr>
          <w:p w:rsidR="003D67D9" w:rsidRPr="004A2EBA" w:rsidRDefault="003D67D9" w:rsidP="00C569A8">
            <w:pPr>
              <w:rPr>
                <w:rFonts w:eastAsia="Calibri"/>
                <w:b/>
                <w:highlight w:val="yellow"/>
              </w:rPr>
            </w:pPr>
            <w:r w:rsidRPr="004A2EBA">
              <w:rPr>
                <w:rFonts w:eastAsia="Calibri"/>
                <w:b/>
              </w:rPr>
              <w:t>Disclosures</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#2 - Notice of Special Flood Hazards to Borrower and Servicer</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sidRPr="00C41A5C">
              <w:rPr>
                <w:rFonts w:eastAsia="Calibri"/>
              </w:rPr>
              <w:t>54</w:t>
            </w:r>
          </w:p>
        </w:tc>
        <w:tc>
          <w:tcPr>
            <w:tcW w:w="656" w:type="pct"/>
            <w:shd w:val="clear" w:color="auto" w:fill="auto"/>
          </w:tcPr>
          <w:p w:rsidR="003D67D9" w:rsidRPr="007A6866" w:rsidRDefault="003D67D9" w:rsidP="00C569A8">
            <w:pPr>
              <w:rPr>
                <w:rFonts w:eastAsia="Calibri"/>
              </w:rPr>
            </w:pPr>
            <w:r w:rsidRPr="007A6866">
              <w:rPr>
                <w:rFonts w:eastAsia="Calibri"/>
              </w:rPr>
              <w:t>5</w:t>
            </w:r>
          </w:p>
        </w:tc>
        <w:tc>
          <w:tcPr>
            <w:tcW w:w="677" w:type="pct"/>
            <w:shd w:val="clear" w:color="auto" w:fill="auto"/>
          </w:tcPr>
          <w:p w:rsidR="003D67D9" w:rsidRPr="007A6866" w:rsidRDefault="003D67D9" w:rsidP="00412C97">
            <w:pPr>
              <w:rPr>
                <w:rFonts w:eastAsia="Calibri"/>
              </w:rPr>
            </w:pPr>
            <w:bookmarkStart w:id="2" w:name="OLE_LINK2"/>
            <w:r w:rsidRPr="007A6866">
              <w:rPr>
                <w:rFonts w:eastAsia="Calibri"/>
              </w:rPr>
              <w:t>18,14</w:t>
            </w:r>
            <w:r w:rsidR="00412C97">
              <w:rPr>
                <w:rFonts w:eastAsia="Calibri"/>
              </w:rPr>
              <w:t>4</w:t>
            </w:r>
            <w:bookmarkEnd w:id="2"/>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C569A8">
            <w:pPr>
              <w:rPr>
                <w:rFonts w:eastAsia="Calibri"/>
              </w:rPr>
            </w:pPr>
            <w:r w:rsidRPr="007A6866">
              <w:rPr>
                <w:rFonts w:eastAsia="Calibri"/>
              </w:rPr>
              <w:t>0.79</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#3 - Notice to FEMA of Servicer</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sidRPr="00C41A5C">
              <w:rPr>
                <w:rFonts w:eastAsia="Calibri"/>
              </w:rPr>
              <w:t>54</w:t>
            </w:r>
          </w:p>
        </w:tc>
        <w:tc>
          <w:tcPr>
            <w:tcW w:w="656" w:type="pct"/>
            <w:shd w:val="clear" w:color="auto" w:fill="auto"/>
          </w:tcPr>
          <w:p w:rsidR="003D67D9" w:rsidRPr="007A6866" w:rsidRDefault="003D67D9" w:rsidP="00C569A8">
            <w:pPr>
              <w:rPr>
                <w:rFonts w:eastAsia="Calibri"/>
              </w:rPr>
            </w:pPr>
            <w:r w:rsidRPr="007A6866">
              <w:rPr>
                <w:rFonts w:eastAsia="Calibri"/>
              </w:rPr>
              <w:t>5</w:t>
            </w:r>
          </w:p>
        </w:tc>
        <w:tc>
          <w:tcPr>
            <w:tcW w:w="677" w:type="pct"/>
            <w:shd w:val="clear" w:color="auto" w:fill="auto"/>
          </w:tcPr>
          <w:p w:rsidR="003D67D9" w:rsidRPr="007A6866" w:rsidRDefault="003D67D9" w:rsidP="00412C97">
            <w:pPr>
              <w:rPr>
                <w:rFonts w:eastAsia="Calibri"/>
              </w:rPr>
            </w:pPr>
            <w:bookmarkStart w:id="3" w:name="OLE_LINK3"/>
            <w:r w:rsidRPr="007A6866">
              <w:rPr>
                <w:rFonts w:eastAsia="Calibri"/>
              </w:rPr>
              <w:t>18,14</w:t>
            </w:r>
            <w:r w:rsidR="00412C97">
              <w:rPr>
                <w:rFonts w:eastAsia="Calibri"/>
              </w:rPr>
              <w:t>4</w:t>
            </w:r>
            <w:bookmarkEnd w:id="3"/>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C569A8">
            <w:pPr>
              <w:rPr>
                <w:rFonts w:eastAsia="Calibri"/>
              </w:rPr>
            </w:pPr>
            <w:r w:rsidRPr="007A6866">
              <w:rPr>
                <w:rFonts w:eastAsia="Calibri"/>
              </w:rPr>
              <w:t>0.79</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#4 - Notice to FEMA of Change in Servicer</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3D67D9" w:rsidP="008F1C70">
            <w:pPr>
              <w:rPr>
                <w:rFonts w:eastAsia="Calibri"/>
                <w:highlight w:val="yellow"/>
              </w:rPr>
            </w:pPr>
            <w:r w:rsidRPr="00C41A5C">
              <w:rPr>
                <w:rFonts w:eastAsia="Calibri"/>
              </w:rPr>
              <w:t>27</w:t>
            </w:r>
          </w:p>
        </w:tc>
        <w:tc>
          <w:tcPr>
            <w:tcW w:w="656" w:type="pct"/>
            <w:shd w:val="clear" w:color="auto" w:fill="auto"/>
          </w:tcPr>
          <w:p w:rsidR="003D67D9" w:rsidRPr="007A6866" w:rsidRDefault="003D67D9" w:rsidP="00C569A8">
            <w:pPr>
              <w:rPr>
                <w:rFonts w:eastAsia="Calibri"/>
              </w:rPr>
            </w:pPr>
            <w:r w:rsidRPr="007A6866">
              <w:rPr>
                <w:rFonts w:eastAsia="Calibri"/>
              </w:rPr>
              <w:t>5</w:t>
            </w:r>
          </w:p>
        </w:tc>
        <w:tc>
          <w:tcPr>
            <w:tcW w:w="677" w:type="pct"/>
            <w:shd w:val="clear" w:color="auto" w:fill="auto"/>
          </w:tcPr>
          <w:p w:rsidR="003D67D9" w:rsidRPr="007A6866" w:rsidRDefault="003D67D9" w:rsidP="00B21086">
            <w:pPr>
              <w:rPr>
                <w:rFonts w:eastAsia="Calibri"/>
              </w:rPr>
            </w:pPr>
            <w:r w:rsidRPr="007A6866">
              <w:rPr>
                <w:rFonts w:eastAsia="Calibri"/>
              </w:rPr>
              <w:t>9,072</w:t>
            </w:r>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C569A8">
            <w:pPr>
              <w:rPr>
                <w:rFonts w:eastAsia="Calibri"/>
              </w:rPr>
            </w:pPr>
            <w:r w:rsidRPr="007A6866">
              <w:rPr>
                <w:rFonts w:eastAsia="Calibri"/>
              </w:rPr>
              <w:t>0.39</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#5 - Notice to Borrower of Lapsed Mandated Flood Insurance</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412C97" w:rsidP="00412C97">
            <w:pPr>
              <w:rPr>
                <w:rFonts w:eastAsia="Calibri"/>
                <w:highlight w:val="yellow"/>
              </w:rPr>
            </w:pPr>
            <w:r w:rsidRPr="00C41A5C">
              <w:rPr>
                <w:rFonts w:eastAsia="Calibri"/>
              </w:rPr>
              <w:t>11</w:t>
            </w:r>
          </w:p>
        </w:tc>
        <w:tc>
          <w:tcPr>
            <w:tcW w:w="656" w:type="pct"/>
            <w:shd w:val="clear" w:color="auto" w:fill="auto"/>
          </w:tcPr>
          <w:p w:rsidR="003D67D9" w:rsidRPr="007A6866" w:rsidRDefault="003D67D9" w:rsidP="00C569A8">
            <w:pPr>
              <w:rPr>
                <w:rFonts w:eastAsia="Calibri"/>
              </w:rPr>
            </w:pPr>
            <w:r w:rsidRPr="007A6866">
              <w:rPr>
                <w:rFonts w:eastAsia="Calibri"/>
              </w:rPr>
              <w:t>5</w:t>
            </w:r>
          </w:p>
        </w:tc>
        <w:tc>
          <w:tcPr>
            <w:tcW w:w="677" w:type="pct"/>
            <w:shd w:val="clear" w:color="auto" w:fill="auto"/>
          </w:tcPr>
          <w:p w:rsidR="003D67D9" w:rsidRPr="007A6866" w:rsidRDefault="003D67D9" w:rsidP="00412C97">
            <w:pPr>
              <w:rPr>
                <w:rFonts w:eastAsia="Calibri"/>
              </w:rPr>
            </w:pPr>
            <w:r w:rsidRPr="007A6866">
              <w:rPr>
                <w:rFonts w:eastAsia="Calibri"/>
              </w:rPr>
              <w:t>3,6</w:t>
            </w:r>
            <w:r w:rsidR="00412C97">
              <w:rPr>
                <w:rFonts w:eastAsia="Calibri"/>
              </w:rPr>
              <w:t>96</w:t>
            </w:r>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C569A8">
            <w:pPr>
              <w:rPr>
                <w:rFonts w:eastAsia="Calibri"/>
              </w:rPr>
            </w:pPr>
            <w:r w:rsidRPr="007A6866">
              <w:rPr>
                <w:rFonts w:eastAsia="Calibri"/>
              </w:rPr>
              <w:t>0.16</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#6 - Purchase of Force-Placed Flood Insurance</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sidRPr="00C41A5C">
              <w:rPr>
                <w:rFonts w:eastAsia="Calibri"/>
              </w:rPr>
              <w:t>3</w:t>
            </w:r>
          </w:p>
        </w:tc>
        <w:tc>
          <w:tcPr>
            <w:tcW w:w="656" w:type="pct"/>
            <w:shd w:val="clear" w:color="auto" w:fill="auto"/>
          </w:tcPr>
          <w:p w:rsidR="003D67D9" w:rsidRPr="007A6866" w:rsidRDefault="003D67D9" w:rsidP="00C569A8">
            <w:pPr>
              <w:rPr>
                <w:rFonts w:eastAsia="Calibri"/>
              </w:rPr>
            </w:pPr>
            <w:r w:rsidRPr="007A6866">
              <w:rPr>
                <w:rFonts w:eastAsia="Calibri"/>
              </w:rPr>
              <w:t>15</w:t>
            </w:r>
          </w:p>
        </w:tc>
        <w:tc>
          <w:tcPr>
            <w:tcW w:w="677" w:type="pct"/>
            <w:shd w:val="clear" w:color="auto" w:fill="auto"/>
          </w:tcPr>
          <w:p w:rsidR="003D67D9" w:rsidRPr="007A6866" w:rsidRDefault="00412C97" w:rsidP="00412C97">
            <w:pPr>
              <w:rPr>
                <w:rFonts w:eastAsia="Calibri"/>
              </w:rPr>
            </w:pPr>
            <w:r>
              <w:rPr>
                <w:rFonts w:eastAsia="Calibri"/>
              </w:rPr>
              <w:t>3,024</w:t>
            </w:r>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412C97">
            <w:pPr>
              <w:rPr>
                <w:rFonts w:eastAsia="Calibri"/>
              </w:rPr>
            </w:pPr>
            <w:r w:rsidRPr="007A6866">
              <w:rPr>
                <w:rFonts w:eastAsia="Calibri"/>
              </w:rPr>
              <w:t>0.1</w:t>
            </w:r>
            <w:r w:rsidR="00412C97">
              <w:rPr>
                <w:rFonts w:eastAsia="Calibri"/>
              </w:rPr>
              <w:t>3</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#7 - Notice to Borrower and Servicer of Remapping</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sidRPr="00C41A5C">
              <w:rPr>
                <w:rFonts w:eastAsia="Calibri"/>
              </w:rPr>
              <w:t>5</w:t>
            </w:r>
          </w:p>
        </w:tc>
        <w:tc>
          <w:tcPr>
            <w:tcW w:w="656" w:type="pct"/>
            <w:shd w:val="clear" w:color="auto" w:fill="auto"/>
          </w:tcPr>
          <w:p w:rsidR="003D67D9" w:rsidRPr="007A6866" w:rsidRDefault="003D67D9" w:rsidP="00C569A8">
            <w:pPr>
              <w:rPr>
                <w:rFonts w:eastAsia="Calibri"/>
              </w:rPr>
            </w:pPr>
            <w:r w:rsidRPr="007A6866">
              <w:rPr>
                <w:rFonts w:eastAsia="Calibri"/>
              </w:rPr>
              <w:t>5</w:t>
            </w:r>
          </w:p>
        </w:tc>
        <w:tc>
          <w:tcPr>
            <w:tcW w:w="677" w:type="pct"/>
            <w:shd w:val="clear" w:color="auto" w:fill="auto"/>
          </w:tcPr>
          <w:p w:rsidR="003D67D9" w:rsidRPr="007A6866" w:rsidRDefault="003D67D9" w:rsidP="00412C97">
            <w:pPr>
              <w:rPr>
                <w:rFonts w:eastAsia="Calibri"/>
              </w:rPr>
            </w:pPr>
            <w:r w:rsidRPr="007A6866">
              <w:rPr>
                <w:rFonts w:eastAsia="Calibri"/>
              </w:rPr>
              <w:t>1,</w:t>
            </w:r>
            <w:r w:rsidR="00412C97">
              <w:rPr>
                <w:rFonts w:eastAsia="Calibri"/>
              </w:rPr>
              <w:t>680</w:t>
            </w:r>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412C97">
            <w:pPr>
              <w:rPr>
                <w:rFonts w:eastAsia="Calibri"/>
              </w:rPr>
            </w:pPr>
            <w:r w:rsidRPr="007A6866">
              <w:rPr>
                <w:rFonts w:eastAsia="Calibri"/>
              </w:rPr>
              <w:t>0.0</w:t>
            </w:r>
            <w:r w:rsidR="00412C97">
              <w:rPr>
                <w:rFonts w:eastAsia="Calibri"/>
              </w:rPr>
              <w:t>7</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IC #8 - Purchase of Force-Placed Flood Insurance for Borrower from Remapping</w:t>
            </w:r>
          </w:p>
        </w:tc>
        <w:tc>
          <w:tcPr>
            <w:tcW w:w="795" w:type="pct"/>
            <w:shd w:val="clear" w:color="auto" w:fill="auto"/>
          </w:tcPr>
          <w:p w:rsidR="003D67D9" w:rsidRPr="007A6866" w:rsidRDefault="003D67D9" w:rsidP="00C569A8">
            <w:pPr>
              <w:rPr>
                <w:rFonts w:eastAsia="Calibri"/>
              </w:rPr>
            </w:pPr>
            <w:r w:rsidRPr="007A6866">
              <w:rPr>
                <w:rFonts w:eastAsia="Calibri"/>
              </w:rPr>
              <w:t>4,032</w:t>
            </w:r>
          </w:p>
        </w:tc>
        <w:tc>
          <w:tcPr>
            <w:tcW w:w="684" w:type="pct"/>
            <w:shd w:val="clear" w:color="auto" w:fill="auto"/>
          </w:tcPr>
          <w:p w:rsidR="003D67D9" w:rsidRPr="004A2EBA" w:rsidRDefault="00C126AD" w:rsidP="00C126AD">
            <w:pPr>
              <w:rPr>
                <w:rFonts w:eastAsia="Calibri"/>
                <w:highlight w:val="yellow"/>
              </w:rPr>
            </w:pPr>
            <w:r>
              <w:rPr>
                <w:rFonts w:eastAsia="Calibri"/>
              </w:rPr>
              <w:t>3</w:t>
            </w:r>
          </w:p>
        </w:tc>
        <w:tc>
          <w:tcPr>
            <w:tcW w:w="656" w:type="pct"/>
            <w:shd w:val="clear" w:color="auto" w:fill="auto"/>
          </w:tcPr>
          <w:p w:rsidR="003D67D9" w:rsidRPr="007A6866" w:rsidRDefault="003D67D9" w:rsidP="00C569A8">
            <w:pPr>
              <w:rPr>
                <w:rFonts w:eastAsia="Calibri"/>
              </w:rPr>
            </w:pPr>
            <w:r w:rsidRPr="007A6866">
              <w:rPr>
                <w:rFonts w:eastAsia="Calibri"/>
              </w:rPr>
              <w:t>15</w:t>
            </w:r>
          </w:p>
        </w:tc>
        <w:tc>
          <w:tcPr>
            <w:tcW w:w="677" w:type="pct"/>
            <w:shd w:val="clear" w:color="auto" w:fill="auto"/>
          </w:tcPr>
          <w:p w:rsidR="003D67D9" w:rsidRPr="007A6866" w:rsidRDefault="00412C97" w:rsidP="00412C97">
            <w:pPr>
              <w:rPr>
                <w:rFonts w:eastAsia="Calibri"/>
              </w:rPr>
            </w:pPr>
            <w:r>
              <w:rPr>
                <w:rFonts w:eastAsia="Calibri"/>
              </w:rPr>
              <w:t>3,024</w:t>
            </w:r>
          </w:p>
        </w:tc>
        <w:tc>
          <w:tcPr>
            <w:tcW w:w="457" w:type="pct"/>
            <w:shd w:val="clear" w:color="auto" w:fill="auto"/>
          </w:tcPr>
          <w:p w:rsidR="003D67D9" w:rsidRPr="007A6866" w:rsidRDefault="003D67D9" w:rsidP="00C569A8">
            <w:pPr>
              <w:rPr>
                <w:rFonts w:eastAsia="Calibri"/>
              </w:rPr>
            </w:pPr>
            <w:r w:rsidRPr="007A6866">
              <w:rPr>
                <w:rFonts w:eastAsia="Calibri"/>
              </w:rPr>
              <w:t>43.535</w:t>
            </w:r>
          </w:p>
        </w:tc>
        <w:tc>
          <w:tcPr>
            <w:tcW w:w="679" w:type="pct"/>
            <w:shd w:val="clear" w:color="auto" w:fill="auto"/>
          </w:tcPr>
          <w:p w:rsidR="003D67D9" w:rsidRPr="007A6866" w:rsidRDefault="003D67D9" w:rsidP="00412C97">
            <w:pPr>
              <w:rPr>
                <w:rFonts w:eastAsia="Calibri"/>
              </w:rPr>
            </w:pPr>
            <w:r w:rsidRPr="007A6866">
              <w:rPr>
                <w:rFonts w:eastAsia="Calibri"/>
              </w:rPr>
              <w:t>0.1</w:t>
            </w:r>
            <w:r w:rsidR="00412C97">
              <w:rPr>
                <w:rFonts w:eastAsia="Calibri"/>
              </w:rPr>
              <w:t>3</w:t>
            </w:r>
          </w:p>
        </w:tc>
      </w:tr>
      <w:tr w:rsidR="003D67D9" w:rsidRPr="00D11967" w:rsidTr="00EA43D1">
        <w:tc>
          <w:tcPr>
            <w:tcW w:w="1052" w:type="pct"/>
            <w:shd w:val="clear" w:color="auto" w:fill="auto"/>
          </w:tcPr>
          <w:p w:rsidR="003D67D9" w:rsidRPr="007A6866" w:rsidRDefault="003D67D9" w:rsidP="00C569A8">
            <w:pPr>
              <w:rPr>
                <w:rFonts w:eastAsia="Calibri"/>
              </w:rPr>
            </w:pPr>
            <w:r w:rsidRPr="007A6866">
              <w:rPr>
                <w:rFonts w:eastAsia="Calibri"/>
              </w:rPr>
              <w:t>Total</w:t>
            </w:r>
          </w:p>
        </w:tc>
        <w:tc>
          <w:tcPr>
            <w:tcW w:w="795" w:type="pct"/>
            <w:shd w:val="clear" w:color="auto" w:fill="auto"/>
          </w:tcPr>
          <w:p w:rsidR="003D67D9" w:rsidRPr="007A6866" w:rsidRDefault="003D67D9" w:rsidP="00C569A8">
            <w:pPr>
              <w:rPr>
                <w:rFonts w:eastAsia="Calibri"/>
              </w:rPr>
            </w:pPr>
          </w:p>
        </w:tc>
        <w:tc>
          <w:tcPr>
            <w:tcW w:w="684" w:type="pct"/>
            <w:shd w:val="clear" w:color="auto" w:fill="auto"/>
          </w:tcPr>
          <w:p w:rsidR="003D67D9" w:rsidRPr="007A6866" w:rsidRDefault="003D67D9" w:rsidP="00C569A8">
            <w:pPr>
              <w:rPr>
                <w:rFonts w:eastAsia="Calibri"/>
              </w:rPr>
            </w:pPr>
          </w:p>
        </w:tc>
        <w:tc>
          <w:tcPr>
            <w:tcW w:w="656" w:type="pct"/>
            <w:shd w:val="clear" w:color="auto" w:fill="auto"/>
          </w:tcPr>
          <w:p w:rsidR="003D67D9" w:rsidRPr="007A6866" w:rsidRDefault="003D67D9" w:rsidP="00C569A8">
            <w:pPr>
              <w:rPr>
                <w:rFonts w:eastAsia="Calibri"/>
              </w:rPr>
            </w:pPr>
          </w:p>
        </w:tc>
        <w:tc>
          <w:tcPr>
            <w:tcW w:w="677" w:type="pct"/>
            <w:shd w:val="clear" w:color="auto" w:fill="auto"/>
          </w:tcPr>
          <w:p w:rsidR="003D67D9" w:rsidRPr="007A6866" w:rsidRDefault="00412C97" w:rsidP="00412C97">
            <w:pPr>
              <w:rPr>
                <w:rFonts w:eastAsia="Calibri"/>
              </w:rPr>
            </w:pPr>
            <w:r>
              <w:rPr>
                <w:rFonts w:eastAsia="Calibri"/>
              </w:rPr>
              <w:t>56,784</w:t>
            </w:r>
          </w:p>
        </w:tc>
        <w:tc>
          <w:tcPr>
            <w:tcW w:w="457" w:type="pct"/>
            <w:shd w:val="clear" w:color="auto" w:fill="auto"/>
          </w:tcPr>
          <w:p w:rsidR="003D67D9" w:rsidRPr="007A6866" w:rsidRDefault="003D67D9" w:rsidP="00C569A8">
            <w:pPr>
              <w:rPr>
                <w:rFonts w:eastAsia="Calibri"/>
              </w:rPr>
            </w:pPr>
          </w:p>
        </w:tc>
        <w:tc>
          <w:tcPr>
            <w:tcW w:w="679" w:type="pct"/>
            <w:shd w:val="clear" w:color="auto" w:fill="auto"/>
          </w:tcPr>
          <w:p w:rsidR="003D67D9" w:rsidRPr="007A6866" w:rsidRDefault="003D67D9" w:rsidP="00C569A8">
            <w:pPr>
              <w:rPr>
                <w:rFonts w:eastAsia="Calibri"/>
              </w:rPr>
            </w:pPr>
          </w:p>
        </w:tc>
      </w:tr>
      <w:tr w:rsidR="003D67D9" w:rsidRPr="00D11967" w:rsidTr="00EA43D1">
        <w:tc>
          <w:tcPr>
            <w:tcW w:w="1052" w:type="pct"/>
            <w:shd w:val="clear" w:color="auto" w:fill="C2D69B"/>
          </w:tcPr>
          <w:p w:rsidR="003D67D9" w:rsidRPr="007A6866" w:rsidRDefault="003D67D9" w:rsidP="00C569A8">
            <w:pPr>
              <w:rPr>
                <w:rFonts w:eastAsia="Calibri"/>
              </w:rPr>
            </w:pPr>
          </w:p>
        </w:tc>
        <w:tc>
          <w:tcPr>
            <w:tcW w:w="795" w:type="pct"/>
            <w:shd w:val="clear" w:color="auto" w:fill="C2D69B"/>
          </w:tcPr>
          <w:p w:rsidR="003D67D9" w:rsidRPr="007A6866" w:rsidRDefault="003D67D9" w:rsidP="00C569A8">
            <w:pPr>
              <w:rPr>
                <w:rFonts w:eastAsia="Calibri"/>
              </w:rPr>
            </w:pPr>
          </w:p>
        </w:tc>
        <w:tc>
          <w:tcPr>
            <w:tcW w:w="684" w:type="pct"/>
            <w:shd w:val="clear" w:color="auto" w:fill="C2D69B"/>
          </w:tcPr>
          <w:p w:rsidR="003D67D9" w:rsidRPr="007A6866" w:rsidRDefault="003D67D9" w:rsidP="00C569A8">
            <w:pPr>
              <w:rPr>
                <w:rFonts w:eastAsia="Calibri"/>
              </w:rPr>
            </w:pPr>
          </w:p>
        </w:tc>
        <w:tc>
          <w:tcPr>
            <w:tcW w:w="656" w:type="pct"/>
            <w:shd w:val="clear" w:color="auto" w:fill="C2D69B"/>
          </w:tcPr>
          <w:p w:rsidR="003D67D9" w:rsidRPr="007A6866" w:rsidRDefault="003D67D9" w:rsidP="00C569A8">
            <w:pPr>
              <w:rPr>
                <w:rFonts w:eastAsia="Calibri"/>
              </w:rPr>
            </w:pPr>
          </w:p>
        </w:tc>
        <w:tc>
          <w:tcPr>
            <w:tcW w:w="677" w:type="pct"/>
            <w:shd w:val="clear" w:color="auto" w:fill="C2D69B"/>
          </w:tcPr>
          <w:p w:rsidR="003D67D9" w:rsidRPr="007A6866" w:rsidRDefault="003D67D9" w:rsidP="00C569A8">
            <w:pPr>
              <w:rPr>
                <w:rFonts w:eastAsia="Calibri"/>
              </w:rPr>
            </w:pPr>
          </w:p>
        </w:tc>
        <w:tc>
          <w:tcPr>
            <w:tcW w:w="457" w:type="pct"/>
            <w:shd w:val="clear" w:color="auto" w:fill="C2D69B"/>
          </w:tcPr>
          <w:p w:rsidR="003D67D9" w:rsidRPr="007A6866" w:rsidRDefault="003D67D9" w:rsidP="00C569A8">
            <w:pPr>
              <w:rPr>
                <w:rFonts w:eastAsia="Calibri"/>
              </w:rPr>
            </w:pPr>
          </w:p>
        </w:tc>
        <w:tc>
          <w:tcPr>
            <w:tcW w:w="679" w:type="pct"/>
            <w:shd w:val="clear" w:color="auto" w:fill="C2D69B"/>
          </w:tcPr>
          <w:p w:rsidR="003D67D9" w:rsidRPr="007A6866" w:rsidRDefault="003D67D9" w:rsidP="00C569A8">
            <w:pPr>
              <w:rPr>
                <w:rFonts w:eastAsia="Calibri"/>
              </w:rPr>
            </w:pPr>
          </w:p>
        </w:tc>
      </w:tr>
      <w:tr w:rsidR="003D67D9" w:rsidRPr="00D11967" w:rsidTr="00EA43D1">
        <w:tc>
          <w:tcPr>
            <w:tcW w:w="1052" w:type="pct"/>
            <w:shd w:val="clear" w:color="auto" w:fill="DBE5F1"/>
          </w:tcPr>
          <w:p w:rsidR="003D67D9" w:rsidRPr="007A6866" w:rsidRDefault="003D67D9" w:rsidP="00C569A8">
            <w:pPr>
              <w:rPr>
                <w:rFonts w:eastAsia="Calibri"/>
                <w:b/>
              </w:rPr>
            </w:pPr>
            <w:r w:rsidRPr="007A6866">
              <w:rPr>
                <w:rFonts w:eastAsia="Calibri"/>
                <w:b/>
              </w:rPr>
              <w:t>Totals</w:t>
            </w:r>
          </w:p>
        </w:tc>
        <w:tc>
          <w:tcPr>
            <w:tcW w:w="795" w:type="pct"/>
            <w:shd w:val="clear" w:color="auto" w:fill="auto"/>
          </w:tcPr>
          <w:p w:rsidR="003D67D9" w:rsidRPr="007A6866" w:rsidRDefault="003D67D9" w:rsidP="00C569A8">
            <w:pPr>
              <w:rPr>
                <w:rFonts w:eastAsia="Calibri"/>
              </w:rPr>
            </w:pPr>
          </w:p>
        </w:tc>
        <w:tc>
          <w:tcPr>
            <w:tcW w:w="684" w:type="pct"/>
            <w:shd w:val="clear" w:color="auto" w:fill="auto"/>
          </w:tcPr>
          <w:p w:rsidR="003D67D9" w:rsidRPr="007A6866" w:rsidRDefault="003D67D9" w:rsidP="00C569A8">
            <w:pPr>
              <w:rPr>
                <w:rFonts w:eastAsia="Calibri"/>
              </w:rPr>
            </w:pPr>
          </w:p>
        </w:tc>
        <w:tc>
          <w:tcPr>
            <w:tcW w:w="656" w:type="pct"/>
            <w:shd w:val="clear" w:color="auto" w:fill="auto"/>
          </w:tcPr>
          <w:p w:rsidR="003D67D9" w:rsidRPr="007A6866" w:rsidRDefault="003D67D9" w:rsidP="00C569A8">
            <w:pPr>
              <w:rPr>
                <w:rFonts w:eastAsia="Calibri"/>
              </w:rPr>
            </w:pPr>
          </w:p>
        </w:tc>
        <w:tc>
          <w:tcPr>
            <w:tcW w:w="677" w:type="pct"/>
            <w:shd w:val="clear" w:color="auto" w:fill="auto"/>
          </w:tcPr>
          <w:p w:rsidR="003D67D9" w:rsidRPr="007A6866" w:rsidRDefault="00412C97" w:rsidP="00412C97">
            <w:pPr>
              <w:rPr>
                <w:rFonts w:eastAsia="Calibri"/>
              </w:rPr>
            </w:pPr>
            <w:r>
              <w:rPr>
                <w:rFonts w:eastAsia="Calibri"/>
              </w:rPr>
              <w:t>102,144</w:t>
            </w:r>
            <w:r w:rsidR="003D67D9" w:rsidRPr="007A6866">
              <w:rPr>
                <w:rFonts w:eastAsia="Calibri"/>
              </w:rPr>
              <w:t xml:space="preserve"> </w:t>
            </w:r>
          </w:p>
        </w:tc>
        <w:tc>
          <w:tcPr>
            <w:tcW w:w="457" w:type="pct"/>
            <w:shd w:val="clear" w:color="auto" w:fill="auto"/>
          </w:tcPr>
          <w:p w:rsidR="003D67D9" w:rsidRPr="007A6866" w:rsidRDefault="003D67D9" w:rsidP="00C569A8">
            <w:pPr>
              <w:rPr>
                <w:rFonts w:eastAsia="Calibri"/>
              </w:rPr>
            </w:pPr>
          </w:p>
        </w:tc>
        <w:tc>
          <w:tcPr>
            <w:tcW w:w="679" w:type="pct"/>
            <w:shd w:val="clear" w:color="auto" w:fill="auto"/>
          </w:tcPr>
          <w:p w:rsidR="003D67D9" w:rsidRPr="007A6866" w:rsidRDefault="003D67D9" w:rsidP="005111FF">
            <w:pPr>
              <w:rPr>
                <w:rFonts w:eastAsia="Calibri"/>
              </w:rPr>
            </w:pPr>
            <w:r w:rsidRPr="007A6866">
              <w:rPr>
                <w:rFonts w:eastAsia="Calibri"/>
              </w:rPr>
              <w:t xml:space="preserve">4.4 </w:t>
            </w:r>
          </w:p>
        </w:tc>
      </w:tr>
    </w:tbl>
    <w:p w:rsidR="003D67D9" w:rsidRDefault="003D67D9" w:rsidP="003A0D60">
      <w:pPr>
        <w:tabs>
          <w:tab w:val="left" w:pos="-1080"/>
          <w:tab w:val="left" w:pos="-720"/>
          <w:tab w:val="left" w:pos="0"/>
          <w:tab w:val="left" w:pos="450"/>
          <w:tab w:val="left" w:pos="720"/>
          <w:tab w:val="left" w:pos="2160"/>
        </w:tabs>
        <w:ind w:hanging="360"/>
      </w:pPr>
    </w:p>
    <w:p w:rsidR="003A0D60" w:rsidRDefault="003A0D60" w:rsidP="004A2EBA">
      <w:pPr>
        <w:tabs>
          <w:tab w:val="left" w:pos="-1080"/>
          <w:tab w:val="left" w:pos="-720"/>
          <w:tab w:val="left" w:pos="0"/>
          <w:tab w:val="left" w:pos="450"/>
          <w:tab w:val="left" w:pos="720"/>
          <w:tab w:val="left" w:pos="2160"/>
        </w:tabs>
        <w:ind w:hanging="360"/>
      </w:pPr>
      <w:r>
        <w:tab/>
      </w:r>
    </w:p>
    <w:p w:rsidR="003A0D60" w:rsidRPr="00E44F63" w:rsidRDefault="003A0D60" w:rsidP="003A0D60">
      <w:pPr>
        <w:tabs>
          <w:tab w:val="left" w:pos="-1080"/>
          <w:tab w:val="left" w:pos="-720"/>
          <w:tab w:val="left" w:pos="0"/>
          <w:tab w:val="left" w:pos="450"/>
          <w:tab w:val="left" w:pos="720"/>
          <w:tab w:val="left" w:pos="2160"/>
        </w:tabs>
        <w:ind w:hanging="360"/>
      </w:pPr>
    </w:p>
    <w:p w:rsidR="003A0D60" w:rsidRDefault="003A0D60" w:rsidP="00080BAE">
      <w:pPr>
        <w:pStyle w:val="ListParagraph"/>
        <w:numPr>
          <w:ilvl w:val="0"/>
          <w:numId w:val="3"/>
        </w:numPr>
        <w:ind w:left="0"/>
        <w:rPr>
          <w:b/>
        </w:rPr>
      </w:pPr>
      <w:r w:rsidRPr="00E44F63">
        <w:rPr>
          <w:b/>
        </w:rPr>
        <w:t>Costs to Respondents</w:t>
      </w:r>
    </w:p>
    <w:p w:rsidR="006A1C6F" w:rsidRDefault="00C41A5C" w:rsidP="00EA43D1">
      <w:pPr>
        <w:pStyle w:val="ListParagraph"/>
        <w:tabs>
          <w:tab w:val="left" w:pos="-720"/>
          <w:tab w:val="left" w:pos="286"/>
          <w:tab w:val="left" w:pos="403"/>
        </w:tabs>
        <w:suppressAutoHyphens/>
        <w:ind w:left="0" w:hanging="360"/>
        <w:rPr>
          <w:rFonts w:ascii="CG Times (W1)" w:hAnsi="CG Times (W1)"/>
        </w:rPr>
      </w:pPr>
      <w:r>
        <w:rPr>
          <w:rFonts w:ascii="CG Times (W1)" w:hAnsi="CG Times (W1)"/>
        </w:rPr>
        <w:tab/>
      </w:r>
      <w:r w:rsidR="00D20258">
        <w:rPr>
          <w:rFonts w:ascii="CG Times (W1)" w:hAnsi="CG Times (W1)"/>
        </w:rPr>
        <w:t>C</w:t>
      </w:r>
      <w:r w:rsidR="006A1C6F">
        <w:rPr>
          <w:rFonts w:ascii="CG Times (W1)" w:hAnsi="CG Times (W1)"/>
        </w:rPr>
        <w:t>ost was calculated in Item 12.</w:t>
      </w:r>
      <w:r w:rsidR="00D20258">
        <w:rPr>
          <w:rFonts w:ascii="CG Times (W1)" w:hAnsi="CG Times (W1)"/>
        </w:rPr>
        <w:t xml:space="preserve">  Hourly rate was determined by the </w:t>
      </w:r>
      <w:r w:rsidR="003C3F39">
        <w:rPr>
          <w:rFonts w:ascii="CG Times (W1)" w:hAnsi="CG Times (W1)"/>
        </w:rPr>
        <w:t xml:space="preserve">NCUA’s </w:t>
      </w:r>
      <w:r>
        <w:rPr>
          <w:rFonts w:ascii="CG Times (W1)" w:hAnsi="CG Times (W1)"/>
        </w:rPr>
        <w:t xml:space="preserve">Office of the Chief </w:t>
      </w:r>
      <w:r w:rsidR="00D20258">
        <w:rPr>
          <w:rFonts w:ascii="CG Times (W1)" w:hAnsi="CG Times (W1)"/>
        </w:rPr>
        <w:t>Economist.</w:t>
      </w:r>
    </w:p>
    <w:p w:rsidR="006A1C6F" w:rsidRPr="00E44F63" w:rsidRDefault="006A1C6F" w:rsidP="003A0D60">
      <w:pPr>
        <w:pStyle w:val="ListParagraph"/>
        <w:ind w:left="0" w:hanging="360"/>
        <w:rPr>
          <w:b/>
        </w:rPr>
      </w:pPr>
    </w:p>
    <w:p w:rsidR="003A0D60" w:rsidRPr="00E44F63" w:rsidRDefault="003A0D60" w:rsidP="00A8264A">
      <w:pPr>
        <w:pStyle w:val="ListParagraph"/>
        <w:numPr>
          <w:ilvl w:val="0"/>
          <w:numId w:val="3"/>
        </w:numPr>
        <w:ind w:left="0"/>
        <w:rPr>
          <w:b/>
        </w:rPr>
      </w:pPr>
      <w:r w:rsidRPr="00E44F63">
        <w:rPr>
          <w:b/>
        </w:rPr>
        <w:t>Costs to Federal Government</w:t>
      </w:r>
    </w:p>
    <w:p w:rsidR="004A2EBA" w:rsidRPr="008F5512" w:rsidRDefault="004A2EBA" w:rsidP="004A2EBA">
      <w:pPr>
        <w:numPr>
          <w:ilvl w:val="12"/>
          <w:numId w:val="0"/>
        </w:numPr>
        <w:rPr>
          <w:rFonts w:ascii="CG Times (W1)" w:hAnsi="CG Times (W1)"/>
        </w:rPr>
      </w:pPr>
      <w:r w:rsidRPr="008F5512">
        <w:rPr>
          <w:rFonts w:ascii="CG Times (W1)" w:hAnsi="CG Times (W1)"/>
        </w:rPr>
        <w:t>Not applicable.  The estimated cost to NCUA is negligible.</w:t>
      </w:r>
    </w:p>
    <w:p w:rsidR="003A0D60" w:rsidRPr="00E44F63" w:rsidRDefault="003A0D60" w:rsidP="003A0D60">
      <w:pPr>
        <w:pStyle w:val="ListParagraph"/>
        <w:ind w:left="0" w:hanging="360"/>
        <w:rPr>
          <w:b/>
        </w:rPr>
      </w:pPr>
    </w:p>
    <w:p w:rsidR="003A0D60" w:rsidRPr="00E44F63" w:rsidRDefault="003A0D60" w:rsidP="00A8264A">
      <w:pPr>
        <w:pStyle w:val="ListParagraph"/>
        <w:numPr>
          <w:ilvl w:val="0"/>
          <w:numId w:val="3"/>
        </w:numPr>
        <w:ind w:left="0"/>
        <w:rPr>
          <w:b/>
        </w:rPr>
      </w:pPr>
      <w:r w:rsidRPr="00E44F63">
        <w:rPr>
          <w:b/>
        </w:rPr>
        <w:t>Change</w:t>
      </w:r>
      <w:r>
        <w:rPr>
          <w:b/>
        </w:rPr>
        <w:t>s in Burden</w:t>
      </w:r>
    </w:p>
    <w:p w:rsidR="006A1C6F" w:rsidRDefault="00412C97" w:rsidP="006A1C6F">
      <w:pPr>
        <w:rPr>
          <w:rFonts w:ascii="CG Times (W1)" w:hAnsi="CG Times (W1)"/>
        </w:rPr>
      </w:pPr>
      <w:r w:rsidRPr="00412C97">
        <w:rPr>
          <w:rFonts w:ascii="CG Times (W1)" w:hAnsi="CG Times (W1)"/>
        </w:rPr>
        <w:t>There have been no changes to the program requirements, however, the burden hours have changed due to changes</w:t>
      </w:r>
      <w:r>
        <w:rPr>
          <w:rFonts w:ascii="CG Times (W1)" w:hAnsi="CG Times (W1)"/>
        </w:rPr>
        <w:t xml:space="preserve"> in the number of applicable credit unions.</w:t>
      </w:r>
    </w:p>
    <w:p w:rsidR="003A0D60" w:rsidRPr="00E44F63" w:rsidRDefault="003A0D60" w:rsidP="003A0D60">
      <w:pPr>
        <w:ind w:hanging="360"/>
        <w:rPr>
          <w:b/>
        </w:rPr>
      </w:pPr>
    </w:p>
    <w:p w:rsidR="003A0D60" w:rsidRPr="00E44F63" w:rsidRDefault="003A0D60" w:rsidP="00A8264A">
      <w:pPr>
        <w:pStyle w:val="ListParagraph"/>
        <w:numPr>
          <w:ilvl w:val="0"/>
          <w:numId w:val="3"/>
        </w:numPr>
        <w:tabs>
          <w:tab w:val="left" w:pos="0"/>
        </w:tabs>
        <w:ind w:left="0"/>
        <w:rPr>
          <w:b/>
        </w:rPr>
      </w:pPr>
      <w:r>
        <w:rPr>
          <w:b/>
        </w:rPr>
        <w:t>Information Collection Planned for Statistical Purposes</w:t>
      </w:r>
    </w:p>
    <w:p w:rsidR="003A0D60"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Not applicable.  The information collection is not used for statistical purposes</w:t>
      </w:r>
      <w:r w:rsidR="004A2EBA">
        <w:t>.</w:t>
      </w:r>
    </w:p>
    <w:p w:rsidR="006A1C6F" w:rsidRDefault="006A1C6F"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003A0D60" w:rsidRPr="00E44F63" w:rsidRDefault="003A0D60" w:rsidP="00A8264A">
      <w:pPr>
        <w:pStyle w:val="ListParagraph"/>
        <w:keepNext/>
        <w:numPr>
          <w:ilvl w:val="0"/>
          <w:numId w:val="3"/>
        </w:numPr>
        <w:ind w:left="0"/>
        <w:rPr>
          <w:b/>
        </w:rPr>
      </w:pPr>
      <w:r>
        <w:rPr>
          <w:b/>
        </w:rPr>
        <w:t>Approval to Omit OMB Expiration</w:t>
      </w:r>
      <w:r w:rsidRPr="00E44F63">
        <w:rPr>
          <w:b/>
        </w:rPr>
        <w:t xml:space="preserve"> Date</w:t>
      </w:r>
    </w:p>
    <w:p w:rsidR="006A1C6F" w:rsidRPr="006A1C6F" w:rsidRDefault="006A1C6F" w:rsidP="006A1C6F">
      <w:pPr>
        <w:rPr>
          <w:rFonts w:ascii="CG Times (W1)" w:hAnsi="CG Times (W1)"/>
        </w:rPr>
      </w:pPr>
      <w:r w:rsidRPr="00D03EA2">
        <w:rPr>
          <w:rFonts w:ascii="CG Times (W1)" w:hAnsi="CG Times (W1)"/>
        </w:rPr>
        <w:t>NCUA is not seeking approval to omit the expiration date.</w:t>
      </w:r>
    </w:p>
    <w:p w:rsidR="003A0D60" w:rsidRPr="00E44F63"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360"/>
      </w:pPr>
    </w:p>
    <w:p w:rsidR="003A0D60" w:rsidRPr="00E44F63" w:rsidRDefault="003A0D60" w:rsidP="00A8264A">
      <w:pPr>
        <w:pStyle w:val="ListParagraph"/>
        <w:numPr>
          <w:ilvl w:val="0"/>
          <w:numId w:val="3"/>
        </w:numPr>
        <w:ind w:left="0"/>
        <w:rPr>
          <w:b/>
        </w:rPr>
      </w:pPr>
      <w:r w:rsidRPr="00E44F63">
        <w:rPr>
          <w:b/>
        </w:rPr>
        <w:t>Exceptions to Certification for Paperwork Reduction Act Submissions</w:t>
      </w:r>
    </w:p>
    <w:p w:rsidR="004A2EBA" w:rsidRDefault="003A0D60" w:rsidP="00C41A5C">
      <w:pPr>
        <w:tabs>
          <w:tab w:val="left" w:pos="-720"/>
          <w:tab w:val="left" w:pos="286"/>
          <w:tab w:val="left" w:pos="403"/>
        </w:tabs>
        <w:suppressAutoHyphens/>
        <w:ind w:hanging="360"/>
        <w:rPr>
          <w:rFonts w:ascii="CG Times (W1)" w:hAnsi="CG Times (W1)"/>
        </w:rPr>
      </w:pPr>
      <w:r>
        <w:tab/>
      </w:r>
      <w:r w:rsidRPr="004A2EBA">
        <w:t>This collection complies with the requirements in 5 CFR 1320.9.</w:t>
      </w:r>
    </w:p>
    <w:p w:rsidR="00CF2FBB" w:rsidRDefault="00CF2FBB" w:rsidP="00C41A5C">
      <w:pPr>
        <w:tabs>
          <w:tab w:val="left" w:pos="-720"/>
          <w:tab w:val="left" w:pos="286"/>
          <w:tab w:val="left" w:pos="403"/>
        </w:tabs>
        <w:suppressAutoHyphens/>
        <w:ind w:hanging="360"/>
        <w:rPr>
          <w:rFonts w:ascii="CG Times (W1)" w:hAnsi="CG Times (W1)"/>
        </w:rPr>
      </w:pPr>
    </w:p>
    <w:p w:rsidR="00AA4CC0" w:rsidRDefault="00AA4CC0" w:rsidP="006A1C6F">
      <w:pPr>
        <w:numPr>
          <w:ilvl w:val="12"/>
          <w:numId w:val="0"/>
        </w:numPr>
        <w:rPr>
          <w:rFonts w:ascii="CG Times (W1)" w:hAnsi="CG Times (W1)"/>
        </w:rPr>
      </w:pPr>
    </w:p>
    <w:p w:rsidR="00AA4CC0" w:rsidRPr="001E564B" w:rsidRDefault="00AA4CC0" w:rsidP="00AA4CC0">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firstLine="0"/>
        <w:rPr>
          <w:b/>
          <w:caps/>
        </w:rPr>
      </w:pPr>
      <w:r w:rsidRPr="004C0136">
        <w:rPr>
          <w:b/>
          <w:caps/>
        </w:rPr>
        <w:t>Collections of Information Employing Statistical Methods</w:t>
      </w:r>
    </w:p>
    <w:p w:rsidR="00AA4CC0" w:rsidRDefault="00AA4CC0" w:rsidP="00AA4CC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rsidR="00AA4CC0" w:rsidRDefault="00AA4CC0" w:rsidP="00AA4CC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t xml:space="preserve">This collection does not involve statistical methods. </w:t>
      </w:r>
    </w:p>
    <w:p w:rsidR="00AA4CC0" w:rsidRPr="006A1C6F" w:rsidRDefault="00AA4CC0" w:rsidP="006A1C6F">
      <w:pPr>
        <w:numPr>
          <w:ilvl w:val="12"/>
          <w:numId w:val="0"/>
        </w:numPr>
        <w:rPr>
          <w:rFonts w:ascii="CG Times (W1)" w:hAnsi="CG Times (W1)"/>
        </w:rPr>
      </w:pPr>
    </w:p>
    <w:sectPr w:rsidR="00AA4CC0" w:rsidRPr="006A1C6F" w:rsidSect="003C3F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81" w:rsidRDefault="00961A81" w:rsidP="003B1046">
      <w:r>
        <w:separator/>
      </w:r>
    </w:p>
  </w:endnote>
  <w:endnote w:type="continuationSeparator" w:id="0">
    <w:p w:rsidR="00961A81" w:rsidRDefault="00961A81" w:rsidP="003B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742934"/>
      <w:docPartObj>
        <w:docPartGallery w:val="Page Numbers (Bottom of Page)"/>
        <w:docPartUnique/>
      </w:docPartObj>
    </w:sdtPr>
    <w:sdtEndPr>
      <w:rPr>
        <w:noProof/>
      </w:rPr>
    </w:sdtEndPr>
    <w:sdtContent>
      <w:p w:rsidR="003B1046" w:rsidRDefault="003B1046">
        <w:pPr>
          <w:pStyle w:val="Footer"/>
          <w:jc w:val="center"/>
        </w:pPr>
        <w:r>
          <w:fldChar w:fldCharType="begin"/>
        </w:r>
        <w:r>
          <w:instrText xml:space="preserve"> PAGE   \* MERGEFORMAT </w:instrText>
        </w:r>
        <w:r>
          <w:fldChar w:fldCharType="separate"/>
        </w:r>
        <w:r w:rsidR="009467EB">
          <w:rPr>
            <w:noProof/>
          </w:rPr>
          <w:t>5</w:t>
        </w:r>
        <w:r>
          <w:rPr>
            <w:noProof/>
          </w:rPr>
          <w:fldChar w:fldCharType="end"/>
        </w:r>
      </w:p>
    </w:sdtContent>
  </w:sdt>
  <w:p w:rsidR="003B1046" w:rsidRDefault="003B1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81" w:rsidRDefault="00961A81" w:rsidP="003B1046">
      <w:r>
        <w:separator/>
      </w:r>
    </w:p>
  </w:footnote>
  <w:footnote w:type="continuationSeparator" w:id="0">
    <w:p w:rsidR="00961A81" w:rsidRDefault="00961A81" w:rsidP="003B1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6"/>
  </w:num>
  <w:num w:numId="3">
    <w:abstractNumId w:val="10"/>
  </w:num>
  <w:num w:numId="4">
    <w:abstractNumId w:val="2"/>
  </w:num>
  <w:num w:numId="5">
    <w:abstractNumId w:val="0"/>
  </w:num>
  <w:num w:numId="6">
    <w:abstractNumId w:val="5"/>
  </w:num>
  <w:num w:numId="7">
    <w:abstractNumId w:val="3"/>
  </w:num>
  <w:num w:numId="8">
    <w:abstractNumId w:val="1"/>
  </w:num>
  <w:num w:numId="9">
    <w:abstractNumId w:val="7"/>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428A3"/>
    <w:rsid w:val="0005334D"/>
    <w:rsid w:val="00063847"/>
    <w:rsid w:val="00080BAE"/>
    <w:rsid w:val="000A640C"/>
    <w:rsid w:val="000E10B5"/>
    <w:rsid w:val="001364CB"/>
    <w:rsid w:val="00140471"/>
    <w:rsid w:val="00151D71"/>
    <w:rsid w:val="002117DB"/>
    <w:rsid w:val="00221200"/>
    <w:rsid w:val="00265AC9"/>
    <w:rsid w:val="00286EAA"/>
    <w:rsid w:val="002C3934"/>
    <w:rsid w:val="00381567"/>
    <w:rsid w:val="003A0D60"/>
    <w:rsid w:val="003B1046"/>
    <w:rsid w:val="003C3F39"/>
    <w:rsid w:val="003D67D9"/>
    <w:rsid w:val="003F42FD"/>
    <w:rsid w:val="003F450A"/>
    <w:rsid w:val="00412C97"/>
    <w:rsid w:val="004A2EBA"/>
    <w:rsid w:val="004D0FCD"/>
    <w:rsid w:val="004E6B31"/>
    <w:rsid w:val="005111FF"/>
    <w:rsid w:val="00514555"/>
    <w:rsid w:val="005D2358"/>
    <w:rsid w:val="005F3A3B"/>
    <w:rsid w:val="00620387"/>
    <w:rsid w:val="006501CA"/>
    <w:rsid w:val="0067522D"/>
    <w:rsid w:val="006923ED"/>
    <w:rsid w:val="006A1C6F"/>
    <w:rsid w:val="006E4341"/>
    <w:rsid w:val="006E60E4"/>
    <w:rsid w:val="007245ED"/>
    <w:rsid w:val="00750723"/>
    <w:rsid w:val="0081302A"/>
    <w:rsid w:val="00821C3F"/>
    <w:rsid w:val="008A129B"/>
    <w:rsid w:val="008A555D"/>
    <w:rsid w:val="008F1C70"/>
    <w:rsid w:val="009014E8"/>
    <w:rsid w:val="009467EB"/>
    <w:rsid w:val="00961A81"/>
    <w:rsid w:val="00A27681"/>
    <w:rsid w:val="00A8264A"/>
    <w:rsid w:val="00A9408F"/>
    <w:rsid w:val="00AA39A9"/>
    <w:rsid w:val="00AA4CC0"/>
    <w:rsid w:val="00AB69CB"/>
    <w:rsid w:val="00AD1835"/>
    <w:rsid w:val="00AD5307"/>
    <w:rsid w:val="00AE2005"/>
    <w:rsid w:val="00AE6D2B"/>
    <w:rsid w:val="00B06869"/>
    <w:rsid w:val="00B21086"/>
    <w:rsid w:val="00C126AD"/>
    <w:rsid w:val="00C3292C"/>
    <w:rsid w:val="00C371A1"/>
    <w:rsid w:val="00C41A5C"/>
    <w:rsid w:val="00C609E9"/>
    <w:rsid w:val="00CF2FBB"/>
    <w:rsid w:val="00D20258"/>
    <w:rsid w:val="00D57A2F"/>
    <w:rsid w:val="00E04776"/>
    <w:rsid w:val="00E15904"/>
    <w:rsid w:val="00E273FE"/>
    <w:rsid w:val="00E43C79"/>
    <w:rsid w:val="00EA43D1"/>
    <w:rsid w:val="00F31579"/>
    <w:rsid w:val="00FB2CEB"/>
    <w:rsid w:val="00FE5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F3261BA-81A7-4B85-A31F-446715F5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styleId="CommentReference">
    <w:name w:val="annotation reference"/>
    <w:basedOn w:val="DefaultParagraphFont"/>
    <w:uiPriority w:val="99"/>
    <w:semiHidden/>
    <w:unhideWhenUsed/>
    <w:rsid w:val="004A2EBA"/>
    <w:rPr>
      <w:sz w:val="16"/>
      <w:szCs w:val="16"/>
    </w:rPr>
  </w:style>
  <w:style w:type="paragraph" w:styleId="CommentText">
    <w:name w:val="annotation text"/>
    <w:basedOn w:val="Normal"/>
    <w:link w:val="CommentTextChar"/>
    <w:uiPriority w:val="99"/>
    <w:semiHidden/>
    <w:unhideWhenUsed/>
    <w:rsid w:val="004A2EBA"/>
    <w:rPr>
      <w:sz w:val="20"/>
      <w:szCs w:val="20"/>
    </w:rPr>
  </w:style>
  <w:style w:type="character" w:customStyle="1" w:styleId="CommentTextChar">
    <w:name w:val="Comment Text Char"/>
    <w:basedOn w:val="DefaultParagraphFont"/>
    <w:link w:val="CommentText"/>
    <w:uiPriority w:val="99"/>
    <w:semiHidden/>
    <w:rsid w:val="004A2E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2EBA"/>
    <w:rPr>
      <w:b/>
      <w:bCs/>
    </w:rPr>
  </w:style>
  <w:style w:type="character" w:customStyle="1" w:styleId="CommentSubjectChar">
    <w:name w:val="Comment Subject Char"/>
    <w:basedOn w:val="CommentTextChar"/>
    <w:link w:val="CommentSubject"/>
    <w:uiPriority w:val="99"/>
    <w:semiHidden/>
    <w:rsid w:val="004A2E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A2EBA"/>
    <w:rPr>
      <w:rFonts w:ascii="Tahoma" w:hAnsi="Tahoma" w:cs="Tahoma"/>
      <w:sz w:val="16"/>
      <w:szCs w:val="16"/>
    </w:rPr>
  </w:style>
  <w:style w:type="character" w:customStyle="1" w:styleId="BalloonTextChar">
    <w:name w:val="Balloon Text Char"/>
    <w:basedOn w:val="DefaultParagraphFont"/>
    <w:link w:val="BalloonText"/>
    <w:uiPriority w:val="99"/>
    <w:semiHidden/>
    <w:rsid w:val="004A2EBA"/>
    <w:rPr>
      <w:rFonts w:ascii="Tahoma" w:eastAsia="Times New Roman" w:hAnsi="Tahoma" w:cs="Tahoma"/>
      <w:sz w:val="16"/>
      <w:szCs w:val="16"/>
    </w:rPr>
  </w:style>
  <w:style w:type="paragraph" w:styleId="Header">
    <w:name w:val="header"/>
    <w:basedOn w:val="Normal"/>
    <w:link w:val="HeaderChar"/>
    <w:uiPriority w:val="99"/>
    <w:unhideWhenUsed/>
    <w:rsid w:val="003B1046"/>
    <w:pPr>
      <w:tabs>
        <w:tab w:val="center" w:pos="4680"/>
        <w:tab w:val="right" w:pos="9360"/>
      </w:tabs>
    </w:pPr>
  </w:style>
  <w:style w:type="character" w:customStyle="1" w:styleId="HeaderChar">
    <w:name w:val="Header Char"/>
    <w:basedOn w:val="DefaultParagraphFont"/>
    <w:link w:val="Header"/>
    <w:uiPriority w:val="99"/>
    <w:rsid w:val="003B10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1046"/>
    <w:pPr>
      <w:tabs>
        <w:tab w:val="center" w:pos="4680"/>
        <w:tab w:val="right" w:pos="9360"/>
      </w:tabs>
    </w:pPr>
  </w:style>
  <w:style w:type="character" w:customStyle="1" w:styleId="FooterChar">
    <w:name w:val="Footer Char"/>
    <w:basedOn w:val="DefaultParagraphFont"/>
    <w:link w:val="Footer"/>
    <w:uiPriority w:val="99"/>
    <w:rsid w:val="003B1046"/>
    <w:rPr>
      <w:rFonts w:ascii="Times New Roman" w:eastAsia="Times New Roman" w:hAnsi="Times New Roman" w:cs="Times New Roman"/>
      <w:sz w:val="24"/>
      <w:szCs w:val="24"/>
    </w:rPr>
  </w:style>
  <w:style w:type="paragraph" w:styleId="Revision">
    <w:name w:val="Revision"/>
    <w:hidden/>
    <w:uiPriority w:val="99"/>
    <w:semiHidden/>
    <w:rsid w:val="0006384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F6BA-3A98-4EEA-A55E-0C8C2646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Crews, Tracy D</cp:lastModifiedBy>
  <cp:revision>8</cp:revision>
  <dcterms:created xsi:type="dcterms:W3CDTF">2015-05-14T17:39:00Z</dcterms:created>
  <dcterms:modified xsi:type="dcterms:W3CDTF">2015-07-23T22:30:00Z</dcterms:modified>
</cp:coreProperties>
</file>