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D9" w:rsidRDefault="003D2ED9" w:rsidP="003D2ED9">
      <w:pPr>
        <w:pStyle w:val="Header"/>
        <w:jc w:val="center"/>
        <w:rPr>
          <w:b/>
          <w:bCs/>
          <w:sz w:val="24"/>
        </w:rPr>
      </w:pPr>
      <w:r>
        <w:rPr>
          <w:b/>
          <w:bCs/>
          <w:sz w:val="24"/>
        </w:rPr>
        <w:t>Supporting Statement for Information Collection Submission</w:t>
      </w:r>
    </w:p>
    <w:p w:rsidR="003D2ED9" w:rsidRDefault="003D2ED9" w:rsidP="003D2ED9">
      <w:pPr>
        <w:pStyle w:val="Header"/>
        <w:jc w:val="center"/>
        <w:rPr>
          <w:b/>
          <w:bCs/>
          <w:sz w:val="24"/>
        </w:rPr>
      </w:pPr>
      <w:r>
        <w:rPr>
          <w:b/>
          <w:bCs/>
          <w:sz w:val="24"/>
        </w:rPr>
        <w:t>3090-0007 – Contractor's Qualifications and Financial Information (GSA Form 527)</w:t>
      </w:r>
    </w:p>
    <w:p w:rsidR="003D2ED9" w:rsidRDefault="003D2ED9">
      <w:pPr>
        <w:pStyle w:val="Heading2"/>
        <w:rPr>
          <w:color w:val="000000"/>
        </w:rPr>
      </w:pPr>
    </w:p>
    <w:p w:rsidR="00FC2DB0" w:rsidRDefault="00FC2DB0">
      <w:pPr>
        <w:pStyle w:val="Heading2"/>
        <w:rPr>
          <w:color w:val="000000"/>
        </w:rPr>
      </w:pPr>
      <w:r>
        <w:rPr>
          <w:color w:val="000000"/>
        </w:rPr>
        <w:t>A.  Justification</w:t>
      </w:r>
    </w:p>
    <w:p w:rsidR="00FC2DB0" w:rsidRDefault="00FC2DB0">
      <w:pPr>
        <w:rPr>
          <w:b/>
          <w:color w:val="000000"/>
          <w:sz w:val="24"/>
          <w:u w:val="single"/>
        </w:rPr>
      </w:pPr>
    </w:p>
    <w:p w:rsidR="00FC2DB0" w:rsidRDefault="00FC2DB0">
      <w:pPr>
        <w:pStyle w:val="BodyText"/>
        <w:rPr>
          <w:b/>
          <w:color w:val="000000"/>
        </w:rPr>
      </w:pPr>
      <w:r>
        <w:rPr>
          <w:bCs/>
          <w:color w:val="000000"/>
        </w:rPr>
        <w:t>1.</w:t>
      </w:r>
      <w:r>
        <w:rPr>
          <w:b/>
          <w:color w:val="000000"/>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DB0" w:rsidRDefault="00FC2DB0">
      <w:pPr>
        <w:pStyle w:val="BodyText"/>
        <w:rPr>
          <w:color w:val="000000"/>
        </w:rPr>
      </w:pPr>
    </w:p>
    <w:p w:rsidR="00FC2DB0" w:rsidRDefault="00FC2DB0">
      <w:pPr>
        <w:pStyle w:val="BodyText3"/>
        <w:rPr>
          <w:color w:val="000000"/>
        </w:rPr>
      </w:pPr>
      <w:r>
        <w:rPr>
          <w:color w:val="000000"/>
        </w:rPr>
        <w:t>Federal Acquisition Regulation (FAR) 9.103 states that: “(a) Purchases shall be made from, and contracts shall be awarded to, responsible prospective contractors only; (b) no purchase or award shall be made unless the contracting officer makes an affirmative determination of responsibility.  In the absence of information clearly indicating that the prospective contractor is responsible, the contracting officer shall make a determination of nonresponsi</w:t>
      </w:r>
      <w:r w:rsidR="00FA46A3">
        <w:rPr>
          <w:color w:val="000000"/>
        </w:rPr>
        <w:t>bility…”</w:t>
      </w:r>
      <w:r>
        <w:rPr>
          <w:color w:val="000000"/>
        </w:rPr>
        <w:t xml:space="preserve"> (48 CFR 9.103).  FAR 9.104-1 further states: “To be determined responsible, a prospective contractor must (a) have adequate financial resources to perform the contract, or the ability to obtain them…..” (48 CFR 9.104-1).  GSA Form 527 is used to gather financial information necessary to evaluate the financial responsibility of prospective contractors.  The form is prescribed in the General Services Administration Acquisition Manual (GSAM) at 509.105-1 (48 CFR 509.105-1).  The GSAM is prescribed under the authority of the Federal Property and Administrative Act of 1949, as amended (40 USC 486).  </w:t>
      </w:r>
    </w:p>
    <w:p w:rsidR="00FC2DB0" w:rsidRDefault="00FC2DB0">
      <w:pPr>
        <w:pStyle w:val="BodyText"/>
        <w:rPr>
          <w:color w:val="000000"/>
        </w:rPr>
      </w:pPr>
    </w:p>
    <w:p w:rsidR="00FC2DB0" w:rsidRDefault="00FC2DB0">
      <w:pPr>
        <w:rPr>
          <w:b/>
          <w:color w:val="000000"/>
          <w:sz w:val="24"/>
        </w:rPr>
      </w:pPr>
      <w:r>
        <w:rPr>
          <w:bCs/>
          <w:color w:val="000000"/>
          <w:sz w:val="24"/>
        </w:rPr>
        <w:t>2.</w:t>
      </w:r>
      <w:r>
        <w:rPr>
          <w:b/>
          <w:color w:val="000000"/>
          <w:sz w:val="24"/>
        </w:rPr>
        <w:t xml:space="preserve">  Indicate how, by whom, and for what purpose the information is to be used. Except for a new collection, indicate the actual use the agency has made of the information received from the current collection. </w:t>
      </w:r>
    </w:p>
    <w:p w:rsidR="00FC2DB0" w:rsidRDefault="00FC2DB0">
      <w:pPr>
        <w:rPr>
          <w:b/>
          <w:color w:val="000000"/>
          <w:sz w:val="24"/>
        </w:rPr>
      </w:pPr>
    </w:p>
    <w:p w:rsidR="00FC2DB0" w:rsidRDefault="00FC2DB0">
      <w:pPr>
        <w:pStyle w:val="BodyText3"/>
        <w:rPr>
          <w:color w:val="000000"/>
        </w:rPr>
      </w:pPr>
      <w:r>
        <w:rPr>
          <w:color w:val="000000"/>
        </w:rPr>
        <w:t xml:space="preserve">GSA Form 527 is </w:t>
      </w:r>
      <w:r w:rsidR="00AB1592">
        <w:rPr>
          <w:color w:val="000000"/>
        </w:rPr>
        <w:t>e</w:t>
      </w:r>
      <w:r>
        <w:rPr>
          <w:color w:val="000000"/>
        </w:rPr>
        <w:t xml:space="preserve">mailed to prospective contractors by the Office of </w:t>
      </w:r>
      <w:r w:rsidR="0065777B">
        <w:rPr>
          <w:color w:val="000000"/>
        </w:rPr>
        <w:t>Administrative Services</w:t>
      </w:r>
      <w:r>
        <w:rPr>
          <w:color w:val="000000"/>
        </w:rPr>
        <w:t xml:space="preserve"> personnel at the request of the contracting officer.  The forms, once completed by the prospective contractor, are returned to the </w:t>
      </w:r>
      <w:r w:rsidR="0065777B">
        <w:rPr>
          <w:color w:val="000000"/>
        </w:rPr>
        <w:t xml:space="preserve">Office of Administrative Services </w:t>
      </w:r>
      <w:r>
        <w:rPr>
          <w:color w:val="000000"/>
        </w:rPr>
        <w:t>personnel for analysis in accordance with industry guidelines and the provisions of the proposed contract.  Based on the information provided on the form and financial data obtained from other so</w:t>
      </w:r>
      <w:r w:rsidR="0065777B">
        <w:rPr>
          <w:color w:val="000000"/>
        </w:rPr>
        <w:t>urces, Office of Administrative Services</w:t>
      </w:r>
      <w:r>
        <w:rPr>
          <w:color w:val="000000"/>
        </w:rPr>
        <w:t xml:space="preserve"> personnel render an opinion as to the prospective contractor’s financial responsibility.  The consequences of not collecting the financial data from the prospective contractor are that sufficient data may not be available from other sources to find an otherwise viable entity financially responsible, and the reliance on non-verified external sources </w:t>
      </w:r>
      <w:r w:rsidR="00E647B6">
        <w:rPr>
          <w:color w:val="000000"/>
        </w:rPr>
        <w:t xml:space="preserve">alone may result in the award </w:t>
      </w:r>
      <w:r>
        <w:rPr>
          <w:color w:val="000000"/>
        </w:rPr>
        <w:t>of a contract to a non-responsible contractor at the expense of a responsible contractor.  Non-responsible contractors are more likely to default, resulting in excess re-procurement costs.</w:t>
      </w:r>
    </w:p>
    <w:p w:rsidR="00FC2DB0" w:rsidRDefault="00FC2DB0">
      <w:pPr>
        <w:rPr>
          <w:color w:val="000000"/>
          <w:sz w:val="24"/>
        </w:rPr>
      </w:pPr>
    </w:p>
    <w:p w:rsidR="00FC2DB0" w:rsidRDefault="00FC2DB0">
      <w:pPr>
        <w:rPr>
          <w:b/>
          <w:color w:val="000000"/>
          <w:sz w:val="24"/>
        </w:rPr>
      </w:pPr>
      <w:r>
        <w:rPr>
          <w:bCs/>
          <w:color w:val="000000"/>
          <w:sz w:val="24"/>
        </w:rPr>
        <w:t xml:space="preserve">3.  </w:t>
      </w:r>
      <w:r>
        <w:rPr>
          <w:b/>
          <w:color w:val="000000"/>
          <w:sz w:val="24"/>
        </w:rPr>
        <w:t xml:space="preserve">Describe whether, and to what extent, the collection of information involves the use of automated, electronic, mechanical, or other technological collection techniques or other forms of information technology, </w:t>
      </w:r>
      <w:r w:rsidRPr="001126B4">
        <w:rPr>
          <w:b/>
          <w:i/>
          <w:color w:val="000000"/>
          <w:sz w:val="24"/>
        </w:rPr>
        <w:t>e.g</w:t>
      </w:r>
      <w:r>
        <w:rPr>
          <w:b/>
          <w:color w:val="000000"/>
          <w:sz w:val="24"/>
        </w:rPr>
        <w:t>., permitting electronic submission of responses, and the basis for the decision for adopting this means of collection. Also describe any consideration of using information technology to reduce burden.</w:t>
      </w:r>
    </w:p>
    <w:p w:rsidR="00FC2DB0" w:rsidRDefault="00FC2DB0">
      <w:pPr>
        <w:rPr>
          <w:b/>
          <w:color w:val="000000"/>
          <w:sz w:val="24"/>
        </w:rPr>
      </w:pPr>
    </w:p>
    <w:p w:rsidR="00FC2DB0" w:rsidRDefault="00FC2DB0">
      <w:pPr>
        <w:rPr>
          <w:color w:val="000000"/>
          <w:sz w:val="24"/>
        </w:rPr>
      </w:pPr>
      <w:r>
        <w:rPr>
          <w:color w:val="000000"/>
          <w:sz w:val="24"/>
        </w:rPr>
        <w:t>While information technology may not have directly reduced the burden, the availability of credit reports by computer terminal has given the Government quicker access to timely information and may have reduced the frequency of our requests for updated financial information.  Since much of the information is standard financial data, we accept internally prepared balance sheet and income statements in lieu of completing those sections of the GSA Form 527.</w:t>
      </w:r>
      <w:r w:rsidR="00E647B6">
        <w:rPr>
          <w:color w:val="000000"/>
          <w:sz w:val="24"/>
        </w:rPr>
        <w:t xml:space="preserve">  The submission of prepared balance sheets and income statements has increased in recent years, reducing the average burden on prospective contractors.</w:t>
      </w:r>
    </w:p>
    <w:p w:rsidR="00FC2DB0" w:rsidRDefault="00FC2DB0">
      <w:pPr>
        <w:rPr>
          <w:color w:val="000000"/>
          <w:sz w:val="24"/>
        </w:rPr>
      </w:pPr>
    </w:p>
    <w:p w:rsidR="00FC2DB0" w:rsidRDefault="00FC2DB0">
      <w:pPr>
        <w:rPr>
          <w:color w:val="000000"/>
          <w:sz w:val="24"/>
        </w:rPr>
      </w:pPr>
      <w:r>
        <w:rPr>
          <w:color w:val="000000"/>
          <w:sz w:val="24"/>
        </w:rPr>
        <w:t xml:space="preserve">4.  </w:t>
      </w:r>
      <w:r>
        <w:rPr>
          <w:b/>
          <w:bCs/>
          <w:color w:val="000000"/>
          <w:sz w:val="24"/>
        </w:rPr>
        <w:t>Describe efforts to identify duplication.  Show specifically why any similar information already available cannot be used or modified for use for the purposes described in Item 2 above.</w:t>
      </w:r>
    </w:p>
    <w:p w:rsidR="00FC2DB0" w:rsidRDefault="00FC2DB0">
      <w:pPr>
        <w:rPr>
          <w:bCs/>
          <w:color w:val="000000"/>
          <w:sz w:val="24"/>
        </w:rPr>
      </w:pPr>
    </w:p>
    <w:p w:rsidR="00FC2DB0" w:rsidRDefault="00FC2DB0">
      <w:pPr>
        <w:pStyle w:val="BodyText3"/>
        <w:rPr>
          <w:color w:val="000000"/>
        </w:rPr>
      </w:pPr>
      <w:r>
        <w:rPr>
          <w:color w:val="000000"/>
        </w:rPr>
        <w:t>There is some duplication between GSA Form 527 and SF 1407, Preaward Survey of Prospective Contractor Financial Capability.  They both request general information as to the type of organization and financial statements.  The information requested is of the type that a company has readily available for many types of requests.</w:t>
      </w:r>
    </w:p>
    <w:p w:rsidR="00FC2DB0" w:rsidRDefault="00FC2DB0">
      <w:pPr>
        <w:pStyle w:val="BodyText3"/>
        <w:rPr>
          <w:color w:val="000000"/>
        </w:rPr>
      </w:pPr>
    </w:p>
    <w:p w:rsidR="00FC2DB0" w:rsidRDefault="00FC2DB0">
      <w:pPr>
        <w:rPr>
          <w:bCs/>
          <w:color w:val="000000"/>
          <w:sz w:val="24"/>
        </w:rPr>
      </w:pPr>
      <w:r>
        <w:rPr>
          <w:bCs/>
          <w:color w:val="000000"/>
          <w:sz w:val="24"/>
        </w:rPr>
        <w:t xml:space="preserve">GSA Form 527 is a request for detailed financial information and other relevant facts regarding the prospective contractor’s operation. The information, provided and certified by the company, allows the Financial Analyst to perform an in-depth analysis of the company’s financial position. SF 1407 is basically a summary for the contracting officer. SF 1407 is completed by the Financial Analyst, and represents the end results of research, analysis, and interpretation of the company’s data by the Analyst.  SF 1407 does not require the detailed data required by the Analyst to perform an in-depth financial evaluation. </w:t>
      </w:r>
    </w:p>
    <w:p w:rsidR="00FC2DB0" w:rsidRDefault="00FC2DB0">
      <w:pPr>
        <w:rPr>
          <w:bCs/>
          <w:color w:val="000000"/>
          <w:sz w:val="24"/>
        </w:rPr>
      </w:pPr>
    </w:p>
    <w:p w:rsidR="00FC2DB0" w:rsidRDefault="00FC2DB0">
      <w:pPr>
        <w:rPr>
          <w:b/>
          <w:color w:val="000000"/>
          <w:sz w:val="24"/>
        </w:rPr>
      </w:pPr>
      <w:r>
        <w:rPr>
          <w:bCs/>
          <w:color w:val="000000"/>
          <w:sz w:val="24"/>
        </w:rPr>
        <w:t>5.</w:t>
      </w:r>
      <w:r>
        <w:rPr>
          <w:b/>
          <w:color w:val="000000"/>
          <w:sz w:val="24"/>
        </w:rPr>
        <w:t xml:space="preserve">  If the collection of information impacts small businesses or other small entities, describe any methods used to minimize burden.</w:t>
      </w:r>
    </w:p>
    <w:p w:rsidR="00FC2DB0" w:rsidRDefault="00FC2DB0">
      <w:pPr>
        <w:rPr>
          <w:color w:val="000000"/>
          <w:sz w:val="24"/>
        </w:rPr>
      </w:pPr>
    </w:p>
    <w:p w:rsidR="00FC2DB0" w:rsidRDefault="00FC2DB0">
      <w:pPr>
        <w:pStyle w:val="BodyText3"/>
        <w:rPr>
          <w:color w:val="000000"/>
        </w:rPr>
      </w:pPr>
      <w:r>
        <w:rPr>
          <w:color w:val="000000"/>
        </w:rPr>
        <w:t>There are two specific approaches to our gathering of financial information that minimizes the burden on small businesses.  First, we accept copies of internally prepared financial statements in lieu of completing balance sheet and income sections on our form.  The second approach is to accept unaudited financial data and rely on other externally acquired information to provide additional assurance of financial responsibility.</w:t>
      </w:r>
    </w:p>
    <w:p w:rsidR="00FC2DB0" w:rsidRDefault="00FC2DB0">
      <w:pPr>
        <w:rPr>
          <w:color w:val="000000"/>
          <w:sz w:val="24"/>
        </w:rPr>
      </w:pPr>
    </w:p>
    <w:p w:rsidR="00FC2DB0" w:rsidRDefault="00FC2DB0">
      <w:pPr>
        <w:rPr>
          <w:b/>
          <w:color w:val="000000"/>
          <w:sz w:val="24"/>
        </w:rPr>
      </w:pPr>
      <w:r>
        <w:rPr>
          <w:bCs/>
          <w:color w:val="000000"/>
          <w:sz w:val="24"/>
        </w:rPr>
        <w:t>6</w:t>
      </w:r>
      <w:r>
        <w:rPr>
          <w:b/>
          <w:color w:val="000000"/>
          <w:sz w:val="24"/>
        </w:rPr>
        <w:t>.  Describe the consequence to Federal program or policy activities if the collection is not conducted or is conducted less frequently, as well as any technical or legal obstacles to reducing burden.</w:t>
      </w:r>
    </w:p>
    <w:p w:rsidR="00FC2DB0" w:rsidRDefault="00FC2DB0">
      <w:pPr>
        <w:pStyle w:val="BodyText"/>
        <w:rPr>
          <w:color w:val="000000"/>
        </w:rPr>
      </w:pPr>
    </w:p>
    <w:p w:rsidR="00FC2DB0" w:rsidRDefault="00FC2DB0">
      <w:pPr>
        <w:pStyle w:val="BodyText"/>
        <w:rPr>
          <w:color w:val="000000"/>
        </w:rPr>
      </w:pPr>
      <w:r>
        <w:rPr>
          <w:color w:val="000000"/>
        </w:rPr>
        <w:t xml:space="preserve">GSA’s current policy is that financial information shall be obtained if the information on file is more than six months old, unless the financial strength of the company far exceeds the resources required for the proposed contract.  If the preliminary analysis of the information on file indicates a marginal or unsatisfactory condition, financial information is sought to give the prospective contractor an opportunity to affirmatively show the ability to produce, regardless of the age of the financial information on file.  In our </w:t>
      </w:r>
      <w:r>
        <w:rPr>
          <w:color w:val="000000"/>
        </w:rPr>
        <w:lastRenderedPageBreak/>
        <w:t>opinion, this policy benefits both prospective contractors and the Government.  Less frequent requests for financial information would be inappropriate.</w:t>
      </w:r>
    </w:p>
    <w:p w:rsidR="00FC2DB0" w:rsidRDefault="00FC2DB0">
      <w:pPr>
        <w:rPr>
          <w:color w:val="000000"/>
          <w:sz w:val="24"/>
        </w:rPr>
      </w:pPr>
    </w:p>
    <w:p w:rsidR="00FC2DB0" w:rsidRDefault="00FC2DB0" w:rsidP="00B50218">
      <w:pPr>
        <w:rPr>
          <w:b/>
          <w:color w:val="000000"/>
          <w:sz w:val="24"/>
        </w:rPr>
      </w:pPr>
      <w:r>
        <w:rPr>
          <w:bCs/>
          <w:color w:val="000000"/>
          <w:sz w:val="24"/>
        </w:rPr>
        <w:t>7.</w:t>
      </w:r>
      <w:r>
        <w:rPr>
          <w:b/>
          <w:color w:val="000000"/>
          <w:sz w:val="24"/>
        </w:rPr>
        <w:t xml:space="preserve">  Explain any special circumstances </w:t>
      </w:r>
      <w:r w:rsidR="00B50218">
        <w:rPr>
          <w:b/>
          <w:color w:val="000000"/>
          <w:sz w:val="24"/>
        </w:rPr>
        <w:t>for this information collection.</w:t>
      </w:r>
    </w:p>
    <w:p w:rsidR="00FC2DB0" w:rsidRDefault="00FC2DB0">
      <w:pPr>
        <w:ind w:left="720"/>
        <w:rPr>
          <w:color w:val="000000"/>
          <w:sz w:val="24"/>
        </w:rPr>
      </w:pPr>
    </w:p>
    <w:p w:rsidR="00FC2DB0" w:rsidRDefault="00FC2DB0">
      <w:pPr>
        <w:pStyle w:val="BodyText"/>
        <w:rPr>
          <w:color w:val="000000"/>
        </w:rPr>
      </w:pPr>
      <w:r>
        <w:rPr>
          <w:color w:val="000000"/>
        </w:rPr>
        <w:t>The financial survey process begins when a contracting officer requests a Pre-award Survey.  If current financial data is on-hand from a previous survey, a decision may be rendered right away.  However, if no data is on-hand or the financial information is outdated (more than 6 months old), a letter and GSA Form 527 are sent to the bidding contractor to request financial information.  This letter requests the potential contractor to respond within fifteen calendar days.  If no response is received by the eighth day, a second reminder is sent.</w:t>
      </w:r>
    </w:p>
    <w:p w:rsidR="00FC2DB0" w:rsidRDefault="00FC2DB0">
      <w:pPr>
        <w:ind w:left="720"/>
        <w:rPr>
          <w:color w:val="000000"/>
          <w:sz w:val="24"/>
        </w:rPr>
      </w:pPr>
    </w:p>
    <w:p w:rsidR="00FC2DB0" w:rsidRDefault="00FC2DB0">
      <w:pPr>
        <w:rPr>
          <w:b/>
          <w:color w:val="000000"/>
          <w:sz w:val="24"/>
        </w:rPr>
      </w:pPr>
      <w:r>
        <w:rPr>
          <w:bCs/>
          <w:color w:val="000000"/>
          <w:sz w:val="24"/>
        </w:rPr>
        <w:t>8.</w:t>
      </w:r>
      <w:r>
        <w:rPr>
          <w:b/>
          <w:color w:val="000000"/>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DB0" w:rsidRDefault="00FC2DB0">
      <w:pPr>
        <w:rPr>
          <w:b/>
          <w:color w:val="000000"/>
          <w:sz w:val="24"/>
        </w:rPr>
      </w:pPr>
    </w:p>
    <w:p w:rsidR="00FC2DB0" w:rsidRDefault="00FC2DB0">
      <w:pPr>
        <w:rPr>
          <w:b/>
          <w:color w:val="000000"/>
          <w:sz w:val="24"/>
        </w:rPr>
      </w:pPr>
      <w:r>
        <w:rPr>
          <w:b/>
          <w:color w:val="00000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DB0" w:rsidRDefault="00FC2DB0">
      <w:pPr>
        <w:rPr>
          <w:color w:val="000000"/>
          <w:sz w:val="24"/>
        </w:rPr>
      </w:pPr>
    </w:p>
    <w:p w:rsidR="00FC2DB0" w:rsidRDefault="00FA46A3">
      <w:pPr>
        <w:rPr>
          <w:color w:val="000000"/>
          <w:sz w:val="24"/>
        </w:rPr>
      </w:pPr>
      <w:r>
        <w:rPr>
          <w:color w:val="000000"/>
          <w:sz w:val="24"/>
        </w:rPr>
        <w:t xml:space="preserve">A notice was published in the </w:t>
      </w:r>
      <w:r w:rsidRPr="00FA46A3">
        <w:rPr>
          <w:i/>
          <w:color w:val="000000"/>
          <w:sz w:val="24"/>
        </w:rPr>
        <w:t>Federal Register</w:t>
      </w:r>
      <w:r>
        <w:rPr>
          <w:color w:val="000000"/>
          <w:sz w:val="24"/>
        </w:rPr>
        <w:t xml:space="preserve"> at </w:t>
      </w:r>
      <w:r w:rsidR="0074076B">
        <w:rPr>
          <w:color w:val="000000"/>
          <w:sz w:val="24"/>
        </w:rPr>
        <w:t>80</w:t>
      </w:r>
      <w:r w:rsidR="00834349">
        <w:rPr>
          <w:color w:val="000000"/>
          <w:sz w:val="24"/>
        </w:rPr>
        <w:t xml:space="preserve"> </w:t>
      </w:r>
      <w:r>
        <w:rPr>
          <w:color w:val="000000"/>
          <w:sz w:val="24"/>
        </w:rPr>
        <w:t xml:space="preserve">FR </w:t>
      </w:r>
      <w:r w:rsidR="0074076B">
        <w:rPr>
          <w:color w:val="000000"/>
          <w:sz w:val="24"/>
        </w:rPr>
        <w:t>27309</w:t>
      </w:r>
      <w:r>
        <w:rPr>
          <w:color w:val="000000"/>
          <w:sz w:val="24"/>
        </w:rPr>
        <w:t xml:space="preserve">, on </w:t>
      </w:r>
      <w:r w:rsidR="0074076B">
        <w:rPr>
          <w:color w:val="000000"/>
          <w:sz w:val="24"/>
        </w:rPr>
        <w:t>5/13/2015</w:t>
      </w:r>
      <w:bookmarkStart w:id="0" w:name="_GoBack"/>
      <w:bookmarkEnd w:id="0"/>
      <w:r w:rsidR="00A0185A">
        <w:rPr>
          <w:color w:val="000000"/>
          <w:sz w:val="24"/>
        </w:rPr>
        <w:t xml:space="preserve">. </w:t>
      </w:r>
      <w:r w:rsidR="005D022F">
        <w:rPr>
          <w:color w:val="000000"/>
          <w:sz w:val="24"/>
        </w:rPr>
        <w:t xml:space="preserve">No </w:t>
      </w:r>
      <w:r w:rsidR="00834349">
        <w:rPr>
          <w:color w:val="000000"/>
          <w:sz w:val="24"/>
        </w:rPr>
        <w:t>comments were received.</w:t>
      </w:r>
    </w:p>
    <w:p w:rsidR="00FC2DB0" w:rsidRDefault="00FC2DB0">
      <w:pPr>
        <w:rPr>
          <w:color w:val="000000"/>
          <w:sz w:val="24"/>
        </w:rPr>
      </w:pPr>
    </w:p>
    <w:p w:rsidR="00FC2DB0" w:rsidRDefault="00FC2DB0">
      <w:pPr>
        <w:rPr>
          <w:b/>
          <w:color w:val="000000"/>
          <w:sz w:val="24"/>
        </w:rPr>
      </w:pPr>
      <w:r>
        <w:rPr>
          <w:color w:val="000000"/>
          <w:sz w:val="24"/>
        </w:rPr>
        <w:t xml:space="preserve">9.  </w:t>
      </w:r>
      <w:r>
        <w:rPr>
          <w:b/>
          <w:color w:val="000000"/>
          <w:sz w:val="24"/>
        </w:rPr>
        <w:t>Explain any decision to provide any payment or gift to respondents, other than reenumeration of contractors or grantees.</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10.</w:t>
      </w:r>
      <w:r>
        <w:rPr>
          <w:b/>
          <w:color w:val="000000"/>
          <w:sz w:val="24"/>
        </w:rPr>
        <w:t xml:space="preserve">  Describe any assurance of confidentiality provided to respondents and the basis for assurance in statute, regulation, or agency policy.</w:t>
      </w:r>
    </w:p>
    <w:p w:rsidR="00FC2DB0" w:rsidRDefault="00FC2DB0">
      <w:pPr>
        <w:rPr>
          <w:b/>
          <w:color w:val="000000"/>
          <w:sz w:val="24"/>
        </w:rPr>
      </w:pPr>
    </w:p>
    <w:p w:rsidR="00FC2DB0" w:rsidRDefault="00FC2DB0">
      <w:pPr>
        <w:pStyle w:val="BodyText3"/>
        <w:rPr>
          <w:b/>
          <w:color w:val="000000"/>
        </w:rPr>
      </w:pPr>
      <w:r>
        <w:rPr>
          <w:color w:val="000000"/>
        </w:rPr>
        <w:t>The assurance of confidentiality provided by GSA to respondents of GSA Form 527 is derived from an exception to the Freedom of Information Act (FOIA) (5 USC 552).  Item 4 of the categories of records exempt from disclosure under the FOIA exempts disclosure of “Trade secrets and commercial or financial information obtained from a person and privileged or confidential” (41 CFR 105-60.501(a)(4)).</w:t>
      </w:r>
    </w:p>
    <w:p w:rsidR="00FC2DB0" w:rsidRDefault="00FC2DB0">
      <w:pPr>
        <w:rPr>
          <w:b/>
          <w:color w:val="000000"/>
          <w:sz w:val="24"/>
        </w:rPr>
      </w:pPr>
    </w:p>
    <w:p w:rsidR="00FC2DB0" w:rsidRDefault="00FC2DB0">
      <w:pPr>
        <w:pStyle w:val="BodyText2"/>
        <w:rPr>
          <w:color w:val="000000"/>
        </w:rPr>
      </w:pPr>
      <w:r>
        <w:rPr>
          <w:b w:val="0"/>
          <w:bCs/>
          <w:color w:val="000000"/>
        </w:rPr>
        <w:t>11.</w:t>
      </w:r>
      <w:r>
        <w:rPr>
          <w:color w:val="000000"/>
        </w:rPr>
        <w:t xml:space="preserve">  Provide additional justification for any questions of a sensitive nature, such as sexual behavior and attitudes, religious beliefs, and other matters that are </w:t>
      </w:r>
      <w:r>
        <w:rPr>
          <w:color w:val="000000"/>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DB0" w:rsidRDefault="00FC2DB0">
      <w:pPr>
        <w:tabs>
          <w:tab w:val="num" w:pos="1080"/>
        </w:tabs>
        <w:rPr>
          <w:color w:val="000000"/>
          <w:sz w:val="24"/>
        </w:rPr>
      </w:pPr>
    </w:p>
    <w:p w:rsidR="00FC2DB0" w:rsidRDefault="00FC2DB0">
      <w:pPr>
        <w:tabs>
          <w:tab w:val="num" w:pos="1080"/>
        </w:tabs>
        <w:rPr>
          <w:color w:val="000000"/>
          <w:sz w:val="24"/>
        </w:rPr>
      </w:pPr>
      <w:r>
        <w:rPr>
          <w:color w:val="000000"/>
          <w:sz w:val="24"/>
        </w:rPr>
        <w:t>Not applicable.  GSA Form 527 does not contain any questions of a sensitive nature.</w:t>
      </w:r>
    </w:p>
    <w:p w:rsidR="00FC2DB0" w:rsidRDefault="00FC2DB0">
      <w:pPr>
        <w:tabs>
          <w:tab w:val="num" w:pos="1080"/>
        </w:tabs>
        <w:rPr>
          <w:color w:val="000000"/>
          <w:sz w:val="24"/>
        </w:rPr>
      </w:pPr>
    </w:p>
    <w:p w:rsidR="00FC2DB0" w:rsidRDefault="00FC2DB0">
      <w:pPr>
        <w:rPr>
          <w:b/>
          <w:color w:val="000000"/>
          <w:sz w:val="24"/>
        </w:rPr>
      </w:pPr>
      <w:r>
        <w:rPr>
          <w:bCs/>
          <w:color w:val="000000"/>
          <w:sz w:val="24"/>
        </w:rPr>
        <w:t>12.</w:t>
      </w:r>
      <w:r>
        <w:rPr>
          <w:b/>
          <w:color w:val="000000"/>
          <w:sz w:val="24"/>
        </w:rPr>
        <w:t xml:space="preserve">  Provide estimates of the hour burden of the collection of information.  The statement should—</w:t>
      </w:r>
    </w:p>
    <w:p w:rsidR="00FC2DB0" w:rsidRDefault="00FC2DB0">
      <w:pPr>
        <w:numPr>
          <w:ilvl w:val="0"/>
          <w:numId w:val="13"/>
        </w:numPr>
        <w:rPr>
          <w:b/>
          <w:color w:val="000000"/>
          <w:sz w:val="24"/>
        </w:rPr>
      </w:pPr>
      <w:r>
        <w:rPr>
          <w:b/>
          <w:color w:val="00000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DB0" w:rsidRDefault="00FC2DB0">
      <w:pPr>
        <w:numPr>
          <w:ilvl w:val="0"/>
          <w:numId w:val="13"/>
        </w:numPr>
        <w:rPr>
          <w:b/>
          <w:color w:val="000000"/>
          <w:sz w:val="24"/>
        </w:rPr>
      </w:pPr>
      <w:r>
        <w:rPr>
          <w:b/>
          <w:color w:val="000000"/>
          <w:sz w:val="24"/>
        </w:rPr>
        <w:t>If this request for approval covers more than one form, provide separate hour burden estimates for each form and aggregate the hour burdens in Item 13; and</w:t>
      </w:r>
    </w:p>
    <w:p w:rsidR="00FC2DB0" w:rsidRDefault="00FC2DB0">
      <w:pPr>
        <w:numPr>
          <w:ilvl w:val="0"/>
          <w:numId w:val="13"/>
        </w:numPr>
        <w:rPr>
          <w:b/>
          <w:color w:val="000000"/>
          <w:sz w:val="24"/>
        </w:rPr>
      </w:pPr>
      <w:r>
        <w:rPr>
          <w:b/>
          <w:color w:val="00000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C2DB0" w:rsidRDefault="00FC2DB0">
      <w:pPr>
        <w:rPr>
          <w:color w:val="000000"/>
          <w:sz w:val="24"/>
        </w:rPr>
      </w:pPr>
    </w:p>
    <w:p w:rsidR="00F746AC" w:rsidRDefault="00F746AC">
      <w:pPr>
        <w:rPr>
          <w:color w:val="000000"/>
          <w:sz w:val="24"/>
        </w:rPr>
      </w:pPr>
      <w:r>
        <w:rPr>
          <w:color w:val="000000"/>
          <w:sz w:val="24"/>
        </w:rPr>
        <w:t>Each response is estimated to take 1.5 hours, on average.  This estimate has been reduced from prior estimates due to the widespread use of the option for prospective contractors to submit financial statements and balance sheets in lieu of completing the applicable fields on GSA Form 527.  The alternate submission of financial statements and balance sheets significantly reduces the burden on prospective contractors, as these documents are generally readily available.</w:t>
      </w:r>
    </w:p>
    <w:p w:rsidR="00F746AC" w:rsidRDefault="00F746AC">
      <w:pPr>
        <w:rPr>
          <w:color w:val="000000"/>
          <w:sz w:val="24"/>
        </w:rPr>
      </w:pPr>
    </w:p>
    <w:p w:rsidR="00FC2DB0" w:rsidRDefault="00FC2DB0">
      <w:pPr>
        <w:rPr>
          <w:color w:val="000000"/>
          <w:sz w:val="24"/>
        </w:rPr>
      </w:pPr>
      <w:r>
        <w:rPr>
          <w:color w:val="000000"/>
          <w:sz w:val="24"/>
        </w:rPr>
        <w:t>The estimated number of respondents annually is 2940, with each respondent responding an estimated 1.2 times.  The total annual responses are estimated to be 3528</w:t>
      </w:r>
      <w:r w:rsidR="00E647B6">
        <w:rPr>
          <w:color w:val="000000"/>
          <w:sz w:val="24"/>
        </w:rPr>
        <w:t>, with each response requiring 1</w:t>
      </w:r>
      <w:r>
        <w:rPr>
          <w:color w:val="000000"/>
          <w:sz w:val="24"/>
        </w:rPr>
        <w:t xml:space="preserve">.5 hours for a total of </w:t>
      </w:r>
      <w:r w:rsidR="00E647B6">
        <w:rPr>
          <w:color w:val="000000"/>
          <w:sz w:val="24"/>
        </w:rPr>
        <w:t>5292</w:t>
      </w:r>
      <w:r>
        <w:rPr>
          <w:color w:val="000000"/>
          <w:sz w:val="24"/>
        </w:rPr>
        <w:t xml:space="preserve"> hours.  </w:t>
      </w:r>
      <w:r w:rsidR="008E337C">
        <w:rPr>
          <w:color w:val="000000"/>
          <w:sz w:val="24"/>
        </w:rPr>
        <w:t>The official 2014 Wage Determination for an Accounting Clerk I in the greater Washington D.C. area is $15.08</w:t>
      </w:r>
      <w:r w:rsidR="0098365F">
        <w:rPr>
          <w:color w:val="000000"/>
          <w:sz w:val="24"/>
        </w:rPr>
        <w:t>.</w:t>
      </w:r>
    </w:p>
    <w:p w:rsidR="00FC2DB0" w:rsidRDefault="00FC2DB0">
      <w:pPr>
        <w:rPr>
          <w:color w:val="000000"/>
          <w:sz w:val="24"/>
        </w:rPr>
      </w:pPr>
    </w:p>
    <w:p w:rsidR="00FC2DB0" w:rsidRDefault="00FC2DB0">
      <w:pPr>
        <w:rPr>
          <w:color w:val="000000"/>
          <w:sz w:val="24"/>
        </w:rPr>
      </w:pPr>
      <w:r>
        <w:rPr>
          <w:color w:val="000000"/>
          <w:sz w:val="24"/>
        </w:rPr>
        <w:t>The estimated annualized cost to the public is $</w:t>
      </w:r>
      <w:r w:rsidR="0098365F">
        <w:rPr>
          <w:color w:val="000000"/>
          <w:sz w:val="24"/>
        </w:rPr>
        <w:t>79,803</w:t>
      </w:r>
      <w:r>
        <w:rPr>
          <w:color w:val="000000"/>
          <w:sz w:val="24"/>
        </w:rPr>
        <w:t>.  Using the above refer</w:t>
      </w:r>
      <w:r w:rsidR="00E647B6">
        <w:rPr>
          <w:color w:val="000000"/>
          <w:sz w:val="24"/>
        </w:rPr>
        <w:t>ence, 3528 annual responses at 1</w:t>
      </w:r>
      <w:r>
        <w:rPr>
          <w:color w:val="000000"/>
          <w:sz w:val="24"/>
        </w:rPr>
        <w:t xml:space="preserve">.5 hours per request = </w:t>
      </w:r>
      <w:r w:rsidR="00E647B6">
        <w:rPr>
          <w:color w:val="000000"/>
          <w:sz w:val="24"/>
        </w:rPr>
        <w:t>5292</w:t>
      </w:r>
      <w:r w:rsidR="008E337C">
        <w:rPr>
          <w:color w:val="000000"/>
          <w:sz w:val="24"/>
        </w:rPr>
        <w:t xml:space="preserve"> hours x $15.08</w:t>
      </w:r>
      <w:r>
        <w:rPr>
          <w:color w:val="000000"/>
          <w:sz w:val="24"/>
        </w:rPr>
        <w:t xml:space="preserve"> per hour</w:t>
      </w:r>
      <w:r>
        <w:rPr>
          <w:b/>
          <w:bCs/>
          <w:color w:val="000000"/>
          <w:sz w:val="24"/>
        </w:rPr>
        <w:t xml:space="preserve"> </w:t>
      </w:r>
      <w:r w:rsidR="008E337C">
        <w:rPr>
          <w:color w:val="000000"/>
          <w:sz w:val="24"/>
        </w:rPr>
        <w:t>= $79</w:t>
      </w:r>
      <w:r w:rsidR="00E647B6">
        <w:rPr>
          <w:color w:val="000000"/>
          <w:sz w:val="24"/>
        </w:rPr>
        <w:t>,</w:t>
      </w:r>
      <w:r w:rsidR="008E337C">
        <w:rPr>
          <w:color w:val="000000"/>
          <w:sz w:val="24"/>
        </w:rPr>
        <w:t>803</w:t>
      </w:r>
      <w:r>
        <w:rPr>
          <w:color w:val="000000"/>
          <w:sz w:val="24"/>
        </w:rPr>
        <w:t>.</w:t>
      </w:r>
    </w:p>
    <w:p w:rsidR="00FC2DB0" w:rsidRDefault="00FC2DB0">
      <w:pPr>
        <w:rPr>
          <w:color w:val="000000"/>
          <w:sz w:val="24"/>
        </w:rPr>
      </w:pPr>
    </w:p>
    <w:p w:rsidR="00FC2DB0" w:rsidRDefault="00FC2DB0" w:rsidP="0035394C">
      <w:pPr>
        <w:tabs>
          <w:tab w:val="right" w:leader="dot" w:pos="6480"/>
        </w:tabs>
        <w:ind w:left="720"/>
        <w:rPr>
          <w:color w:val="000000"/>
          <w:sz w:val="24"/>
        </w:rPr>
      </w:pPr>
      <w:r>
        <w:rPr>
          <w:color w:val="000000"/>
          <w:sz w:val="24"/>
        </w:rPr>
        <w:t>Total Annual Requests</w:t>
      </w:r>
      <w:r w:rsidR="0035394C">
        <w:rPr>
          <w:color w:val="000000"/>
          <w:sz w:val="24"/>
        </w:rPr>
        <w:tab/>
      </w:r>
      <w:r>
        <w:rPr>
          <w:color w:val="000000"/>
          <w:sz w:val="24"/>
        </w:rPr>
        <w:t>3528</w:t>
      </w:r>
    </w:p>
    <w:p w:rsidR="00FC2DB0" w:rsidRDefault="00FC2DB0" w:rsidP="0035394C">
      <w:pPr>
        <w:tabs>
          <w:tab w:val="right" w:leader="dot" w:pos="6480"/>
        </w:tabs>
        <w:ind w:left="720"/>
        <w:rPr>
          <w:color w:val="000000"/>
          <w:sz w:val="24"/>
        </w:rPr>
      </w:pPr>
      <w:r>
        <w:rPr>
          <w:color w:val="000000"/>
          <w:sz w:val="24"/>
        </w:rPr>
        <w:t>Estimates hours/response</w:t>
      </w:r>
      <w:r w:rsidR="0035394C">
        <w:rPr>
          <w:color w:val="000000"/>
          <w:sz w:val="24"/>
        </w:rPr>
        <w:t xml:space="preserve"> </w:t>
      </w:r>
      <w:r w:rsidR="0035394C">
        <w:rPr>
          <w:color w:val="000000"/>
          <w:sz w:val="24"/>
        </w:rPr>
        <w:tab/>
      </w:r>
      <w:r w:rsidR="0035394C">
        <w:rPr>
          <w:color w:val="000000"/>
          <w:sz w:val="24"/>
          <w:u w:val="single"/>
        </w:rPr>
        <w:t>x__</w:t>
      </w:r>
      <w:r w:rsidR="00F746AC">
        <w:rPr>
          <w:color w:val="000000"/>
          <w:sz w:val="24"/>
          <w:u w:val="single"/>
        </w:rPr>
        <w:t>1</w:t>
      </w:r>
      <w:r>
        <w:rPr>
          <w:color w:val="000000"/>
          <w:sz w:val="24"/>
          <w:u w:val="single"/>
        </w:rPr>
        <w:t>.5</w:t>
      </w:r>
    </w:p>
    <w:p w:rsidR="00FC2DB0" w:rsidRDefault="001126B4" w:rsidP="0035394C">
      <w:pPr>
        <w:tabs>
          <w:tab w:val="right" w:leader="dot" w:pos="6480"/>
        </w:tabs>
        <w:ind w:left="720"/>
        <w:rPr>
          <w:color w:val="000000"/>
          <w:sz w:val="24"/>
        </w:rPr>
      </w:pPr>
      <w:r>
        <w:rPr>
          <w:color w:val="000000"/>
          <w:sz w:val="24"/>
        </w:rPr>
        <w:t xml:space="preserve">Estimated total burden </w:t>
      </w:r>
      <w:r w:rsidR="00FC2DB0">
        <w:rPr>
          <w:color w:val="000000"/>
          <w:sz w:val="24"/>
        </w:rPr>
        <w:t>hours</w:t>
      </w:r>
      <w:r w:rsidR="0035394C">
        <w:rPr>
          <w:color w:val="000000"/>
          <w:sz w:val="24"/>
        </w:rPr>
        <w:t xml:space="preserve"> </w:t>
      </w:r>
      <w:r w:rsidR="0035394C">
        <w:rPr>
          <w:color w:val="000000"/>
          <w:sz w:val="24"/>
        </w:rPr>
        <w:tab/>
      </w:r>
      <w:r w:rsidR="00F746AC">
        <w:rPr>
          <w:color w:val="000000"/>
          <w:sz w:val="24"/>
        </w:rPr>
        <w:t>5292</w:t>
      </w:r>
    </w:p>
    <w:p w:rsidR="00FC2DB0" w:rsidRDefault="00FC2DB0" w:rsidP="0035394C">
      <w:pPr>
        <w:tabs>
          <w:tab w:val="right" w:leader="dot" w:pos="6480"/>
        </w:tabs>
        <w:ind w:left="720"/>
        <w:rPr>
          <w:color w:val="000000"/>
          <w:sz w:val="24"/>
          <w:u w:val="single"/>
        </w:rPr>
      </w:pPr>
      <w:r>
        <w:rPr>
          <w:color w:val="000000"/>
          <w:sz w:val="24"/>
        </w:rPr>
        <w:t>Average Cost/hour</w:t>
      </w:r>
      <w:r w:rsidR="0035394C">
        <w:rPr>
          <w:color w:val="000000"/>
          <w:sz w:val="24"/>
        </w:rPr>
        <w:tab/>
      </w:r>
      <w:r w:rsidR="0035394C">
        <w:rPr>
          <w:color w:val="000000"/>
          <w:sz w:val="24"/>
          <w:u w:val="single"/>
        </w:rPr>
        <w:t xml:space="preserve">x   </w:t>
      </w:r>
      <w:r>
        <w:rPr>
          <w:color w:val="000000"/>
          <w:sz w:val="24"/>
          <w:u w:val="single"/>
        </w:rPr>
        <w:t>$</w:t>
      </w:r>
      <w:r w:rsidR="0098365F">
        <w:rPr>
          <w:color w:val="000000"/>
          <w:sz w:val="24"/>
          <w:u w:val="single"/>
        </w:rPr>
        <w:t>15.08</w:t>
      </w:r>
    </w:p>
    <w:p w:rsidR="00F746AC" w:rsidRPr="00F746AC" w:rsidRDefault="00FC2DB0" w:rsidP="0035394C">
      <w:pPr>
        <w:pStyle w:val="Heading4"/>
        <w:tabs>
          <w:tab w:val="right" w:leader="dot" w:pos="6480"/>
        </w:tabs>
        <w:ind w:left="720"/>
      </w:pPr>
      <w:r>
        <w:t>Tota</w:t>
      </w:r>
      <w:r w:rsidR="00E647B6">
        <w:t>l</w:t>
      </w:r>
      <w:r w:rsidR="001126B4">
        <w:t xml:space="preserve"> Annual</w:t>
      </w:r>
      <w:r w:rsidR="0035394C">
        <w:t xml:space="preserve"> Cost to Public</w:t>
      </w:r>
      <w:r w:rsidR="008E337C">
        <w:t xml:space="preserve"> </w:t>
      </w:r>
      <w:r w:rsidR="0035394C">
        <w:tab/>
      </w:r>
      <w:r w:rsidR="008E337C">
        <w:t>$79,803</w:t>
      </w:r>
    </w:p>
    <w:p w:rsidR="00FC2DB0" w:rsidRDefault="00FC2DB0">
      <w:pPr>
        <w:rPr>
          <w:color w:val="000000"/>
          <w:sz w:val="24"/>
        </w:rPr>
      </w:pPr>
    </w:p>
    <w:p w:rsidR="00FC2DB0" w:rsidRDefault="00FC2DB0">
      <w:pPr>
        <w:rPr>
          <w:b/>
          <w:color w:val="000000"/>
          <w:sz w:val="24"/>
        </w:rPr>
      </w:pPr>
      <w:r>
        <w:rPr>
          <w:bCs/>
          <w:color w:val="000000"/>
          <w:sz w:val="24"/>
        </w:rPr>
        <w:lastRenderedPageBreak/>
        <w:t>13.</w:t>
      </w:r>
      <w:r>
        <w:rPr>
          <w:b/>
          <w:color w:val="000000"/>
          <w:sz w:val="24"/>
        </w:rPr>
        <w:t xml:space="preserve">  Provide an estimate for the total annual cost burden to respondents or recordkeepers resulting from the collection of information.  (Do not include the cost of any hour burden shown in Items 12 and 14.)</w:t>
      </w:r>
    </w:p>
    <w:p w:rsidR="00B50218" w:rsidRDefault="00B50218">
      <w:pPr>
        <w:pStyle w:val="BodyText"/>
        <w:rPr>
          <w:color w:val="000000"/>
        </w:rPr>
      </w:pPr>
    </w:p>
    <w:p w:rsidR="00FC2DB0" w:rsidRDefault="00FC2DB0">
      <w:pPr>
        <w:pStyle w:val="BodyText"/>
        <w:rPr>
          <w:b/>
          <w:color w:val="000000"/>
        </w:rPr>
      </w:pPr>
      <w:r>
        <w:rPr>
          <w:color w:val="000000"/>
        </w:rPr>
        <w:t>The information requested on the GSA Form 527 is not of a special nature.  It falls into the category of customary and usual business practice.  The information is already available and is used for other requestors.  No special capital or start-up costs are required for this form to be completed.</w:t>
      </w:r>
    </w:p>
    <w:p w:rsidR="00FC2DB0" w:rsidRDefault="00FC2DB0">
      <w:pPr>
        <w:rPr>
          <w:b/>
          <w:color w:val="000000"/>
          <w:sz w:val="24"/>
        </w:rPr>
      </w:pPr>
    </w:p>
    <w:p w:rsidR="00FC2DB0" w:rsidRDefault="00FC2DB0">
      <w:pPr>
        <w:rPr>
          <w:b/>
          <w:color w:val="000000"/>
          <w:sz w:val="24"/>
        </w:rPr>
      </w:pPr>
      <w:r>
        <w:rPr>
          <w:bCs/>
          <w:color w:val="000000"/>
          <w:sz w:val="24"/>
        </w:rPr>
        <w:t>14.</w:t>
      </w:r>
      <w:r>
        <w:rPr>
          <w:b/>
          <w:color w:val="000000"/>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2DB0" w:rsidRDefault="00FC2DB0">
      <w:pPr>
        <w:rPr>
          <w:b/>
          <w:color w:val="000000"/>
          <w:sz w:val="24"/>
        </w:rPr>
      </w:pPr>
    </w:p>
    <w:p w:rsidR="00FC2DB0" w:rsidRDefault="00FC2DB0">
      <w:pPr>
        <w:pStyle w:val="BodyText"/>
        <w:rPr>
          <w:color w:val="000000"/>
        </w:rPr>
      </w:pPr>
      <w:r>
        <w:rPr>
          <w:color w:val="000000"/>
        </w:rPr>
        <w:t>Estimate of the burden hours to the Federal Government is 3528 hours.  Reviewing and processing each response should take approximately 1 hour; the total number of responses is estimated to be 3528 each year.  3528 responses x 1 hour = 3528 hours.</w:t>
      </w:r>
    </w:p>
    <w:p w:rsidR="00FC2DB0" w:rsidRDefault="00FC2DB0">
      <w:pPr>
        <w:rPr>
          <w:color w:val="000000"/>
          <w:sz w:val="24"/>
        </w:rPr>
      </w:pPr>
    </w:p>
    <w:p w:rsidR="00FC2DB0" w:rsidRDefault="00FC2DB0">
      <w:pPr>
        <w:pStyle w:val="BodyText"/>
        <w:rPr>
          <w:color w:val="000000"/>
        </w:rPr>
      </w:pPr>
      <w:r>
        <w:rPr>
          <w:color w:val="000000"/>
        </w:rPr>
        <w:t>Based on the 3528 burden hours to the Government, using the annual salary of a GS-12, step 1, and an annual salary of $</w:t>
      </w:r>
      <w:r w:rsidR="00F746AC">
        <w:rPr>
          <w:color w:val="000000"/>
        </w:rPr>
        <w:t>61,486, hourly wage of $29</w:t>
      </w:r>
      <w:r>
        <w:rPr>
          <w:color w:val="000000"/>
        </w:rPr>
        <w:t>.</w:t>
      </w:r>
      <w:r w:rsidR="00F746AC">
        <w:rPr>
          <w:color w:val="000000"/>
        </w:rPr>
        <w:t>46</w:t>
      </w:r>
      <w:r>
        <w:rPr>
          <w:color w:val="000000"/>
        </w:rPr>
        <w:t>.</w:t>
      </w:r>
    </w:p>
    <w:p w:rsidR="00FC2DB0" w:rsidRDefault="00FC2DB0">
      <w:pPr>
        <w:rPr>
          <w:color w:val="000000"/>
          <w:sz w:val="24"/>
        </w:rPr>
      </w:pPr>
    </w:p>
    <w:p w:rsidR="0035394C" w:rsidRDefault="00FC2DB0" w:rsidP="0035394C">
      <w:pPr>
        <w:pStyle w:val="BodyText"/>
        <w:tabs>
          <w:tab w:val="right" w:leader="dot" w:pos="6394"/>
          <w:tab w:val="left" w:pos="6480"/>
        </w:tabs>
        <w:ind w:left="720"/>
        <w:rPr>
          <w:color w:val="000000"/>
        </w:rPr>
      </w:pPr>
      <w:r>
        <w:rPr>
          <w:color w:val="000000"/>
        </w:rPr>
        <w:t>Reviewing Time</w:t>
      </w:r>
      <w:r w:rsidR="0035394C">
        <w:rPr>
          <w:color w:val="000000"/>
        </w:rPr>
        <w:tab/>
      </w:r>
      <w:r>
        <w:rPr>
          <w:color w:val="000000"/>
        </w:rPr>
        <w:t xml:space="preserve">1 </w:t>
      </w:r>
      <w:r w:rsidR="0035394C">
        <w:rPr>
          <w:color w:val="000000"/>
        </w:rPr>
        <w:tab/>
      </w:r>
      <w:r>
        <w:rPr>
          <w:color w:val="000000"/>
        </w:rPr>
        <w:t>hour</w:t>
      </w:r>
    </w:p>
    <w:p w:rsidR="0035394C" w:rsidRDefault="00FC2DB0" w:rsidP="0035394C">
      <w:pPr>
        <w:pStyle w:val="BodyText"/>
        <w:tabs>
          <w:tab w:val="right" w:leader="dot" w:pos="6394"/>
          <w:tab w:val="left" w:pos="6480"/>
        </w:tabs>
        <w:ind w:left="720"/>
        <w:rPr>
          <w:color w:val="000000"/>
        </w:rPr>
      </w:pPr>
      <w:r>
        <w:rPr>
          <w:color w:val="000000"/>
        </w:rPr>
        <w:t>Requests/year</w:t>
      </w:r>
      <w:r w:rsidR="0035394C">
        <w:rPr>
          <w:color w:val="000000"/>
        </w:rPr>
        <w:tab/>
      </w:r>
      <w:r>
        <w:rPr>
          <w:color w:val="000000"/>
          <w:u w:val="single"/>
        </w:rPr>
        <w:t xml:space="preserve">3528 </w:t>
      </w:r>
    </w:p>
    <w:p w:rsidR="0035394C" w:rsidRDefault="00FC2DB0" w:rsidP="0035394C">
      <w:pPr>
        <w:pStyle w:val="BodyText"/>
        <w:tabs>
          <w:tab w:val="right" w:leader="dot" w:pos="6390"/>
          <w:tab w:val="left" w:pos="6480"/>
        </w:tabs>
        <w:ind w:left="720"/>
        <w:rPr>
          <w:color w:val="000000"/>
        </w:rPr>
      </w:pPr>
      <w:r>
        <w:rPr>
          <w:color w:val="000000"/>
        </w:rPr>
        <w:t>Review Time/year</w:t>
      </w:r>
      <w:r w:rsidR="0035394C">
        <w:rPr>
          <w:color w:val="000000"/>
        </w:rPr>
        <w:tab/>
      </w:r>
      <w:r>
        <w:rPr>
          <w:color w:val="000000"/>
        </w:rPr>
        <w:t xml:space="preserve">3528 </w:t>
      </w:r>
      <w:r w:rsidR="0035394C">
        <w:rPr>
          <w:color w:val="000000"/>
        </w:rPr>
        <w:tab/>
      </w:r>
      <w:r>
        <w:rPr>
          <w:color w:val="000000"/>
        </w:rPr>
        <w:t>hours</w:t>
      </w:r>
    </w:p>
    <w:p w:rsidR="0035394C" w:rsidRDefault="00FC2DB0" w:rsidP="0035394C">
      <w:pPr>
        <w:pStyle w:val="BodyText"/>
        <w:tabs>
          <w:tab w:val="right" w:leader="dot" w:pos="6394"/>
          <w:tab w:val="left" w:pos="6480"/>
        </w:tabs>
        <w:ind w:left="720"/>
        <w:rPr>
          <w:color w:val="000000"/>
          <w:u w:val="single"/>
        </w:rPr>
      </w:pPr>
      <w:r>
        <w:rPr>
          <w:color w:val="000000"/>
        </w:rPr>
        <w:t>Average Cost/</w:t>
      </w:r>
      <w:proofErr w:type="spellStart"/>
      <w:r>
        <w:rPr>
          <w:color w:val="000000"/>
        </w:rPr>
        <w:t>hr</w:t>
      </w:r>
      <w:proofErr w:type="spellEnd"/>
      <w:r w:rsidR="0035394C">
        <w:rPr>
          <w:color w:val="000000"/>
        </w:rPr>
        <w:tab/>
      </w:r>
      <w:r>
        <w:rPr>
          <w:color w:val="000000"/>
          <w:u w:val="single"/>
        </w:rPr>
        <w:t>$2</w:t>
      </w:r>
      <w:r w:rsidR="00F746AC">
        <w:rPr>
          <w:color w:val="000000"/>
          <w:u w:val="single"/>
        </w:rPr>
        <w:t>9.46</w:t>
      </w:r>
    </w:p>
    <w:p w:rsidR="00FC2DB0" w:rsidRDefault="00F746AC" w:rsidP="0035394C">
      <w:pPr>
        <w:pStyle w:val="BodyText"/>
        <w:tabs>
          <w:tab w:val="right" w:leader="dot" w:pos="6394"/>
          <w:tab w:val="left" w:pos="6480"/>
        </w:tabs>
        <w:ind w:left="720"/>
        <w:rPr>
          <w:color w:val="000000"/>
        </w:rPr>
      </w:pPr>
      <w:r>
        <w:rPr>
          <w:color w:val="000000"/>
        </w:rPr>
        <w:t xml:space="preserve">Total </w:t>
      </w:r>
      <w:r w:rsidR="001126B4">
        <w:rPr>
          <w:color w:val="000000"/>
        </w:rPr>
        <w:t xml:space="preserve">Annual </w:t>
      </w:r>
      <w:r>
        <w:rPr>
          <w:color w:val="000000"/>
        </w:rPr>
        <w:t>Government Cost</w:t>
      </w:r>
      <w:r w:rsidR="0035394C">
        <w:rPr>
          <w:color w:val="000000"/>
        </w:rPr>
        <w:tab/>
      </w:r>
      <w:r w:rsidR="00FC2DB0">
        <w:rPr>
          <w:color w:val="000000"/>
        </w:rPr>
        <w:t xml:space="preserve"> $</w:t>
      </w:r>
      <w:r>
        <w:rPr>
          <w:color w:val="000000"/>
        </w:rPr>
        <w:t>103,935</w:t>
      </w:r>
    </w:p>
    <w:p w:rsidR="00FC2DB0" w:rsidRDefault="00FC2DB0">
      <w:pPr>
        <w:rPr>
          <w:color w:val="000000"/>
          <w:sz w:val="24"/>
        </w:rPr>
      </w:pPr>
    </w:p>
    <w:p w:rsidR="00FC2DB0" w:rsidRDefault="00FC2DB0">
      <w:pPr>
        <w:rPr>
          <w:b/>
          <w:color w:val="000000"/>
          <w:sz w:val="24"/>
        </w:rPr>
      </w:pPr>
      <w:r>
        <w:rPr>
          <w:bCs/>
          <w:color w:val="000000"/>
          <w:sz w:val="24"/>
        </w:rPr>
        <w:t>15.</w:t>
      </w:r>
      <w:r>
        <w:rPr>
          <w:b/>
          <w:color w:val="000000"/>
          <w:sz w:val="24"/>
        </w:rPr>
        <w:t xml:space="preserve">  Explain the reasons for any program changes or adjustments reported in Items 13 or 14.</w:t>
      </w:r>
    </w:p>
    <w:p w:rsidR="00FC2DB0" w:rsidRDefault="00FC2DB0">
      <w:pPr>
        <w:rPr>
          <w:color w:val="000000"/>
          <w:sz w:val="24"/>
        </w:rPr>
      </w:pPr>
    </w:p>
    <w:p w:rsidR="003D21C5" w:rsidRDefault="0079348A" w:rsidP="003D21C5">
      <w:pPr>
        <w:rPr>
          <w:color w:val="000000"/>
          <w:sz w:val="24"/>
        </w:rPr>
      </w:pPr>
      <w:r>
        <w:rPr>
          <w:color w:val="000000"/>
          <w:sz w:val="24"/>
        </w:rPr>
        <w:t xml:space="preserve">The estimated annual burden </w:t>
      </w:r>
      <w:r w:rsidR="00896A28">
        <w:rPr>
          <w:color w:val="000000"/>
          <w:sz w:val="24"/>
        </w:rPr>
        <w:t xml:space="preserve">has decreased since GSA’s 2012 submission </w:t>
      </w:r>
      <w:r w:rsidR="003D21C5">
        <w:rPr>
          <w:color w:val="000000"/>
          <w:sz w:val="24"/>
        </w:rPr>
        <w:t>from 8,820 burden hours to 5,292 burden hours to reflect the widespread use of the option for potential contractors to submit financial statements and balance sheets in lieu of completing the applicable fields on GSA Form 527.  The alternate submission of financial statements and balance sheets significantly reduces the burden on prospective contractors, as these documents are generally readily available.  As such, the average estimated hours to complete a response has been reduced from 2.5 hours per response to 1.5 hours.</w:t>
      </w:r>
    </w:p>
    <w:p w:rsidR="0079348A" w:rsidRDefault="0079348A">
      <w:pPr>
        <w:rPr>
          <w:color w:val="000000"/>
          <w:sz w:val="24"/>
        </w:rPr>
      </w:pPr>
    </w:p>
    <w:p w:rsidR="00FC2DB0" w:rsidRDefault="00FC2DB0">
      <w:pPr>
        <w:rPr>
          <w:b/>
          <w:color w:val="000000"/>
          <w:sz w:val="24"/>
        </w:rPr>
      </w:pPr>
      <w:r>
        <w:rPr>
          <w:bCs/>
          <w:color w:val="000000"/>
          <w:sz w:val="24"/>
        </w:rPr>
        <w:t>16.</w:t>
      </w:r>
      <w:r>
        <w:rPr>
          <w:b/>
          <w:color w:val="000000"/>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17.</w:t>
      </w:r>
      <w:r>
        <w:rPr>
          <w:b/>
          <w:color w:val="000000"/>
          <w:sz w:val="24"/>
        </w:rPr>
        <w:t xml:space="preserve">  If seeking approval to not display the expiration date for OMB approval of the information collection, explain the reasons that display would be inappropriate.</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18.</w:t>
      </w:r>
      <w:r>
        <w:rPr>
          <w:b/>
          <w:color w:val="000000"/>
          <w:sz w:val="24"/>
        </w:rPr>
        <w:t xml:space="preserve">  Explain each exception to the certification statement identified in </w:t>
      </w:r>
      <w:r w:rsidR="0047617A">
        <w:rPr>
          <w:b/>
          <w:color w:val="000000"/>
          <w:sz w:val="24"/>
        </w:rPr>
        <w:t xml:space="preserve">the </w:t>
      </w:r>
      <w:r>
        <w:rPr>
          <w:b/>
          <w:color w:val="000000"/>
          <w:sz w:val="24"/>
        </w:rPr>
        <w:t>“Certification for Paperwork Reduction Act Submissions</w:t>
      </w:r>
      <w:r w:rsidR="0047617A">
        <w:rPr>
          <w:b/>
          <w:color w:val="000000"/>
          <w:sz w:val="24"/>
        </w:rPr>
        <w:t>”</w:t>
      </w:r>
      <w:r>
        <w:rPr>
          <w:b/>
          <w:color w:val="000000"/>
          <w:sz w:val="24"/>
        </w:rPr>
        <w:t>.</w:t>
      </w:r>
    </w:p>
    <w:p w:rsidR="00CE30D2" w:rsidRDefault="00CE30D2">
      <w:pPr>
        <w:rPr>
          <w:b/>
          <w:color w:val="000000"/>
          <w:sz w:val="24"/>
        </w:rPr>
      </w:pPr>
    </w:p>
    <w:p w:rsidR="00CE30D2" w:rsidRPr="00CE30D2" w:rsidRDefault="00CE30D2">
      <w:pPr>
        <w:rPr>
          <w:color w:val="000000"/>
          <w:sz w:val="24"/>
        </w:rPr>
      </w:pPr>
      <w:r w:rsidRPr="00CE30D2">
        <w:rPr>
          <w:color w:val="000000"/>
          <w:sz w:val="24"/>
        </w:rPr>
        <w:t>Not applicable.</w:t>
      </w:r>
    </w:p>
    <w:p w:rsidR="00FC2DB0" w:rsidRDefault="00FC2DB0">
      <w:pPr>
        <w:rPr>
          <w:b/>
          <w:color w:val="000000"/>
          <w:sz w:val="24"/>
        </w:rPr>
      </w:pPr>
    </w:p>
    <w:p w:rsidR="00FC2DB0" w:rsidRDefault="00FC2DB0">
      <w:pPr>
        <w:pStyle w:val="Heading2"/>
        <w:rPr>
          <w:color w:val="000000"/>
        </w:rPr>
      </w:pPr>
      <w:r>
        <w:rPr>
          <w:color w:val="000000"/>
        </w:rPr>
        <w:t>B. Collections of Information Employing Statistical Methods</w:t>
      </w:r>
    </w:p>
    <w:p w:rsidR="00FC2DB0" w:rsidRPr="002047F4" w:rsidRDefault="00FC2DB0">
      <w:pPr>
        <w:rPr>
          <w:bCs/>
          <w:color w:val="000000"/>
          <w:sz w:val="24"/>
        </w:rPr>
      </w:pPr>
      <w:r w:rsidRPr="002047F4">
        <w:rPr>
          <w:b/>
          <w:color w:val="000000"/>
          <w:sz w:val="24"/>
        </w:rPr>
        <w:t xml:space="preserve">  </w:t>
      </w:r>
    </w:p>
    <w:p w:rsidR="002047F4" w:rsidRPr="002047F4" w:rsidRDefault="002047F4" w:rsidP="002047F4">
      <w:pPr>
        <w:rPr>
          <w:sz w:val="24"/>
          <w:szCs w:val="24"/>
        </w:rPr>
      </w:pPr>
      <w:r w:rsidRPr="002047F4">
        <w:rPr>
          <w:sz w:val="24"/>
          <w:szCs w:val="24"/>
        </w:rPr>
        <w:t xml:space="preserve">Statistical methods are not used in this information collection. </w:t>
      </w:r>
    </w:p>
    <w:p w:rsidR="002047F4" w:rsidRPr="00C24952" w:rsidRDefault="002047F4" w:rsidP="002047F4">
      <w:pPr>
        <w:rPr>
          <w:rFonts w:ascii="Courier" w:hAnsi="Courier"/>
          <w:sz w:val="24"/>
          <w:szCs w:val="24"/>
        </w:rPr>
      </w:pPr>
    </w:p>
    <w:p w:rsidR="00FC2DB0" w:rsidRDefault="00FC2DB0" w:rsidP="002047F4"/>
    <w:sectPr w:rsidR="00FC2DB0" w:rsidSect="00DB71C7">
      <w:footerReference w:type="default" r:id="rId8"/>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CC" w:rsidRDefault="00957FCC">
      <w:r>
        <w:separator/>
      </w:r>
    </w:p>
  </w:endnote>
  <w:endnote w:type="continuationSeparator" w:id="0">
    <w:p w:rsidR="00957FCC" w:rsidRDefault="0095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B0" w:rsidRDefault="009367A5" w:rsidP="00B50218">
    <w:pPr>
      <w:pStyle w:val="Footer"/>
      <w:jc w:val="center"/>
    </w:pPr>
    <w:r>
      <w:rPr>
        <w:rStyle w:val="PageNumber"/>
      </w:rPr>
      <w:fldChar w:fldCharType="begin"/>
    </w:r>
    <w:r w:rsidR="00FC2DB0">
      <w:rPr>
        <w:rStyle w:val="PageNumber"/>
      </w:rPr>
      <w:instrText xml:space="preserve"> PAGE </w:instrText>
    </w:r>
    <w:r>
      <w:rPr>
        <w:rStyle w:val="PageNumber"/>
      </w:rPr>
      <w:fldChar w:fldCharType="separate"/>
    </w:r>
    <w:r w:rsidR="00900884">
      <w:rPr>
        <w:rStyle w:val="PageNumber"/>
        <w:noProof/>
      </w:rPr>
      <w:t>3</w:t>
    </w:r>
    <w:r>
      <w:rPr>
        <w:rStyle w:val="PageNumber"/>
      </w:rPr>
      <w:fldChar w:fldCharType="end"/>
    </w:r>
    <w:r w:rsidR="00FC2DB0">
      <w:rPr>
        <w:rStyle w:val="PageNumber"/>
      </w:rPr>
      <w:t xml:space="preserve"> of </w:t>
    </w:r>
    <w:r>
      <w:rPr>
        <w:rStyle w:val="PageNumber"/>
      </w:rPr>
      <w:fldChar w:fldCharType="begin"/>
    </w:r>
    <w:r w:rsidR="00FC2DB0">
      <w:rPr>
        <w:rStyle w:val="PageNumber"/>
      </w:rPr>
      <w:instrText xml:space="preserve"> NUMPAGES </w:instrText>
    </w:r>
    <w:r>
      <w:rPr>
        <w:rStyle w:val="PageNumber"/>
      </w:rPr>
      <w:fldChar w:fldCharType="separate"/>
    </w:r>
    <w:r w:rsidR="00900884">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CC" w:rsidRDefault="00957FCC">
      <w:r>
        <w:separator/>
      </w:r>
    </w:p>
  </w:footnote>
  <w:footnote w:type="continuationSeparator" w:id="0">
    <w:p w:rsidR="00957FCC" w:rsidRDefault="00957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8">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9"/>
  </w:num>
  <w:num w:numId="6">
    <w:abstractNumId w:val="6"/>
  </w:num>
  <w:num w:numId="7">
    <w:abstractNumId w:val="3"/>
  </w:num>
  <w:num w:numId="8">
    <w:abstractNumId w:val="18"/>
  </w:num>
  <w:num w:numId="9">
    <w:abstractNumId w:val="17"/>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F224A"/>
    <w:rsid w:val="000E04A2"/>
    <w:rsid w:val="001126B4"/>
    <w:rsid w:val="00147D06"/>
    <w:rsid w:val="001860C0"/>
    <w:rsid w:val="002047F4"/>
    <w:rsid w:val="00204E42"/>
    <w:rsid w:val="00215E9C"/>
    <w:rsid w:val="00216FEA"/>
    <w:rsid w:val="00294739"/>
    <w:rsid w:val="0035394C"/>
    <w:rsid w:val="003D21C5"/>
    <w:rsid w:val="003D2ED9"/>
    <w:rsid w:val="003E7CC4"/>
    <w:rsid w:val="0047617A"/>
    <w:rsid w:val="005D022F"/>
    <w:rsid w:val="005D5102"/>
    <w:rsid w:val="005F224A"/>
    <w:rsid w:val="0061786B"/>
    <w:rsid w:val="0064596F"/>
    <w:rsid w:val="0065777B"/>
    <w:rsid w:val="00694B5F"/>
    <w:rsid w:val="006A24E3"/>
    <w:rsid w:val="007020CB"/>
    <w:rsid w:val="00732CC6"/>
    <w:rsid w:val="0074076B"/>
    <w:rsid w:val="0076451E"/>
    <w:rsid w:val="0079348A"/>
    <w:rsid w:val="007D6FE2"/>
    <w:rsid w:val="00834349"/>
    <w:rsid w:val="00861ED6"/>
    <w:rsid w:val="00896A28"/>
    <w:rsid w:val="008B0A12"/>
    <w:rsid w:val="008E337C"/>
    <w:rsid w:val="00900884"/>
    <w:rsid w:val="009367A5"/>
    <w:rsid w:val="00957FCC"/>
    <w:rsid w:val="009818EC"/>
    <w:rsid w:val="0098365F"/>
    <w:rsid w:val="009A09E5"/>
    <w:rsid w:val="009A18C9"/>
    <w:rsid w:val="009C45B4"/>
    <w:rsid w:val="009D7DE0"/>
    <w:rsid w:val="00A0185A"/>
    <w:rsid w:val="00A774AF"/>
    <w:rsid w:val="00AB1592"/>
    <w:rsid w:val="00B50218"/>
    <w:rsid w:val="00BD254F"/>
    <w:rsid w:val="00C6135A"/>
    <w:rsid w:val="00C7511D"/>
    <w:rsid w:val="00C843DB"/>
    <w:rsid w:val="00CE30D2"/>
    <w:rsid w:val="00DB71C7"/>
    <w:rsid w:val="00E0198A"/>
    <w:rsid w:val="00E051AD"/>
    <w:rsid w:val="00E647B6"/>
    <w:rsid w:val="00E94E2E"/>
    <w:rsid w:val="00F746AC"/>
    <w:rsid w:val="00FA46A3"/>
    <w:rsid w:val="00FC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1C7"/>
  </w:style>
  <w:style w:type="paragraph" w:styleId="Heading1">
    <w:name w:val="heading 1"/>
    <w:basedOn w:val="Normal"/>
    <w:next w:val="Normal"/>
    <w:qFormat/>
    <w:rsid w:val="00DB71C7"/>
    <w:pPr>
      <w:keepNext/>
      <w:outlineLvl w:val="0"/>
    </w:pPr>
    <w:rPr>
      <w:b/>
      <w:sz w:val="24"/>
      <w:u w:val="single"/>
    </w:rPr>
  </w:style>
  <w:style w:type="paragraph" w:styleId="Heading2">
    <w:name w:val="heading 2"/>
    <w:basedOn w:val="Normal"/>
    <w:next w:val="Normal"/>
    <w:qFormat/>
    <w:rsid w:val="00DB71C7"/>
    <w:pPr>
      <w:keepNext/>
      <w:outlineLvl w:val="1"/>
    </w:pPr>
    <w:rPr>
      <w:b/>
      <w:sz w:val="24"/>
    </w:rPr>
  </w:style>
  <w:style w:type="paragraph" w:styleId="Heading3">
    <w:name w:val="heading 3"/>
    <w:basedOn w:val="Normal"/>
    <w:next w:val="Normal"/>
    <w:qFormat/>
    <w:rsid w:val="00DB71C7"/>
    <w:pPr>
      <w:keepNext/>
      <w:outlineLvl w:val="2"/>
    </w:pPr>
    <w:rPr>
      <w:sz w:val="24"/>
    </w:rPr>
  </w:style>
  <w:style w:type="paragraph" w:styleId="Heading4">
    <w:name w:val="heading 4"/>
    <w:basedOn w:val="Normal"/>
    <w:next w:val="Normal"/>
    <w:qFormat/>
    <w:rsid w:val="00DB71C7"/>
    <w:pPr>
      <w:keepNext/>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71C7"/>
    <w:rPr>
      <w:sz w:val="24"/>
    </w:rPr>
  </w:style>
  <w:style w:type="paragraph" w:styleId="Header">
    <w:name w:val="header"/>
    <w:basedOn w:val="Normal"/>
    <w:rsid w:val="00DB71C7"/>
    <w:pPr>
      <w:tabs>
        <w:tab w:val="center" w:pos="4320"/>
        <w:tab w:val="right" w:pos="8640"/>
      </w:tabs>
    </w:pPr>
  </w:style>
  <w:style w:type="paragraph" w:styleId="Footer">
    <w:name w:val="footer"/>
    <w:basedOn w:val="Normal"/>
    <w:rsid w:val="00DB71C7"/>
    <w:pPr>
      <w:tabs>
        <w:tab w:val="center" w:pos="4320"/>
        <w:tab w:val="right" w:pos="8640"/>
      </w:tabs>
    </w:pPr>
  </w:style>
  <w:style w:type="paragraph" w:styleId="BodyTextIndent">
    <w:name w:val="Body Text Indent"/>
    <w:basedOn w:val="Normal"/>
    <w:rsid w:val="00DB71C7"/>
    <w:pPr>
      <w:ind w:firstLine="720"/>
    </w:pPr>
    <w:rPr>
      <w:b/>
      <w:bCs/>
      <w:sz w:val="24"/>
    </w:rPr>
  </w:style>
  <w:style w:type="character" w:styleId="PageNumber">
    <w:name w:val="page number"/>
    <w:basedOn w:val="DefaultParagraphFont"/>
    <w:rsid w:val="00DB71C7"/>
  </w:style>
  <w:style w:type="paragraph" w:styleId="BodyText2">
    <w:name w:val="Body Text 2"/>
    <w:basedOn w:val="Normal"/>
    <w:rsid w:val="00DB71C7"/>
    <w:rPr>
      <w:b/>
      <w:sz w:val="24"/>
    </w:rPr>
  </w:style>
  <w:style w:type="paragraph" w:styleId="BodyText3">
    <w:name w:val="Body Text 3"/>
    <w:basedOn w:val="Normal"/>
    <w:rsid w:val="00DB71C7"/>
    <w:rPr>
      <w:color w:val="FF0000"/>
      <w:sz w:val="24"/>
    </w:rPr>
  </w:style>
  <w:style w:type="paragraph" w:styleId="BalloonText">
    <w:name w:val="Balloon Text"/>
    <w:basedOn w:val="Normal"/>
    <w:semiHidden/>
    <w:rsid w:val="009A0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1C7"/>
  </w:style>
  <w:style w:type="paragraph" w:styleId="Heading1">
    <w:name w:val="heading 1"/>
    <w:basedOn w:val="Normal"/>
    <w:next w:val="Normal"/>
    <w:qFormat/>
    <w:rsid w:val="00DB71C7"/>
    <w:pPr>
      <w:keepNext/>
      <w:outlineLvl w:val="0"/>
    </w:pPr>
    <w:rPr>
      <w:b/>
      <w:sz w:val="24"/>
      <w:u w:val="single"/>
    </w:rPr>
  </w:style>
  <w:style w:type="paragraph" w:styleId="Heading2">
    <w:name w:val="heading 2"/>
    <w:basedOn w:val="Normal"/>
    <w:next w:val="Normal"/>
    <w:qFormat/>
    <w:rsid w:val="00DB71C7"/>
    <w:pPr>
      <w:keepNext/>
      <w:outlineLvl w:val="1"/>
    </w:pPr>
    <w:rPr>
      <w:b/>
      <w:sz w:val="24"/>
    </w:rPr>
  </w:style>
  <w:style w:type="paragraph" w:styleId="Heading3">
    <w:name w:val="heading 3"/>
    <w:basedOn w:val="Normal"/>
    <w:next w:val="Normal"/>
    <w:qFormat/>
    <w:rsid w:val="00DB71C7"/>
    <w:pPr>
      <w:keepNext/>
      <w:outlineLvl w:val="2"/>
    </w:pPr>
    <w:rPr>
      <w:sz w:val="24"/>
    </w:rPr>
  </w:style>
  <w:style w:type="paragraph" w:styleId="Heading4">
    <w:name w:val="heading 4"/>
    <w:basedOn w:val="Normal"/>
    <w:next w:val="Normal"/>
    <w:qFormat/>
    <w:rsid w:val="00DB71C7"/>
    <w:pPr>
      <w:keepNext/>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71C7"/>
    <w:rPr>
      <w:sz w:val="24"/>
    </w:rPr>
  </w:style>
  <w:style w:type="paragraph" w:styleId="Header">
    <w:name w:val="header"/>
    <w:basedOn w:val="Normal"/>
    <w:rsid w:val="00DB71C7"/>
    <w:pPr>
      <w:tabs>
        <w:tab w:val="center" w:pos="4320"/>
        <w:tab w:val="right" w:pos="8640"/>
      </w:tabs>
    </w:pPr>
  </w:style>
  <w:style w:type="paragraph" w:styleId="Footer">
    <w:name w:val="footer"/>
    <w:basedOn w:val="Normal"/>
    <w:rsid w:val="00DB71C7"/>
    <w:pPr>
      <w:tabs>
        <w:tab w:val="center" w:pos="4320"/>
        <w:tab w:val="right" w:pos="8640"/>
      </w:tabs>
    </w:pPr>
  </w:style>
  <w:style w:type="paragraph" w:styleId="BodyTextIndent">
    <w:name w:val="Body Text Indent"/>
    <w:basedOn w:val="Normal"/>
    <w:rsid w:val="00DB71C7"/>
    <w:pPr>
      <w:ind w:firstLine="720"/>
    </w:pPr>
    <w:rPr>
      <w:b/>
      <w:bCs/>
      <w:sz w:val="24"/>
    </w:rPr>
  </w:style>
  <w:style w:type="character" w:styleId="PageNumber">
    <w:name w:val="page number"/>
    <w:basedOn w:val="DefaultParagraphFont"/>
    <w:rsid w:val="00DB71C7"/>
  </w:style>
  <w:style w:type="paragraph" w:styleId="BodyText2">
    <w:name w:val="Body Text 2"/>
    <w:basedOn w:val="Normal"/>
    <w:rsid w:val="00DB71C7"/>
    <w:rPr>
      <w:b/>
      <w:sz w:val="24"/>
    </w:rPr>
  </w:style>
  <w:style w:type="paragraph" w:styleId="BodyText3">
    <w:name w:val="Body Text 3"/>
    <w:basedOn w:val="Normal"/>
    <w:rsid w:val="00DB71C7"/>
    <w:rPr>
      <w:color w:val="FF0000"/>
      <w:sz w:val="24"/>
    </w:rPr>
  </w:style>
  <w:style w:type="paragraph" w:styleId="BalloonText">
    <w:name w:val="Balloon Text"/>
    <w:basedOn w:val="Normal"/>
    <w:semiHidden/>
    <w:rsid w:val="009A0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87</TotalTime>
  <Pages>6</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HelenCHeinrich</cp:lastModifiedBy>
  <cp:revision>18</cp:revision>
  <cp:lastPrinted>2012-04-18T20:19:00Z</cp:lastPrinted>
  <dcterms:created xsi:type="dcterms:W3CDTF">2015-04-23T19:59:00Z</dcterms:created>
  <dcterms:modified xsi:type="dcterms:W3CDTF">2015-08-05T18:59:00Z</dcterms:modified>
</cp:coreProperties>
</file>