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6B" w:rsidRPr="00287B3C" w:rsidRDefault="005F75C6" w:rsidP="005F75C6">
      <w:pPr>
        <w:rPr>
          <w:bCs/>
          <w:sz w:val="26"/>
          <w:szCs w:val="26"/>
        </w:rPr>
      </w:pPr>
      <w:bookmarkStart w:id="0" w:name="_GoBack"/>
      <w:bookmarkEnd w:id="0"/>
      <w:r w:rsidRPr="00287B3C">
        <w:rPr>
          <w:bCs/>
          <w:sz w:val="26"/>
          <w:szCs w:val="26"/>
        </w:rPr>
        <w:t>Data Collection Program</w:t>
      </w:r>
      <w:r>
        <w:rPr>
          <w:b/>
          <w:bCs/>
          <w:sz w:val="26"/>
          <w:szCs w:val="26"/>
        </w:rPr>
        <w:t xml:space="preserve">:  </w:t>
      </w:r>
      <w:proofErr w:type="spellStart"/>
      <w:r>
        <w:rPr>
          <w:b/>
          <w:bCs/>
          <w:sz w:val="26"/>
          <w:szCs w:val="26"/>
        </w:rPr>
        <w:t>SafeOCS</w:t>
      </w:r>
      <w:proofErr w:type="spellEnd"/>
      <w:r>
        <w:rPr>
          <w:b/>
          <w:bCs/>
          <w:sz w:val="26"/>
          <w:szCs w:val="26"/>
        </w:rPr>
        <w:t xml:space="preserve"> </w:t>
      </w:r>
      <w:r w:rsidRPr="00287B3C">
        <w:rPr>
          <w:bCs/>
          <w:sz w:val="26"/>
          <w:szCs w:val="26"/>
        </w:rPr>
        <w:t>(Voluntary Near Miss Reporting in Oil and Gas Operations on the Outer Continental Shelf</w:t>
      </w:r>
      <w:r w:rsidR="00287B3C">
        <w:rPr>
          <w:bCs/>
          <w:sz w:val="26"/>
          <w:szCs w:val="26"/>
        </w:rPr>
        <w:t>)</w:t>
      </w:r>
    </w:p>
    <w:p w:rsidR="00EE286B" w:rsidRDefault="00EE286B">
      <w:pPr>
        <w:ind w:firstLine="2880"/>
        <w:rPr>
          <w:b/>
          <w:bCs/>
          <w:sz w:val="26"/>
          <w:szCs w:val="26"/>
        </w:rPr>
      </w:pPr>
    </w:p>
    <w:p w:rsidR="007B3A70" w:rsidRDefault="007B3A70">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7B3A70" w:rsidRDefault="007B3A70">
      <w:pPr>
        <w:rPr>
          <w:sz w:val="26"/>
          <w:szCs w:val="26"/>
        </w:rPr>
      </w:pPr>
    </w:p>
    <w:p w:rsidR="007B3A70" w:rsidRDefault="007B3A70">
      <w:pPr>
        <w:rPr>
          <w:sz w:val="26"/>
          <w:szCs w:val="26"/>
        </w:rPr>
      </w:pPr>
      <w:r>
        <w:rPr>
          <w:sz w:val="26"/>
          <w:szCs w:val="26"/>
        </w:rPr>
        <w:t xml:space="preserve">A. </w:t>
      </w:r>
      <w:r>
        <w:rPr>
          <w:sz w:val="26"/>
          <w:szCs w:val="26"/>
          <w:u w:val="single"/>
        </w:rPr>
        <w:t>Justification</w:t>
      </w:r>
    </w:p>
    <w:p w:rsidR="007B3A70" w:rsidRDefault="007B3A70">
      <w:pPr>
        <w:rPr>
          <w:sz w:val="26"/>
          <w:szCs w:val="26"/>
        </w:rPr>
      </w:pPr>
    </w:p>
    <w:p w:rsidR="008063D5" w:rsidRPr="00DB3A77" w:rsidRDefault="007B3A70" w:rsidP="008063D5">
      <w:pPr>
        <w:rPr>
          <w:b/>
          <w:sz w:val="24"/>
        </w:rPr>
      </w:pPr>
      <w:r w:rsidRPr="00DB3A77">
        <w:rPr>
          <w:b/>
          <w:sz w:val="24"/>
        </w:rPr>
        <w:t>1.  Explain the circumstances that make the collection of information necessary.  Identify any legal or administrative requirements that necessitate the collection.</w:t>
      </w:r>
    </w:p>
    <w:p w:rsidR="008063D5" w:rsidRPr="004E5C70" w:rsidRDefault="008063D5" w:rsidP="008063D5">
      <w:pPr>
        <w:rPr>
          <w:sz w:val="24"/>
        </w:rPr>
      </w:pPr>
    </w:p>
    <w:p w:rsidR="00C21D3B" w:rsidRPr="001B56F2" w:rsidRDefault="001D4DF8" w:rsidP="00E23E19">
      <w:pPr>
        <w:rPr>
          <w:i/>
          <w:lang w:val="en"/>
        </w:rPr>
      </w:pPr>
      <w:r w:rsidRPr="00B11277">
        <w:rPr>
          <w:sz w:val="24"/>
        </w:rPr>
        <w:t>Collecting transportation</w:t>
      </w:r>
      <w:r w:rsidR="00E05C68">
        <w:rPr>
          <w:sz w:val="24"/>
        </w:rPr>
        <w:t xml:space="preserve"> safety data, including data on precursors </w:t>
      </w:r>
      <w:r w:rsidR="00F463C2">
        <w:rPr>
          <w:sz w:val="24"/>
        </w:rPr>
        <w:t>to adverse events</w:t>
      </w:r>
      <w:r w:rsidR="00113C02">
        <w:rPr>
          <w:sz w:val="24"/>
        </w:rPr>
        <w:t xml:space="preserve">, </w:t>
      </w:r>
      <w:r w:rsidR="00113C02" w:rsidRPr="00B11277">
        <w:rPr>
          <w:sz w:val="24"/>
        </w:rPr>
        <w:t>is</w:t>
      </w:r>
      <w:r w:rsidRPr="00B11277">
        <w:rPr>
          <w:sz w:val="24"/>
        </w:rPr>
        <w:t xml:space="preserve"> an important component of </w:t>
      </w:r>
      <w:r w:rsidR="00287130">
        <w:rPr>
          <w:sz w:val="24"/>
        </w:rPr>
        <w:t>BTS’</w:t>
      </w:r>
      <w:r w:rsidRPr="00B11277">
        <w:rPr>
          <w:sz w:val="24"/>
        </w:rPr>
        <w:t xml:space="preserve">s responsibility to the transportation community and is authorized in </w:t>
      </w:r>
      <w:r w:rsidR="00287130">
        <w:rPr>
          <w:sz w:val="24"/>
        </w:rPr>
        <w:t>BTS’s</w:t>
      </w:r>
      <w:r w:rsidRPr="00B11277">
        <w:rPr>
          <w:sz w:val="24"/>
        </w:rPr>
        <w:t xml:space="preserve"> </w:t>
      </w:r>
      <w:r w:rsidR="0039665F">
        <w:rPr>
          <w:sz w:val="24"/>
        </w:rPr>
        <w:t>authorizing statute</w:t>
      </w:r>
      <w:r>
        <w:rPr>
          <w:sz w:val="24"/>
        </w:rPr>
        <w:t xml:space="preserve">.   </w:t>
      </w:r>
      <w:r w:rsidR="00855675" w:rsidRPr="00FE06CC">
        <w:rPr>
          <w:sz w:val="24"/>
        </w:rPr>
        <w:t>On July 6, 2012, President Obama signed the Moving Ahead for Progress in the 21st Century Act (MAP-21) (Public Law 112-141)</w:t>
      </w:r>
      <w:r w:rsidR="00F463C2">
        <w:rPr>
          <w:sz w:val="24"/>
        </w:rPr>
        <w:t>,</w:t>
      </w:r>
      <w:r w:rsidR="00855675" w:rsidRPr="00FE06CC">
        <w:rPr>
          <w:sz w:val="24"/>
        </w:rPr>
        <w:t xml:space="preserve"> which amended Title 49 U.S.C. by adding a new chapter (Chapter 63) for the Bureau of Transportation Statistics (BTS).</w:t>
      </w:r>
      <w:r>
        <w:rPr>
          <w:sz w:val="24"/>
        </w:rPr>
        <w:t xml:space="preserve">  Section </w:t>
      </w:r>
      <w:r w:rsidR="00855675" w:rsidRPr="00FE06CC">
        <w:rPr>
          <w:sz w:val="24"/>
        </w:rPr>
        <w:t>6306 authorizes the BTS Director to enter a</w:t>
      </w:r>
      <w:r w:rsidR="00E41C12">
        <w:rPr>
          <w:sz w:val="24"/>
        </w:rPr>
        <w:t>greements with Federal, state, l</w:t>
      </w:r>
      <w:r w:rsidR="00855675" w:rsidRPr="00FE06CC">
        <w:rPr>
          <w:sz w:val="24"/>
        </w:rPr>
        <w:t>ocal</w:t>
      </w:r>
      <w:r w:rsidR="009F367B">
        <w:rPr>
          <w:sz w:val="24"/>
        </w:rPr>
        <w:t>,</w:t>
      </w:r>
      <w:r w:rsidR="00855675" w:rsidRPr="00FE06CC">
        <w:rPr>
          <w:sz w:val="24"/>
        </w:rPr>
        <w:t xml:space="preserve"> or private agencies for the purposes of transportation data col</w:t>
      </w:r>
      <w:r>
        <w:rPr>
          <w:sz w:val="24"/>
        </w:rPr>
        <w:t>lection and analysis.</w:t>
      </w:r>
      <w:r w:rsidR="00855675" w:rsidRPr="00FE06CC">
        <w:rPr>
          <w:sz w:val="24"/>
        </w:rPr>
        <w:t xml:space="preserve">  The legislation authorizes to</w:t>
      </w:r>
      <w:r w:rsidR="00855675" w:rsidRPr="00FE06CC">
        <w:rPr>
          <w:sz w:val="24"/>
          <w:lang w:val="en"/>
        </w:rPr>
        <w:t xml:space="preserve"> ensure that all transportation statistical collection, analysis, and dissemination is carried out in a coordinat</w:t>
      </w:r>
      <w:r>
        <w:rPr>
          <w:sz w:val="24"/>
          <w:lang w:val="en"/>
        </w:rPr>
        <w:t>ed manner, the BTS Director may-</w:t>
      </w:r>
      <w:r w:rsidR="00855675" w:rsidRPr="00FE06CC">
        <w:rPr>
          <w:sz w:val="24"/>
          <w:lang w:val="en"/>
        </w:rPr>
        <w:t xml:space="preserve"> </w:t>
      </w:r>
      <w:bookmarkStart w:id="1" w:name="1"/>
      <w:bookmarkEnd w:id="1"/>
      <w:r w:rsidR="00855675" w:rsidRPr="006302CA">
        <w:rPr>
          <w:bCs/>
          <w:i/>
          <w:lang w:val="en"/>
        </w:rPr>
        <w:t>(1)</w:t>
      </w:r>
      <w:r w:rsidR="00855675" w:rsidRPr="006302CA">
        <w:rPr>
          <w:i/>
          <w:lang w:val="en"/>
        </w:rPr>
        <w:t xml:space="preserve"> use the services, equipment, records, personnel, information, and facilities of other Federal agencies, or State, local, and private agencies and instrumentalities, subject to the conditions that the applicable agency or instrumentality consents to that use and with or without reimbursement for such use; </w:t>
      </w:r>
      <w:bookmarkStart w:id="2" w:name="2"/>
      <w:bookmarkEnd w:id="2"/>
      <w:r w:rsidR="00855675" w:rsidRPr="006302CA">
        <w:rPr>
          <w:bCs/>
          <w:i/>
          <w:lang w:val="en"/>
        </w:rPr>
        <w:t>(2)</w:t>
      </w:r>
      <w:r w:rsidR="00855675" w:rsidRPr="006302CA">
        <w:rPr>
          <w:i/>
          <w:lang w:val="en"/>
        </w:rPr>
        <w:t xml:space="preserve"> enter into agreements with the agencies and instrumentalities described in paragraph (1) for purposes of data collection and analysis; </w:t>
      </w:r>
      <w:bookmarkStart w:id="3" w:name="3"/>
      <w:bookmarkEnd w:id="3"/>
      <w:r w:rsidR="005E0F6E">
        <w:rPr>
          <w:i/>
          <w:lang w:val="en"/>
        </w:rPr>
        <w:t>..</w:t>
      </w:r>
      <w:r w:rsidR="00855675" w:rsidRPr="006302CA">
        <w:rPr>
          <w:i/>
          <w:lang w:val="en"/>
        </w:rPr>
        <w:t xml:space="preserve">. </w:t>
      </w:r>
      <w:r w:rsidR="008063D5" w:rsidRPr="00B11277">
        <w:rPr>
          <w:sz w:val="24"/>
        </w:rPr>
        <w:t>To</w:t>
      </w:r>
      <w:r w:rsidR="00F00E6B">
        <w:rPr>
          <w:sz w:val="24"/>
        </w:rPr>
        <w:t>ward</w:t>
      </w:r>
      <w:r w:rsidR="008063D5" w:rsidRPr="00B11277">
        <w:rPr>
          <w:sz w:val="24"/>
        </w:rPr>
        <w:t xml:space="preserve"> that end, BTS has </w:t>
      </w:r>
      <w:r w:rsidR="00092966">
        <w:rPr>
          <w:sz w:val="24"/>
        </w:rPr>
        <w:t xml:space="preserve">entered into an interagency agreement (IAA) with </w:t>
      </w:r>
      <w:r w:rsidR="0051218D">
        <w:rPr>
          <w:sz w:val="24"/>
        </w:rPr>
        <w:t xml:space="preserve">the Department of Interior Bureau of </w:t>
      </w:r>
      <w:r w:rsidR="00E4631D">
        <w:rPr>
          <w:sz w:val="24"/>
        </w:rPr>
        <w:t xml:space="preserve">Safety and Environmental Enforcement </w:t>
      </w:r>
      <w:r w:rsidR="000345E6">
        <w:rPr>
          <w:sz w:val="24"/>
        </w:rPr>
        <w:t xml:space="preserve">to </w:t>
      </w:r>
      <w:r w:rsidR="007E4AF3" w:rsidRPr="007E4AF3">
        <w:rPr>
          <w:sz w:val="24"/>
        </w:rPr>
        <w:t>develop</w:t>
      </w:r>
      <w:r w:rsidR="00287B3C">
        <w:rPr>
          <w:sz w:val="24"/>
        </w:rPr>
        <w:t xml:space="preserve"> and implement </w:t>
      </w:r>
      <w:proofErr w:type="spellStart"/>
      <w:r w:rsidR="00287B3C">
        <w:rPr>
          <w:sz w:val="24"/>
        </w:rPr>
        <w:t>SafeOCS</w:t>
      </w:r>
      <w:proofErr w:type="spellEnd"/>
      <w:r w:rsidR="00287B3C">
        <w:rPr>
          <w:sz w:val="24"/>
        </w:rPr>
        <w:t>, a</w:t>
      </w:r>
      <w:r w:rsidR="007E4AF3" w:rsidRPr="007E4AF3">
        <w:rPr>
          <w:sz w:val="24"/>
        </w:rPr>
        <w:t xml:space="preserve"> voluntary program for confiden</w:t>
      </w:r>
      <w:r w:rsidR="007E4AF3">
        <w:rPr>
          <w:sz w:val="24"/>
        </w:rPr>
        <w:t>tial reporting of “near miss” events</w:t>
      </w:r>
      <w:r w:rsidR="00C74CEB">
        <w:rPr>
          <w:sz w:val="24"/>
        </w:rPr>
        <w:t xml:space="preserve"> in oil and gas operations </w:t>
      </w:r>
      <w:r w:rsidR="007E4AF3" w:rsidRPr="007E4AF3">
        <w:rPr>
          <w:sz w:val="24"/>
        </w:rPr>
        <w:t xml:space="preserve">on the </w:t>
      </w:r>
      <w:r w:rsidR="00F67582">
        <w:rPr>
          <w:sz w:val="24"/>
        </w:rPr>
        <w:t>outer continental shelf (OCS)</w:t>
      </w:r>
      <w:r w:rsidR="00012656">
        <w:rPr>
          <w:sz w:val="24"/>
        </w:rPr>
        <w:t xml:space="preserve"> which include transportation vessels and pipeline supporting offshore oil and gas production</w:t>
      </w:r>
      <w:r w:rsidR="000345E6">
        <w:rPr>
          <w:sz w:val="24"/>
        </w:rPr>
        <w:t xml:space="preserve">. </w:t>
      </w:r>
    </w:p>
    <w:p w:rsidR="00C21D3B" w:rsidRDefault="00C21D3B" w:rsidP="00E23E19">
      <w:pPr>
        <w:rPr>
          <w:sz w:val="24"/>
        </w:rPr>
      </w:pPr>
    </w:p>
    <w:p w:rsidR="009048B9" w:rsidRDefault="00851318" w:rsidP="00E23E19">
      <w:pPr>
        <w:rPr>
          <w:bCs/>
          <w:iCs/>
          <w:sz w:val="24"/>
        </w:rPr>
      </w:pPr>
      <w:r w:rsidRPr="00DD28EF">
        <w:rPr>
          <w:sz w:val="24"/>
        </w:rPr>
        <w:t xml:space="preserve">Under the Outer Continental Shelf Lands Act (OCSLA), 43 U.S.C. 1331 – 1356a, the Secretary of the Interior (the Secretary) is authorized to regulate oil and natural gas exploration, development, and production operations on the OCS.  The Secretary has assigned BSEE the responsibility for offshore safety and environmental enforcement under OCSLA (see 76 FR 64432, Oct. 18, 2011).  The BSEE promotes safety, protects the environment, and conserves offshore oil and gas resources through regulatory oversight and enforcement, research activities, public outreach, information sharing, and appropriate cooperation with industry and other OCS stakeholders.  </w:t>
      </w:r>
      <w:r w:rsidR="006931BA" w:rsidRPr="006931BA">
        <w:rPr>
          <w:sz w:val="24"/>
        </w:rPr>
        <w:t xml:space="preserve">In 2013, the National Commission on the BP Deepwater Horizon Oil Spill </w:t>
      </w:r>
      <w:r w:rsidR="003659A5">
        <w:rPr>
          <w:sz w:val="24"/>
        </w:rPr>
        <w:t>recommended</w:t>
      </w:r>
      <w:r w:rsidR="006931BA" w:rsidRPr="006931BA">
        <w:rPr>
          <w:sz w:val="24"/>
        </w:rPr>
        <w:t xml:space="preserve"> that BSEE develop a system for near miss reporting for oil and gas operations on the OCS.  </w:t>
      </w:r>
      <w:r w:rsidR="009048B9" w:rsidRPr="00AE21C7">
        <w:rPr>
          <w:sz w:val="24"/>
        </w:rPr>
        <w:t>A n</w:t>
      </w:r>
      <w:r w:rsidR="009048B9" w:rsidRPr="00AE21C7">
        <w:rPr>
          <w:bCs/>
          <w:iCs/>
          <w:sz w:val="24"/>
        </w:rPr>
        <w:t>ear miss is an event and/or condition that could have resulted in loss, or</w:t>
      </w:r>
      <w:r w:rsidR="009048B9" w:rsidRPr="00AE21C7">
        <w:rPr>
          <w:sz w:val="24"/>
        </w:rPr>
        <w:t xml:space="preserve"> had the potential for additional safety, environmental or other consequences, but did not result in an adverse event. </w:t>
      </w:r>
      <w:r w:rsidR="009048B9" w:rsidRPr="00AE21C7">
        <w:rPr>
          <w:bCs/>
          <w:iCs/>
          <w:sz w:val="24"/>
        </w:rPr>
        <w:t xml:space="preserve"> This adverse event was prevented only by a fortuitous break in the chain of events and/or conditions.  The potential loss could be human injury, environmental damage, or negative business impact.  </w:t>
      </w:r>
    </w:p>
    <w:p w:rsidR="009048B9" w:rsidRDefault="009048B9" w:rsidP="00E23E19">
      <w:pPr>
        <w:rPr>
          <w:bCs/>
          <w:iCs/>
          <w:sz w:val="24"/>
        </w:rPr>
      </w:pPr>
    </w:p>
    <w:p w:rsidR="00AE21C7" w:rsidRPr="00AE21C7" w:rsidRDefault="00287B3C" w:rsidP="00C25E3F">
      <w:pPr>
        <w:rPr>
          <w:sz w:val="24"/>
        </w:rPr>
      </w:pPr>
      <w:proofErr w:type="spellStart"/>
      <w:r>
        <w:rPr>
          <w:sz w:val="24"/>
        </w:rPr>
        <w:t>SafeOCS</w:t>
      </w:r>
      <w:proofErr w:type="spellEnd"/>
      <w:r>
        <w:rPr>
          <w:sz w:val="24"/>
        </w:rPr>
        <w:t xml:space="preserve"> is designed to </w:t>
      </w:r>
      <w:r w:rsidR="007A05E1" w:rsidRPr="003E0C56">
        <w:rPr>
          <w:sz w:val="24"/>
        </w:rPr>
        <w:t xml:space="preserve">provide essential information about accident precursors and other </w:t>
      </w:r>
      <w:r w:rsidR="007A05E1" w:rsidRPr="003E0C56">
        <w:rPr>
          <w:sz w:val="24"/>
        </w:rPr>
        <w:lastRenderedPageBreak/>
        <w:t>hazards associated wi</w:t>
      </w:r>
      <w:r w:rsidR="00C25E3F">
        <w:rPr>
          <w:sz w:val="24"/>
        </w:rPr>
        <w:t xml:space="preserve">th OCS oil and gas operations. </w:t>
      </w:r>
      <w:r w:rsidR="00AE21C7" w:rsidRPr="00AE21C7">
        <w:rPr>
          <w:sz w:val="24"/>
        </w:rPr>
        <w:t>BTS will</w:t>
      </w:r>
      <w:r w:rsidR="00524783">
        <w:rPr>
          <w:sz w:val="24"/>
        </w:rPr>
        <w:t xml:space="preserve"> </w:t>
      </w:r>
      <w:r w:rsidR="00AE21C7" w:rsidRPr="00AE21C7">
        <w:rPr>
          <w:sz w:val="24"/>
        </w:rPr>
        <w:t xml:space="preserve">collect near miss reports voluntarily submitted by employees and other respondents working on the OCS; conduct follow-up interviews as needed, develop an analytical database using the reported data and other pertinent information; conduct statistical analyses and develop public reports; and protect the confidentiality of the near miss reports in accordance with </w:t>
      </w:r>
      <w:r w:rsidR="00287130">
        <w:rPr>
          <w:sz w:val="24"/>
        </w:rPr>
        <w:t>BTS’s</w:t>
      </w:r>
      <w:r w:rsidR="00AE21C7" w:rsidRPr="00AE21C7">
        <w:rPr>
          <w:sz w:val="24"/>
        </w:rPr>
        <w:t xml:space="preserve"> own statute and </w:t>
      </w:r>
      <w:r w:rsidR="00531651">
        <w:rPr>
          <w:sz w:val="24"/>
        </w:rPr>
        <w:t xml:space="preserve">the </w:t>
      </w:r>
      <w:r w:rsidR="00531651" w:rsidRPr="00531651">
        <w:rPr>
          <w:sz w:val="24"/>
        </w:rPr>
        <w:t xml:space="preserve">Confidential Information Protection and Statistical Efficiency Act of 2002 (Public Law 107-347, title V, subtitle A).  </w:t>
      </w:r>
    </w:p>
    <w:p w:rsidR="007529FE" w:rsidRDefault="00B11277" w:rsidP="00B11277">
      <w:pPr>
        <w:rPr>
          <w:sz w:val="24"/>
        </w:rPr>
      </w:pPr>
      <w:r w:rsidRPr="00B11277">
        <w:rPr>
          <w:sz w:val="24"/>
        </w:rPr>
        <w:t xml:space="preserve">  </w:t>
      </w:r>
    </w:p>
    <w:p w:rsidR="001D1A45" w:rsidRDefault="009F0720" w:rsidP="001D1A45">
      <w:pPr>
        <w:rPr>
          <w:sz w:val="24"/>
        </w:rPr>
      </w:pPr>
      <w:r>
        <w:rPr>
          <w:sz w:val="24"/>
        </w:rPr>
        <w:t>T</w:t>
      </w:r>
      <w:r w:rsidR="00665E40" w:rsidRPr="00B11277">
        <w:rPr>
          <w:sz w:val="24"/>
        </w:rPr>
        <w:t xml:space="preserve">hrough this submission, BTS is requesting clearance </w:t>
      </w:r>
      <w:r w:rsidR="00654BCA">
        <w:rPr>
          <w:sz w:val="24"/>
        </w:rPr>
        <w:t>to collect</w:t>
      </w:r>
      <w:r w:rsidR="00803680">
        <w:rPr>
          <w:sz w:val="24"/>
        </w:rPr>
        <w:t xml:space="preserve"> </w:t>
      </w:r>
      <w:r w:rsidR="00EF27F1">
        <w:rPr>
          <w:sz w:val="24"/>
        </w:rPr>
        <w:t xml:space="preserve">confidential </w:t>
      </w:r>
      <w:r>
        <w:rPr>
          <w:sz w:val="24"/>
        </w:rPr>
        <w:t xml:space="preserve">near miss reports submitted by </w:t>
      </w:r>
      <w:r w:rsidR="008E21B5">
        <w:rPr>
          <w:sz w:val="24"/>
        </w:rPr>
        <w:t>employees</w:t>
      </w:r>
      <w:r w:rsidR="00821542">
        <w:rPr>
          <w:sz w:val="24"/>
        </w:rPr>
        <w:t xml:space="preserve"> </w:t>
      </w:r>
      <w:r w:rsidR="00CB4D45" w:rsidRPr="00CB4D45">
        <w:rPr>
          <w:sz w:val="24"/>
        </w:rPr>
        <w:t>working in the oil and gas industry on the OCS</w:t>
      </w:r>
      <w:r w:rsidR="008E21B5">
        <w:rPr>
          <w:sz w:val="24"/>
        </w:rPr>
        <w:t>.</w:t>
      </w:r>
      <w:r w:rsidR="00654BCA">
        <w:rPr>
          <w:sz w:val="24"/>
        </w:rPr>
        <w:t xml:space="preserve"> </w:t>
      </w:r>
      <w:r w:rsidR="001D1A45" w:rsidRPr="00DD28EF">
        <w:rPr>
          <w:sz w:val="24"/>
        </w:rPr>
        <w:t xml:space="preserve">This information collection is necessary to </w:t>
      </w:r>
      <w:r w:rsidR="00012656">
        <w:rPr>
          <w:sz w:val="24"/>
        </w:rPr>
        <w:t>aid agencies in the Department of Transportation, such as the Pipeline and Hazardous Material Safety Administration PHMSA), the Maritime Administration, the Coast Guard,</w:t>
      </w:r>
      <w:r w:rsidR="001D1A45" w:rsidRPr="00DD28EF">
        <w:rPr>
          <w:sz w:val="24"/>
        </w:rPr>
        <w:t xml:space="preserve"> BSEE, the oil and gas industry</w:t>
      </w:r>
      <w:r w:rsidR="002701BA">
        <w:rPr>
          <w:sz w:val="24"/>
        </w:rPr>
        <w:t>,</w:t>
      </w:r>
      <w:r w:rsidR="001D1A45" w:rsidRPr="00DD28EF">
        <w:rPr>
          <w:sz w:val="24"/>
        </w:rPr>
        <w:t xml:space="preserve"> and other stakeholders in identifying root causes of potentially unsafe events</w:t>
      </w:r>
      <w:r w:rsidR="00012656">
        <w:rPr>
          <w:sz w:val="24"/>
        </w:rPr>
        <w:t xml:space="preserve"> occurring on the OCS</w:t>
      </w:r>
      <w:r w:rsidR="001D1A45" w:rsidRPr="00DD28EF">
        <w:rPr>
          <w:sz w:val="24"/>
        </w:rPr>
        <w:t>.</w:t>
      </w:r>
    </w:p>
    <w:p w:rsidR="003A4716" w:rsidRDefault="003A4716" w:rsidP="001D1A45">
      <w:pPr>
        <w:rPr>
          <w:sz w:val="24"/>
        </w:rPr>
      </w:pPr>
    </w:p>
    <w:p w:rsidR="003A4716" w:rsidRDefault="003A4716" w:rsidP="001D1A45">
      <w:pPr>
        <w:rPr>
          <w:sz w:val="24"/>
        </w:rPr>
      </w:pPr>
    </w:p>
    <w:p w:rsidR="007B3A70" w:rsidRPr="00DB3A77" w:rsidRDefault="007B3A70">
      <w:pPr>
        <w:rPr>
          <w:b/>
          <w:bCs/>
          <w:sz w:val="24"/>
        </w:rPr>
      </w:pPr>
      <w:r w:rsidRPr="00DB3A77">
        <w:rPr>
          <w:b/>
          <w:bCs/>
          <w:sz w:val="24"/>
        </w:rPr>
        <w:t>2.  Indicate how, by whom, and for what purpose the information is to be used.  Indicate the actual use the agency has made of the information received from the current collection.</w:t>
      </w:r>
    </w:p>
    <w:p w:rsidR="007B3A70" w:rsidRDefault="007B3A70">
      <w:pPr>
        <w:rPr>
          <w:sz w:val="26"/>
          <w:szCs w:val="26"/>
        </w:rPr>
      </w:pPr>
    </w:p>
    <w:p w:rsidR="00524783" w:rsidRDefault="00524783" w:rsidP="00F94720">
      <w:pPr>
        <w:rPr>
          <w:sz w:val="24"/>
        </w:rPr>
      </w:pPr>
      <w:r w:rsidRPr="00AE21C7">
        <w:rPr>
          <w:sz w:val="24"/>
        </w:rPr>
        <w:t xml:space="preserve">Knowledge about a near miss presents an opportunity to address unsafe work conditions, prevent accidents, and improve safety and environmental protection in the workplace.  Near miss systems in other industry sectors have shown that voluntary reporting of near misses to a confidential system can become a tool to identify safety issues and help prevent accidents by providing a cooperative, non-punitive environment to communicate safety concerns.  </w:t>
      </w:r>
    </w:p>
    <w:p w:rsidR="00524783" w:rsidRDefault="00524783" w:rsidP="00F94720">
      <w:pPr>
        <w:rPr>
          <w:sz w:val="24"/>
        </w:rPr>
      </w:pPr>
    </w:p>
    <w:p w:rsidR="00414672" w:rsidRPr="007A227B" w:rsidRDefault="00012656" w:rsidP="00414672">
      <w:pPr>
        <w:rPr>
          <w:sz w:val="24"/>
        </w:rPr>
      </w:pPr>
      <w:r>
        <w:rPr>
          <w:sz w:val="24"/>
        </w:rPr>
        <w:t xml:space="preserve">This is a new data collection.  </w:t>
      </w:r>
      <w:r w:rsidR="00F94720" w:rsidRPr="00B11277">
        <w:rPr>
          <w:sz w:val="24"/>
        </w:rPr>
        <w:t xml:space="preserve">BTS will </w:t>
      </w:r>
      <w:r w:rsidR="00654BCA">
        <w:rPr>
          <w:sz w:val="24"/>
        </w:rPr>
        <w:t>collect</w:t>
      </w:r>
      <w:r w:rsidR="00F94720" w:rsidRPr="00B11277">
        <w:rPr>
          <w:sz w:val="24"/>
        </w:rPr>
        <w:t xml:space="preserve">, store, process, and analyze </w:t>
      </w:r>
      <w:r w:rsidR="008B094E">
        <w:rPr>
          <w:sz w:val="24"/>
        </w:rPr>
        <w:t>near miss reports</w:t>
      </w:r>
      <w:r w:rsidR="00F94720" w:rsidRPr="00B11277">
        <w:rPr>
          <w:sz w:val="24"/>
        </w:rPr>
        <w:t xml:space="preserve"> while assuring </w:t>
      </w:r>
      <w:r w:rsidR="00654BCA">
        <w:rPr>
          <w:sz w:val="24"/>
        </w:rPr>
        <w:t xml:space="preserve">data </w:t>
      </w:r>
      <w:r w:rsidR="00F94720" w:rsidRPr="00B11277">
        <w:rPr>
          <w:sz w:val="24"/>
        </w:rPr>
        <w:t xml:space="preserve">confidentiality.  </w:t>
      </w:r>
      <w:bookmarkStart w:id="4" w:name="OLE_LINK1"/>
      <w:r w:rsidR="001673B3" w:rsidRPr="003E0C56">
        <w:rPr>
          <w:sz w:val="24"/>
        </w:rPr>
        <w:t>BTS will develop and publish aggregate reports that BSEE, the industry</w:t>
      </w:r>
      <w:r w:rsidR="001673B3">
        <w:rPr>
          <w:sz w:val="24"/>
        </w:rPr>
        <w:t>,</w:t>
      </w:r>
      <w:r w:rsidR="001673B3" w:rsidRPr="003E0C56">
        <w:rPr>
          <w:sz w:val="24"/>
        </w:rPr>
        <w:t xml:space="preserve"> and all OCS stakeholders can use—in conjunction with</w:t>
      </w:r>
      <w:r w:rsidR="00BB2129">
        <w:rPr>
          <w:sz w:val="24"/>
        </w:rPr>
        <w:t xml:space="preserve"> industry</w:t>
      </w:r>
      <w:r w:rsidR="001673B3" w:rsidRPr="003E0C56">
        <w:rPr>
          <w:sz w:val="24"/>
        </w:rPr>
        <w:t xml:space="preserve"> incident reports and other sources of information—to reduce safety and environmental risks and continue building a more robust OCS safety culture</w:t>
      </w:r>
      <w:r w:rsidR="001673B3">
        <w:rPr>
          <w:sz w:val="24"/>
        </w:rPr>
        <w:t xml:space="preserve">.  </w:t>
      </w:r>
      <w:r>
        <w:rPr>
          <w:sz w:val="24"/>
        </w:rPr>
        <w:t>O</w:t>
      </w:r>
      <w:r w:rsidR="001673B3" w:rsidRPr="001673B3">
        <w:rPr>
          <w:sz w:val="24"/>
        </w:rPr>
        <w:t xml:space="preserve">nly statistical and non-sensitive information </w:t>
      </w:r>
      <w:r>
        <w:rPr>
          <w:sz w:val="24"/>
        </w:rPr>
        <w:t xml:space="preserve">will be made available and </w:t>
      </w:r>
      <w:r w:rsidR="00690E90">
        <w:rPr>
          <w:sz w:val="24"/>
        </w:rPr>
        <w:t>may</w:t>
      </w:r>
      <w:r w:rsidR="001673B3" w:rsidRPr="001673B3">
        <w:rPr>
          <w:sz w:val="24"/>
        </w:rPr>
        <w:t xml:space="preserve"> </w:t>
      </w:r>
      <w:r>
        <w:rPr>
          <w:sz w:val="24"/>
        </w:rPr>
        <w:t>be used to improve</w:t>
      </w:r>
      <w:r w:rsidR="001673B3" w:rsidRPr="001673B3">
        <w:rPr>
          <w:sz w:val="24"/>
        </w:rPr>
        <w:t xml:space="preserve"> research and development of intervention programs aimed at preventing</w:t>
      </w:r>
      <w:r>
        <w:rPr>
          <w:sz w:val="24"/>
        </w:rPr>
        <w:t xml:space="preserve"> more serious</w:t>
      </w:r>
      <w:r w:rsidR="001673B3" w:rsidRPr="001673B3">
        <w:rPr>
          <w:sz w:val="24"/>
        </w:rPr>
        <w:t xml:space="preserve"> accidents and fatalities.</w:t>
      </w:r>
      <w:r w:rsidR="001673B3">
        <w:rPr>
          <w:sz w:val="24"/>
        </w:rPr>
        <w:t xml:space="preserve"> </w:t>
      </w:r>
      <w:r w:rsidR="00414672">
        <w:rPr>
          <w:color w:val="222222"/>
          <w:sz w:val="24"/>
          <w:shd w:val="clear" w:color="auto" w:fill="FFFFFF"/>
        </w:rPr>
        <w:t>In addition, certain</w:t>
      </w:r>
      <w:r w:rsidR="00414672" w:rsidRPr="007A227B">
        <w:rPr>
          <w:color w:val="222222"/>
          <w:sz w:val="24"/>
          <w:shd w:val="clear" w:color="auto" w:fill="FFFFFF"/>
        </w:rPr>
        <w:t xml:space="preserve"> information collected through this voluntary initiative will help inform oil and gas companies</w:t>
      </w:r>
      <w:r w:rsidR="00414672">
        <w:rPr>
          <w:color w:val="222222"/>
          <w:sz w:val="24"/>
          <w:shd w:val="clear" w:color="auto" w:fill="FFFFFF"/>
        </w:rPr>
        <w:t xml:space="preserve"> on how to improve the quality of near miss data collected internally by those companies. </w:t>
      </w:r>
    </w:p>
    <w:p w:rsidR="004729F0" w:rsidRPr="00F94720" w:rsidRDefault="00455E7F" w:rsidP="00F94720">
      <w:pPr>
        <w:rPr>
          <w:rFonts w:cs="Arial"/>
          <w:sz w:val="24"/>
        </w:rPr>
      </w:pPr>
      <w:r>
        <w:rPr>
          <w:sz w:val="24"/>
        </w:rPr>
        <w:t xml:space="preserve"> </w:t>
      </w:r>
    </w:p>
    <w:p w:rsidR="00254C54" w:rsidRDefault="00A26548" w:rsidP="008C2596">
      <w:pPr>
        <w:widowControl/>
        <w:autoSpaceDE/>
        <w:autoSpaceDN/>
        <w:adjustRightInd/>
        <w:rPr>
          <w:sz w:val="24"/>
        </w:rPr>
      </w:pPr>
      <w:r>
        <w:rPr>
          <w:sz w:val="24"/>
        </w:rPr>
        <w:t>Employee</w:t>
      </w:r>
      <w:r w:rsidR="003C12EE">
        <w:rPr>
          <w:sz w:val="24"/>
        </w:rPr>
        <w:t>s</w:t>
      </w:r>
      <w:r>
        <w:rPr>
          <w:sz w:val="24"/>
        </w:rPr>
        <w:t xml:space="preserve"> and other r</w:t>
      </w:r>
      <w:r w:rsidR="007438B9">
        <w:rPr>
          <w:sz w:val="24"/>
        </w:rPr>
        <w:t>e</w:t>
      </w:r>
      <w:r w:rsidR="007438B9" w:rsidRPr="007438B9">
        <w:rPr>
          <w:sz w:val="24"/>
        </w:rPr>
        <w:t xml:space="preserve">spondents who report a near miss event will be asked to fill out a report and participate in a brief, confidential interview for further clarification, as needed.  Respondents </w:t>
      </w:r>
      <w:r w:rsidR="00012656">
        <w:rPr>
          <w:sz w:val="24"/>
        </w:rPr>
        <w:t>can only</w:t>
      </w:r>
      <w:r w:rsidR="007438B9" w:rsidRPr="007438B9">
        <w:rPr>
          <w:sz w:val="24"/>
        </w:rPr>
        <w:t xml:space="preserve"> report electronically </w:t>
      </w:r>
      <w:r w:rsidR="00BC14D6">
        <w:rPr>
          <w:sz w:val="24"/>
        </w:rPr>
        <w:t xml:space="preserve">to BTS. </w:t>
      </w:r>
      <w:r w:rsidR="00012656">
        <w:rPr>
          <w:sz w:val="24"/>
        </w:rPr>
        <w:t>Respondents</w:t>
      </w:r>
      <w:r w:rsidR="007438B9" w:rsidRPr="007438B9">
        <w:rPr>
          <w:sz w:val="24"/>
        </w:rPr>
        <w:t xml:space="preserve"> will be asked to provide information such as: (1) name and contact information (optional</w:t>
      </w:r>
      <w:r w:rsidR="00012656">
        <w:rPr>
          <w:sz w:val="24"/>
        </w:rPr>
        <w:t xml:space="preserve"> – if they consent to a brief interview</w:t>
      </w:r>
      <w:r w:rsidR="007438B9" w:rsidRPr="007438B9">
        <w:rPr>
          <w:sz w:val="24"/>
        </w:rPr>
        <w:t>); (2) time and location of the event; (3) a short description of the event; (4) contributing factors to the reported near miss; and (5) any other information that might be useful in determining a root cause of such event.</w:t>
      </w:r>
      <w:r w:rsidR="00254C54">
        <w:rPr>
          <w:sz w:val="24"/>
        </w:rPr>
        <w:t xml:space="preserve">  </w:t>
      </w:r>
    </w:p>
    <w:p w:rsidR="00254C54" w:rsidRDefault="00254C54" w:rsidP="008C2596">
      <w:pPr>
        <w:widowControl/>
        <w:autoSpaceDE/>
        <w:autoSpaceDN/>
        <w:adjustRightInd/>
        <w:rPr>
          <w:sz w:val="24"/>
        </w:rPr>
      </w:pPr>
    </w:p>
    <w:p w:rsidR="007438B9" w:rsidRPr="007438B9" w:rsidRDefault="00254C54" w:rsidP="008C2596">
      <w:pPr>
        <w:widowControl/>
        <w:autoSpaceDE/>
        <w:autoSpaceDN/>
        <w:adjustRightInd/>
        <w:rPr>
          <w:sz w:val="24"/>
        </w:rPr>
      </w:pPr>
      <w:r>
        <w:rPr>
          <w:sz w:val="24"/>
        </w:rPr>
        <w:t>Use of interview data:  Traditionally for these type</w:t>
      </w:r>
      <w:r w:rsidR="00B97F70">
        <w:rPr>
          <w:sz w:val="24"/>
        </w:rPr>
        <w:t>s</w:t>
      </w:r>
      <w:r>
        <w:rPr>
          <w:sz w:val="24"/>
        </w:rPr>
        <w:t xml:space="preserve"> of voluntary near-miss data collection programs, follow up interviews by subject matter experts are conducted for several purposes: </w:t>
      </w:r>
      <w:r>
        <w:rPr>
          <w:sz w:val="24"/>
        </w:rPr>
        <w:lastRenderedPageBreak/>
        <w:t xml:space="preserve">conduct data validation, provide additional detail and clarification, and </w:t>
      </w:r>
      <w:r w:rsidR="00B97F70">
        <w:rPr>
          <w:sz w:val="24"/>
        </w:rPr>
        <w:t>collect additional information on key emerging issues in that industry sector.</w:t>
      </w:r>
      <w:r w:rsidR="00643BC9">
        <w:rPr>
          <w:sz w:val="24"/>
        </w:rPr>
        <w:t xml:space="preserve"> Interview data will be used to supplement and clarify information received through online reporting of near-miss events.  </w:t>
      </w:r>
      <w:r w:rsidR="00B97F70">
        <w:rPr>
          <w:sz w:val="24"/>
        </w:rPr>
        <w:t xml:space="preserve">  </w:t>
      </w:r>
      <w:r w:rsidR="00643BC9">
        <w:rPr>
          <w:sz w:val="24"/>
        </w:rPr>
        <w:t>In addition, s</w:t>
      </w:r>
      <w:r w:rsidR="00B97F70">
        <w:rPr>
          <w:sz w:val="24"/>
        </w:rPr>
        <w:t>ince this is the first time OCS employees will be able to report near-miss incident information to a Federal agency, BTS views interview time as an opportunity to train and educate employees on how to report information about precursor safety events to the Federal g</w:t>
      </w:r>
      <w:r w:rsidR="008464B8">
        <w:rPr>
          <w:sz w:val="24"/>
        </w:rPr>
        <w:t xml:space="preserve">overnment. By offering a follow-up interview BTS, one hand, has a process for improving data accuracy, on the other hand, BTS is developing a data set that has </w:t>
      </w:r>
      <w:r w:rsidR="004F325A">
        <w:rPr>
          <w:sz w:val="24"/>
        </w:rPr>
        <w:t>“</w:t>
      </w:r>
      <w:r w:rsidR="008464B8">
        <w:rPr>
          <w:sz w:val="24"/>
        </w:rPr>
        <w:t>mixed</w:t>
      </w:r>
      <w:r w:rsidR="004F325A">
        <w:rPr>
          <w:sz w:val="24"/>
        </w:rPr>
        <w:t>”</w:t>
      </w:r>
      <w:r w:rsidR="008464B8">
        <w:rPr>
          <w:sz w:val="24"/>
        </w:rPr>
        <w:t xml:space="preserve"> records (i.e., records that have gone through an additional data quality </w:t>
      </w:r>
      <w:r w:rsidR="004F325A">
        <w:rPr>
          <w:sz w:val="24"/>
        </w:rPr>
        <w:t xml:space="preserve">check with the voluntary interview, added </w:t>
      </w:r>
      <w:r w:rsidR="00643BC9">
        <w:rPr>
          <w:sz w:val="24"/>
        </w:rPr>
        <w:t>in a database</w:t>
      </w:r>
      <w:r w:rsidR="004F325A">
        <w:rPr>
          <w:sz w:val="24"/>
        </w:rPr>
        <w:t xml:space="preserve"> with records without an interview.)  Currently,</w:t>
      </w:r>
      <w:r w:rsidR="00643BC9">
        <w:rPr>
          <w:sz w:val="24"/>
        </w:rPr>
        <w:t xml:space="preserve"> in the absence of any information about near-miss data from OCS, </w:t>
      </w:r>
      <w:r w:rsidR="004F325A">
        <w:rPr>
          <w:sz w:val="24"/>
        </w:rPr>
        <w:t xml:space="preserve">BTS has no plans to do any data adjustments to records missing interview information.  BTS plans to revisit the issue of data adjustments for key missing </w:t>
      </w:r>
      <w:r w:rsidR="00643BC9">
        <w:rPr>
          <w:sz w:val="24"/>
        </w:rPr>
        <w:t xml:space="preserve">information on near-miss incidents within the first three years of the program or after sufficient records of near-miss events from offshore drilling and production operations are submitted in </w:t>
      </w:r>
      <w:proofErr w:type="spellStart"/>
      <w:r w:rsidR="00643BC9">
        <w:rPr>
          <w:sz w:val="24"/>
        </w:rPr>
        <w:t>SafeOCS</w:t>
      </w:r>
      <w:proofErr w:type="spellEnd"/>
      <w:r w:rsidR="00643BC9">
        <w:rPr>
          <w:sz w:val="24"/>
        </w:rPr>
        <w:t xml:space="preserve">. </w:t>
      </w:r>
      <w:r w:rsidR="004F325A">
        <w:rPr>
          <w:sz w:val="24"/>
        </w:rPr>
        <w:t xml:space="preserve">  </w:t>
      </w:r>
    </w:p>
    <w:p w:rsidR="008C2596" w:rsidRPr="005A7CE3" w:rsidRDefault="008C2596" w:rsidP="00F94720">
      <w:pPr>
        <w:rPr>
          <w:sz w:val="24"/>
        </w:rPr>
      </w:pPr>
    </w:p>
    <w:p w:rsidR="00643524" w:rsidRDefault="00852218" w:rsidP="00000021">
      <w:pPr>
        <w:rPr>
          <w:sz w:val="24"/>
        </w:rPr>
      </w:pPr>
      <w:r w:rsidRPr="005A7CE3">
        <w:rPr>
          <w:sz w:val="24"/>
        </w:rPr>
        <w:t>BTS</w:t>
      </w:r>
      <w:r w:rsidR="005F08AD">
        <w:rPr>
          <w:sz w:val="24"/>
        </w:rPr>
        <w:t xml:space="preserve"> has assembled a team of subject matter experts in all trades</w:t>
      </w:r>
      <w:r w:rsidR="00414672">
        <w:rPr>
          <w:sz w:val="24"/>
        </w:rPr>
        <w:t xml:space="preserve"> and crafts</w:t>
      </w:r>
      <w:r w:rsidR="005F08AD">
        <w:rPr>
          <w:sz w:val="24"/>
        </w:rPr>
        <w:t xml:space="preserve"> represented on the OCS called the Peer Review Team (PRT.)  </w:t>
      </w:r>
      <w:r w:rsidR="00F94720" w:rsidRPr="005A7CE3">
        <w:rPr>
          <w:sz w:val="24"/>
        </w:rPr>
        <w:t xml:space="preserve">All PRT members </w:t>
      </w:r>
      <w:r w:rsidR="00897B8C" w:rsidRPr="005A7CE3">
        <w:rPr>
          <w:sz w:val="24"/>
        </w:rPr>
        <w:t>will be</w:t>
      </w:r>
      <w:r w:rsidR="00F10E3B" w:rsidRPr="005A7CE3">
        <w:rPr>
          <w:sz w:val="24"/>
        </w:rPr>
        <w:t xml:space="preserve"> </w:t>
      </w:r>
      <w:r w:rsidR="005F08AD">
        <w:rPr>
          <w:sz w:val="24"/>
        </w:rPr>
        <w:t>d</w:t>
      </w:r>
      <w:r w:rsidR="00F10E3B" w:rsidRPr="005A7CE3">
        <w:rPr>
          <w:sz w:val="24"/>
        </w:rPr>
        <w:t>esignated as agents of BTS under CIPSEA</w:t>
      </w:r>
      <w:r w:rsidR="005F08AD">
        <w:rPr>
          <w:sz w:val="24"/>
        </w:rPr>
        <w:t xml:space="preserve"> and will be responsible for reviewing near-miss reports, conducting confidential interviews, and assisting BTS staff in identifying potential root causes of reported near-miss events</w:t>
      </w:r>
      <w:r w:rsidR="00BF4522" w:rsidRPr="005A7CE3">
        <w:rPr>
          <w:sz w:val="24"/>
        </w:rPr>
        <w:t xml:space="preserve">.  PRT meetings </w:t>
      </w:r>
      <w:r w:rsidR="007C7718" w:rsidRPr="005A7CE3">
        <w:rPr>
          <w:sz w:val="24"/>
        </w:rPr>
        <w:t xml:space="preserve">will </w:t>
      </w:r>
      <w:r w:rsidR="00796EAF" w:rsidRPr="005A7CE3">
        <w:rPr>
          <w:sz w:val="24"/>
        </w:rPr>
        <w:t>tak</w:t>
      </w:r>
      <w:r w:rsidR="00BF4522" w:rsidRPr="005A7CE3">
        <w:rPr>
          <w:sz w:val="24"/>
        </w:rPr>
        <w:t>e place</w:t>
      </w:r>
      <w:r w:rsidR="005F08AD">
        <w:rPr>
          <w:sz w:val="24"/>
        </w:rPr>
        <w:t xml:space="preserve"> in</w:t>
      </w:r>
      <w:r w:rsidR="007C7718" w:rsidRPr="005A7CE3">
        <w:rPr>
          <w:sz w:val="24"/>
        </w:rPr>
        <w:t xml:space="preserve"> the secure office space assigned to this project in BTS</w:t>
      </w:r>
      <w:r w:rsidR="00F94720" w:rsidRPr="005A7CE3">
        <w:rPr>
          <w:sz w:val="24"/>
        </w:rPr>
        <w:t>.</w:t>
      </w:r>
      <w:r w:rsidR="00796EAF">
        <w:rPr>
          <w:sz w:val="24"/>
        </w:rPr>
        <w:t xml:space="preserve">  </w:t>
      </w:r>
    </w:p>
    <w:p w:rsidR="003A4716" w:rsidRDefault="003A4716" w:rsidP="00000021">
      <w:pPr>
        <w:rPr>
          <w:sz w:val="24"/>
        </w:rPr>
      </w:pPr>
    </w:p>
    <w:p w:rsidR="007529FE" w:rsidRDefault="007529FE">
      <w:pPr>
        <w:rPr>
          <w:b/>
          <w:bCs/>
          <w:sz w:val="26"/>
          <w:szCs w:val="26"/>
        </w:rPr>
      </w:pPr>
    </w:p>
    <w:p w:rsidR="007B3A70" w:rsidRPr="00DB3A77" w:rsidRDefault="007B3A70">
      <w:pPr>
        <w:rPr>
          <w:sz w:val="24"/>
        </w:rPr>
      </w:pPr>
      <w:r>
        <w:rPr>
          <w:b/>
          <w:bCs/>
          <w:sz w:val="26"/>
          <w:szCs w:val="26"/>
        </w:rPr>
        <w:t xml:space="preserve">3. </w:t>
      </w:r>
      <w:r w:rsidRPr="00DB3A77">
        <w:rPr>
          <w:b/>
          <w:bCs/>
          <w:sz w:val="24"/>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7B3A70" w:rsidRDefault="007B3A70">
      <w:pPr>
        <w:rPr>
          <w:sz w:val="26"/>
          <w:szCs w:val="26"/>
        </w:rPr>
      </w:pPr>
    </w:p>
    <w:p w:rsidR="00BC4019" w:rsidRDefault="007B3A70" w:rsidP="00B714E8">
      <w:pPr>
        <w:rPr>
          <w:sz w:val="24"/>
        </w:rPr>
      </w:pPr>
      <w:r w:rsidRPr="00121D05">
        <w:rPr>
          <w:sz w:val="24"/>
        </w:rPr>
        <w:t xml:space="preserve">In developing the reporting requirements, </w:t>
      </w:r>
      <w:r w:rsidR="00272F55">
        <w:rPr>
          <w:sz w:val="24"/>
        </w:rPr>
        <w:t>BTS has</w:t>
      </w:r>
      <w:r w:rsidRPr="00121D05">
        <w:rPr>
          <w:sz w:val="24"/>
        </w:rPr>
        <w:t xml:space="preserve"> attempted to ensure that the form and format </w:t>
      </w:r>
      <w:r w:rsidR="00B714E8">
        <w:rPr>
          <w:sz w:val="24"/>
        </w:rPr>
        <w:t>of all data collection tools</w:t>
      </w:r>
      <w:r w:rsidRPr="00121D05">
        <w:rPr>
          <w:sz w:val="24"/>
        </w:rPr>
        <w:t xml:space="preserve"> are designed to minimize the burden of the </w:t>
      </w:r>
      <w:r w:rsidR="008E5CC9" w:rsidRPr="00121D05">
        <w:rPr>
          <w:sz w:val="24"/>
        </w:rPr>
        <w:t xml:space="preserve">respondents while increasing the confidence and trust in the </w:t>
      </w:r>
      <w:r w:rsidR="00643524">
        <w:rPr>
          <w:sz w:val="24"/>
        </w:rPr>
        <w:t>near miss</w:t>
      </w:r>
      <w:r w:rsidR="00B714E8">
        <w:rPr>
          <w:sz w:val="24"/>
        </w:rPr>
        <w:t xml:space="preserve"> reporting s</w:t>
      </w:r>
      <w:r w:rsidR="00121D05" w:rsidRPr="00121D05">
        <w:rPr>
          <w:sz w:val="24"/>
        </w:rPr>
        <w:t>ystem</w:t>
      </w:r>
      <w:r w:rsidR="008E5CC9" w:rsidRPr="00121D05">
        <w:rPr>
          <w:sz w:val="24"/>
        </w:rPr>
        <w:t>.</w:t>
      </w:r>
      <w:r w:rsidR="00296393">
        <w:rPr>
          <w:sz w:val="24"/>
        </w:rPr>
        <w:t xml:space="preserve">  </w:t>
      </w:r>
    </w:p>
    <w:p w:rsidR="00BC4019" w:rsidRDefault="00BC4019" w:rsidP="00B714E8">
      <w:pPr>
        <w:rPr>
          <w:sz w:val="24"/>
        </w:rPr>
      </w:pPr>
    </w:p>
    <w:p w:rsidR="00B714E8" w:rsidRPr="00A47D4F" w:rsidRDefault="003F5667" w:rsidP="00B714E8">
      <w:pPr>
        <w:rPr>
          <w:sz w:val="24"/>
        </w:rPr>
      </w:pPr>
      <w:r>
        <w:rPr>
          <w:sz w:val="24"/>
        </w:rPr>
        <w:t xml:space="preserve">BTS is promoting </w:t>
      </w:r>
      <w:r w:rsidR="0008137C">
        <w:rPr>
          <w:sz w:val="24"/>
        </w:rPr>
        <w:t>electronic</w:t>
      </w:r>
      <w:r>
        <w:rPr>
          <w:sz w:val="24"/>
        </w:rPr>
        <w:t xml:space="preserve"> reporting and is developing tutorials and other tools to assist employees</w:t>
      </w:r>
      <w:r w:rsidR="005D4CE6">
        <w:rPr>
          <w:sz w:val="24"/>
        </w:rPr>
        <w:t xml:space="preserve"> with filing electronic </w:t>
      </w:r>
      <w:r w:rsidR="002E2424">
        <w:rPr>
          <w:sz w:val="24"/>
        </w:rPr>
        <w:t xml:space="preserve">near miss </w:t>
      </w:r>
      <w:r w:rsidR="005D4CE6">
        <w:rPr>
          <w:sz w:val="24"/>
        </w:rPr>
        <w:t>reports</w:t>
      </w:r>
      <w:r w:rsidR="0008137C">
        <w:rPr>
          <w:sz w:val="24"/>
        </w:rPr>
        <w:t xml:space="preserve">.  </w:t>
      </w:r>
      <w:r w:rsidR="001569C0" w:rsidRPr="005A7CE3">
        <w:rPr>
          <w:sz w:val="24"/>
        </w:rPr>
        <w:t xml:space="preserve">In order to minimize respondent burden, </w:t>
      </w:r>
      <w:r w:rsidR="00B714E8" w:rsidRPr="005A7CE3">
        <w:rPr>
          <w:sz w:val="24"/>
        </w:rPr>
        <w:t>employees</w:t>
      </w:r>
      <w:r w:rsidR="00207998">
        <w:rPr>
          <w:sz w:val="24"/>
        </w:rPr>
        <w:t xml:space="preserve"> and other respondents</w:t>
      </w:r>
      <w:r w:rsidR="003A6150" w:rsidRPr="005A7CE3">
        <w:rPr>
          <w:sz w:val="24"/>
        </w:rPr>
        <w:t xml:space="preserve"> </w:t>
      </w:r>
      <w:r w:rsidR="000C088F">
        <w:rPr>
          <w:sz w:val="24"/>
        </w:rPr>
        <w:t>will be</w:t>
      </w:r>
      <w:r w:rsidR="000B35FD" w:rsidRPr="005A7CE3">
        <w:rPr>
          <w:sz w:val="24"/>
        </w:rPr>
        <w:t xml:space="preserve"> asked to </w:t>
      </w:r>
      <w:r w:rsidR="00121D05" w:rsidRPr="005A7CE3">
        <w:rPr>
          <w:bCs/>
          <w:iCs/>
          <w:sz w:val="24"/>
        </w:rPr>
        <w:t>submit a</w:t>
      </w:r>
      <w:r w:rsidR="00A47D4F" w:rsidRPr="005A7CE3">
        <w:rPr>
          <w:bCs/>
          <w:iCs/>
          <w:sz w:val="24"/>
        </w:rPr>
        <w:t xml:space="preserve"> near miss </w:t>
      </w:r>
      <w:r w:rsidR="00121D05" w:rsidRPr="005A7CE3">
        <w:rPr>
          <w:bCs/>
          <w:iCs/>
          <w:sz w:val="24"/>
        </w:rPr>
        <w:t>report</w:t>
      </w:r>
      <w:r w:rsidR="00D325CD">
        <w:rPr>
          <w:bCs/>
          <w:iCs/>
          <w:sz w:val="24"/>
        </w:rPr>
        <w:t xml:space="preserve"> </w:t>
      </w:r>
      <w:r w:rsidR="006A0B4A">
        <w:rPr>
          <w:bCs/>
          <w:iCs/>
          <w:sz w:val="24"/>
        </w:rPr>
        <w:t xml:space="preserve">as soon as possible recognizing it might take as long as two weeks before an employee is able to do so, due to unique working conditions on platforms in the OCS.  </w:t>
      </w:r>
      <w:r w:rsidR="00325571" w:rsidRPr="005A7CE3">
        <w:rPr>
          <w:bCs/>
          <w:iCs/>
          <w:sz w:val="24"/>
        </w:rPr>
        <w:t>Reporting employees who are</w:t>
      </w:r>
      <w:r w:rsidR="00121D05" w:rsidRPr="005A7CE3">
        <w:rPr>
          <w:bCs/>
          <w:iCs/>
          <w:sz w:val="24"/>
        </w:rPr>
        <w:t xml:space="preserve"> unable to </w:t>
      </w:r>
      <w:r w:rsidR="00A10BF6" w:rsidRPr="005A7CE3">
        <w:rPr>
          <w:bCs/>
          <w:iCs/>
          <w:sz w:val="24"/>
        </w:rPr>
        <w:t>submit a</w:t>
      </w:r>
      <w:r w:rsidR="00325571" w:rsidRPr="005A7CE3">
        <w:rPr>
          <w:bCs/>
          <w:iCs/>
          <w:sz w:val="24"/>
        </w:rPr>
        <w:t xml:space="preserve"> report</w:t>
      </w:r>
      <w:r w:rsidR="00A10BF6" w:rsidRPr="005A7CE3">
        <w:rPr>
          <w:bCs/>
          <w:iCs/>
          <w:sz w:val="24"/>
        </w:rPr>
        <w:t xml:space="preserve"> </w:t>
      </w:r>
      <w:r w:rsidR="00BF7476" w:rsidRPr="005A7CE3">
        <w:rPr>
          <w:bCs/>
          <w:iCs/>
          <w:sz w:val="24"/>
        </w:rPr>
        <w:t>electronically</w:t>
      </w:r>
      <w:r w:rsidR="00325571" w:rsidRPr="005A7CE3">
        <w:rPr>
          <w:bCs/>
          <w:iCs/>
          <w:sz w:val="24"/>
        </w:rPr>
        <w:t xml:space="preserve"> </w:t>
      </w:r>
      <w:r w:rsidR="00097B33">
        <w:rPr>
          <w:bCs/>
          <w:iCs/>
          <w:sz w:val="24"/>
        </w:rPr>
        <w:t>will be</w:t>
      </w:r>
      <w:r w:rsidR="006A0B4A">
        <w:rPr>
          <w:bCs/>
          <w:iCs/>
          <w:sz w:val="24"/>
        </w:rPr>
        <w:t xml:space="preserve"> given the option of submitting a report to BTS by calling the 800 number. </w:t>
      </w:r>
      <w:r w:rsidR="00D840F0">
        <w:rPr>
          <w:bCs/>
          <w:iCs/>
          <w:sz w:val="24"/>
        </w:rPr>
        <w:t xml:space="preserve"> After </w:t>
      </w:r>
      <w:r w:rsidR="006A0B4A">
        <w:rPr>
          <w:bCs/>
          <w:iCs/>
          <w:sz w:val="24"/>
        </w:rPr>
        <w:t>reviewing</w:t>
      </w:r>
      <w:r w:rsidR="00D840F0">
        <w:rPr>
          <w:bCs/>
          <w:iCs/>
          <w:sz w:val="24"/>
        </w:rPr>
        <w:t xml:space="preserve"> a</w:t>
      </w:r>
      <w:r w:rsidR="00B714E8">
        <w:rPr>
          <w:bCs/>
          <w:iCs/>
          <w:sz w:val="24"/>
        </w:rPr>
        <w:t xml:space="preserve"> </w:t>
      </w:r>
      <w:r w:rsidR="00040D74">
        <w:rPr>
          <w:bCs/>
          <w:iCs/>
          <w:sz w:val="24"/>
        </w:rPr>
        <w:t>near miss</w:t>
      </w:r>
      <w:r w:rsidR="00B714E8">
        <w:rPr>
          <w:bCs/>
          <w:iCs/>
          <w:sz w:val="24"/>
        </w:rPr>
        <w:t xml:space="preserve"> report,</w:t>
      </w:r>
      <w:r w:rsidR="00D840F0">
        <w:rPr>
          <w:bCs/>
          <w:iCs/>
          <w:sz w:val="24"/>
        </w:rPr>
        <w:t xml:space="preserve"> a BTS </w:t>
      </w:r>
      <w:r w:rsidR="006A0B4A">
        <w:rPr>
          <w:bCs/>
          <w:iCs/>
          <w:sz w:val="24"/>
        </w:rPr>
        <w:t>subject matter expert</w:t>
      </w:r>
      <w:r w:rsidR="00D840F0">
        <w:rPr>
          <w:bCs/>
          <w:iCs/>
          <w:sz w:val="24"/>
        </w:rPr>
        <w:t xml:space="preserve"> will</w:t>
      </w:r>
      <w:r w:rsidR="00C55766">
        <w:rPr>
          <w:bCs/>
          <w:iCs/>
          <w:sz w:val="24"/>
        </w:rPr>
        <w:t xml:space="preserve"> contact the respondent</w:t>
      </w:r>
      <w:r w:rsidR="00D840F0">
        <w:rPr>
          <w:bCs/>
          <w:iCs/>
          <w:sz w:val="24"/>
        </w:rPr>
        <w:t xml:space="preserve">, if </w:t>
      </w:r>
      <w:r w:rsidR="00C55766">
        <w:rPr>
          <w:bCs/>
          <w:iCs/>
          <w:sz w:val="24"/>
        </w:rPr>
        <w:t>the respondent has consented to further communication with BTS</w:t>
      </w:r>
      <w:r w:rsidR="00D840F0">
        <w:rPr>
          <w:bCs/>
          <w:iCs/>
          <w:sz w:val="24"/>
        </w:rPr>
        <w:t>, for a brief interview</w:t>
      </w:r>
      <w:r w:rsidR="00B714E8">
        <w:rPr>
          <w:bCs/>
          <w:iCs/>
          <w:sz w:val="24"/>
        </w:rPr>
        <w:t xml:space="preserve">.  BTS has developed an interview tool </w:t>
      </w:r>
      <w:r w:rsidR="00C55766">
        <w:rPr>
          <w:bCs/>
          <w:iCs/>
          <w:sz w:val="24"/>
        </w:rPr>
        <w:t>specific to</w:t>
      </w:r>
      <w:r w:rsidR="00B714E8">
        <w:rPr>
          <w:bCs/>
          <w:iCs/>
          <w:sz w:val="24"/>
        </w:rPr>
        <w:t xml:space="preserve"> this data collection.  The </w:t>
      </w:r>
      <w:r w:rsidR="00EE45BD">
        <w:rPr>
          <w:bCs/>
          <w:iCs/>
          <w:sz w:val="24"/>
        </w:rPr>
        <w:t>purpose of the interview is two</w:t>
      </w:r>
      <w:r w:rsidR="00B714E8">
        <w:rPr>
          <w:bCs/>
          <w:iCs/>
          <w:sz w:val="24"/>
        </w:rPr>
        <w:t xml:space="preserve">fold:  </w:t>
      </w:r>
      <w:r w:rsidR="00097B33">
        <w:rPr>
          <w:bCs/>
          <w:iCs/>
          <w:sz w:val="24"/>
        </w:rPr>
        <w:t>(</w:t>
      </w:r>
      <w:r w:rsidR="00B714E8" w:rsidRPr="00B714E8">
        <w:rPr>
          <w:sz w:val="24"/>
        </w:rPr>
        <w:t xml:space="preserve">1) </w:t>
      </w:r>
      <w:r w:rsidR="00E71722">
        <w:rPr>
          <w:sz w:val="24"/>
        </w:rPr>
        <w:t xml:space="preserve">to </w:t>
      </w:r>
      <w:r w:rsidR="00B714E8" w:rsidRPr="00B714E8">
        <w:rPr>
          <w:sz w:val="24"/>
        </w:rPr>
        <w:t>validate the authenticity and eligibility</w:t>
      </w:r>
      <w:r w:rsidR="00B714E8">
        <w:rPr>
          <w:sz w:val="24"/>
        </w:rPr>
        <w:t xml:space="preserve"> of the </w:t>
      </w:r>
      <w:r w:rsidR="00C55766">
        <w:rPr>
          <w:sz w:val="24"/>
        </w:rPr>
        <w:t>respondent</w:t>
      </w:r>
      <w:r w:rsidR="00FF5EB3">
        <w:rPr>
          <w:sz w:val="24"/>
        </w:rPr>
        <w:t xml:space="preserve">; </w:t>
      </w:r>
      <w:r w:rsidR="00B714E8" w:rsidRPr="00B714E8">
        <w:rPr>
          <w:rFonts w:cs="Arial"/>
          <w:sz w:val="24"/>
        </w:rPr>
        <w:t xml:space="preserve">and </w:t>
      </w:r>
      <w:r w:rsidR="00097B33">
        <w:rPr>
          <w:rFonts w:cs="Arial"/>
          <w:sz w:val="24"/>
        </w:rPr>
        <w:t>(</w:t>
      </w:r>
      <w:r w:rsidR="00B714E8" w:rsidRPr="00B714E8">
        <w:rPr>
          <w:rFonts w:cs="Arial"/>
          <w:sz w:val="24"/>
        </w:rPr>
        <w:t xml:space="preserve">2) </w:t>
      </w:r>
      <w:r w:rsidR="00B714E8" w:rsidRPr="00B714E8">
        <w:rPr>
          <w:rFonts w:cs="Arial"/>
          <w:sz w:val="24"/>
        </w:rPr>
        <w:lastRenderedPageBreak/>
        <w:t xml:space="preserve">to make any necessary corrections to the description of the reported event or </w:t>
      </w:r>
      <w:r w:rsidR="00BA2AA8">
        <w:rPr>
          <w:bCs/>
          <w:iCs/>
          <w:sz w:val="24"/>
        </w:rPr>
        <w:t>collect additional information that might be critical in understanding the root causes of the reported event</w:t>
      </w:r>
      <w:r w:rsidR="00BA2AA8">
        <w:rPr>
          <w:rFonts w:cs="Arial"/>
          <w:sz w:val="24"/>
        </w:rPr>
        <w:t xml:space="preserve"> </w:t>
      </w:r>
      <w:r w:rsidR="00B714E8" w:rsidRPr="00B714E8">
        <w:rPr>
          <w:rFonts w:cs="Arial"/>
          <w:sz w:val="24"/>
        </w:rPr>
        <w:t xml:space="preserve">when the </w:t>
      </w:r>
      <w:r w:rsidR="00E71722">
        <w:rPr>
          <w:rFonts w:cs="Arial"/>
          <w:sz w:val="24"/>
        </w:rPr>
        <w:t>respondent</w:t>
      </w:r>
      <w:r w:rsidR="00B714E8" w:rsidRPr="00B714E8">
        <w:rPr>
          <w:rFonts w:cs="Arial"/>
          <w:sz w:val="24"/>
        </w:rPr>
        <w:t>’s report appears to be incomplete.</w:t>
      </w:r>
      <w:r w:rsidR="00B714E8" w:rsidRPr="007529FE">
        <w:rPr>
          <w:rFonts w:cs="Arial"/>
          <w:sz w:val="24"/>
        </w:rPr>
        <w:t xml:space="preserve">  </w:t>
      </w:r>
    </w:p>
    <w:p w:rsidR="00121D05" w:rsidRPr="00121D05" w:rsidRDefault="00121D05" w:rsidP="00121D05">
      <w:pPr>
        <w:rPr>
          <w:sz w:val="24"/>
        </w:rPr>
      </w:pPr>
    </w:p>
    <w:p w:rsidR="008E5CC9" w:rsidRDefault="008E5CC9">
      <w:pPr>
        <w:rPr>
          <w:sz w:val="26"/>
          <w:szCs w:val="26"/>
        </w:rPr>
      </w:pPr>
    </w:p>
    <w:p w:rsidR="007B3A70" w:rsidRDefault="007B3A70">
      <w:pPr>
        <w:rPr>
          <w:sz w:val="26"/>
          <w:szCs w:val="26"/>
        </w:rPr>
      </w:pPr>
      <w:r>
        <w:rPr>
          <w:b/>
          <w:bCs/>
          <w:sz w:val="26"/>
          <w:szCs w:val="26"/>
        </w:rPr>
        <w:t>4.  Describe efforts to identify duplication.  Show specifically why similar information already available cannot be used or modified for use for the purposes described in Item 2 above</w:t>
      </w:r>
      <w:r>
        <w:rPr>
          <w:sz w:val="26"/>
          <w:szCs w:val="26"/>
        </w:rPr>
        <w:t>.</w:t>
      </w:r>
    </w:p>
    <w:p w:rsidR="001569C0" w:rsidRDefault="001569C0">
      <w:pPr>
        <w:rPr>
          <w:sz w:val="26"/>
          <w:szCs w:val="26"/>
        </w:rPr>
      </w:pPr>
    </w:p>
    <w:p w:rsidR="00313D04" w:rsidRPr="00CB497D" w:rsidRDefault="00313D04" w:rsidP="00E9670B">
      <w:pPr>
        <w:widowControl/>
        <w:autoSpaceDE/>
        <w:autoSpaceDN/>
        <w:adjustRightInd/>
        <w:spacing w:after="200"/>
        <w:contextualSpacing/>
        <w:rPr>
          <w:color w:val="000000"/>
          <w:sz w:val="24"/>
        </w:rPr>
      </w:pPr>
      <w:r w:rsidRPr="00CB497D">
        <w:rPr>
          <w:color w:val="000000"/>
          <w:sz w:val="24"/>
        </w:rPr>
        <w:t xml:space="preserve">The </w:t>
      </w:r>
      <w:proofErr w:type="spellStart"/>
      <w:r w:rsidR="00C55766">
        <w:rPr>
          <w:color w:val="000000"/>
          <w:sz w:val="24"/>
        </w:rPr>
        <w:t>SafeOCS</w:t>
      </w:r>
      <w:proofErr w:type="spellEnd"/>
      <w:r w:rsidR="00C55766">
        <w:rPr>
          <w:color w:val="000000"/>
          <w:sz w:val="24"/>
        </w:rPr>
        <w:t xml:space="preserve"> reporting s</w:t>
      </w:r>
      <w:r w:rsidRPr="00CB497D">
        <w:rPr>
          <w:color w:val="000000"/>
          <w:sz w:val="24"/>
        </w:rPr>
        <w:t>ystem is strictly voluntary and is not intended to replace or interfere with industry</w:t>
      </w:r>
      <w:r w:rsidR="00C55766">
        <w:rPr>
          <w:color w:val="000000"/>
          <w:sz w:val="24"/>
        </w:rPr>
        <w:t xml:space="preserve"> programs</w:t>
      </w:r>
      <w:r w:rsidRPr="00CB497D">
        <w:rPr>
          <w:color w:val="000000"/>
          <w:sz w:val="24"/>
        </w:rPr>
        <w:t>, BSEE</w:t>
      </w:r>
      <w:r>
        <w:rPr>
          <w:color w:val="000000"/>
          <w:sz w:val="24"/>
        </w:rPr>
        <w:t>,</w:t>
      </w:r>
      <w:r w:rsidRPr="00CB497D">
        <w:rPr>
          <w:color w:val="000000"/>
          <w:sz w:val="24"/>
        </w:rPr>
        <w:t xml:space="preserve"> or other agency reporting programs, whether voluntary or mandatory.</w:t>
      </w:r>
      <w:r w:rsidR="00BC6D69">
        <w:rPr>
          <w:color w:val="000000"/>
          <w:sz w:val="24"/>
        </w:rPr>
        <w:t xml:space="preserve"> </w:t>
      </w:r>
      <w:r w:rsidRPr="00CB497D">
        <w:rPr>
          <w:color w:val="000000"/>
          <w:sz w:val="24"/>
        </w:rPr>
        <w:t xml:space="preserve"> Instead, the </w:t>
      </w:r>
      <w:proofErr w:type="spellStart"/>
      <w:r w:rsidR="00C55766">
        <w:rPr>
          <w:color w:val="000000"/>
          <w:sz w:val="24"/>
        </w:rPr>
        <w:t>SafeOCS</w:t>
      </w:r>
      <w:proofErr w:type="spellEnd"/>
      <w:r w:rsidRPr="00CB497D">
        <w:rPr>
          <w:color w:val="000000"/>
          <w:sz w:val="24"/>
        </w:rPr>
        <w:t xml:space="preserve"> </w:t>
      </w:r>
      <w:r>
        <w:rPr>
          <w:color w:val="000000"/>
          <w:sz w:val="24"/>
        </w:rPr>
        <w:t>reporting s</w:t>
      </w:r>
      <w:r w:rsidRPr="00CB497D">
        <w:rPr>
          <w:color w:val="000000"/>
          <w:sz w:val="24"/>
        </w:rPr>
        <w:t>ystem will provide another opportunity for reporting a wide range of potential hazard</w:t>
      </w:r>
      <w:r w:rsidR="00C55766">
        <w:rPr>
          <w:color w:val="000000"/>
          <w:sz w:val="24"/>
        </w:rPr>
        <w:t>s</w:t>
      </w:r>
      <w:r w:rsidRPr="00CB497D">
        <w:rPr>
          <w:color w:val="000000"/>
          <w:sz w:val="24"/>
        </w:rPr>
        <w:t xml:space="preserve"> and risk information related to oil and gas</w:t>
      </w:r>
      <w:r w:rsidR="00700857">
        <w:rPr>
          <w:color w:val="000000"/>
          <w:sz w:val="24"/>
        </w:rPr>
        <w:t xml:space="preserve"> offshore</w:t>
      </w:r>
      <w:r w:rsidRPr="00CB497D">
        <w:rPr>
          <w:color w:val="000000"/>
          <w:sz w:val="24"/>
        </w:rPr>
        <w:t xml:space="preserve"> operations.  </w:t>
      </w:r>
      <w:r w:rsidR="00BC6D69">
        <w:rPr>
          <w:color w:val="000000"/>
          <w:sz w:val="24"/>
        </w:rPr>
        <w:t>Moreover, while</w:t>
      </w:r>
      <w:r w:rsidR="00EE24A5">
        <w:rPr>
          <w:sz w:val="24"/>
        </w:rPr>
        <w:t xml:space="preserve"> some companies and industry organizations currently have near miss reporting programs, </w:t>
      </w:r>
      <w:r w:rsidR="00C6572C">
        <w:rPr>
          <w:sz w:val="24"/>
        </w:rPr>
        <w:t xml:space="preserve">these </w:t>
      </w:r>
      <w:r w:rsidR="005E6F22">
        <w:rPr>
          <w:sz w:val="24"/>
        </w:rPr>
        <w:t>programs</w:t>
      </w:r>
      <w:r w:rsidR="00700857">
        <w:rPr>
          <w:sz w:val="24"/>
        </w:rPr>
        <w:t xml:space="preserve"> have</w:t>
      </w:r>
      <w:r w:rsidR="005E6F22">
        <w:rPr>
          <w:sz w:val="24"/>
        </w:rPr>
        <w:t xml:space="preserve"> typically</w:t>
      </w:r>
      <w:r w:rsidR="00700857">
        <w:rPr>
          <w:sz w:val="24"/>
        </w:rPr>
        <w:t xml:space="preserve"> a more narrow scope and</w:t>
      </w:r>
      <w:r w:rsidR="00C6572C">
        <w:rPr>
          <w:sz w:val="24"/>
        </w:rPr>
        <w:t xml:space="preserve"> </w:t>
      </w:r>
      <w:r w:rsidR="00C55766">
        <w:rPr>
          <w:color w:val="000000"/>
          <w:sz w:val="24"/>
        </w:rPr>
        <w:t>the data are not shared by all stakeholders.</w:t>
      </w:r>
      <w:r w:rsidR="005E6F22">
        <w:rPr>
          <w:color w:val="000000"/>
          <w:sz w:val="24"/>
        </w:rPr>
        <w:t xml:space="preserve"> </w:t>
      </w:r>
      <w:r w:rsidR="00700857">
        <w:rPr>
          <w:color w:val="000000"/>
          <w:sz w:val="24"/>
        </w:rPr>
        <w:t xml:space="preserve"> Collecting data from all companies, operators, and subcontractors operating on the OCS is a unique component to this data collection program and has the potential of becoming the only data source for industry-wide aggregate statistics on near-miss/precursor safety data for the OCS.  </w:t>
      </w:r>
      <w:r w:rsidR="00482B8F">
        <w:rPr>
          <w:color w:val="000000"/>
          <w:sz w:val="24"/>
        </w:rPr>
        <w:t>T</w:t>
      </w:r>
      <w:r w:rsidR="00532FC5">
        <w:rPr>
          <w:color w:val="000000"/>
          <w:sz w:val="24"/>
        </w:rPr>
        <w:t xml:space="preserve">he </w:t>
      </w:r>
      <w:proofErr w:type="spellStart"/>
      <w:r w:rsidR="00700857">
        <w:rPr>
          <w:color w:val="000000"/>
          <w:sz w:val="24"/>
        </w:rPr>
        <w:t>SafeOCS</w:t>
      </w:r>
      <w:proofErr w:type="spellEnd"/>
      <w:r w:rsidR="00700857">
        <w:rPr>
          <w:color w:val="000000"/>
          <w:sz w:val="24"/>
        </w:rPr>
        <w:t xml:space="preserve"> reporting s</w:t>
      </w:r>
      <w:r w:rsidR="00F05326" w:rsidRPr="00CB497D">
        <w:rPr>
          <w:color w:val="000000"/>
          <w:sz w:val="24"/>
        </w:rPr>
        <w:t xml:space="preserve">ystem provides </w:t>
      </w:r>
      <w:r w:rsidR="00F31BC2">
        <w:rPr>
          <w:color w:val="000000"/>
          <w:sz w:val="24"/>
        </w:rPr>
        <w:t xml:space="preserve">strict protection, under CIPSEA, of reporters’ identities and confidentiality.  </w:t>
      </w:r>
      <w:r w:rsidR="00F81505">
        <w:rPr>
          <w:color w:val="000000"/>
          <w:sz w:val="24"/>
        </w:rPr>
        <w:t xml:space="preserve">Thus, </w:t>
      </w:r>
      <w:r w:rsidR="00287130">
        <w:rPr>
          <w:color w:val="000000"/>
          <w:sz w:val="24"/>
        </w:rPr>
        <w:t>BTS’s</w:t>
      </w:r>
      <w:r w:rsidR="00F05326" w:rsidRPr="00CB497D">
        <w:rPr>
          <w:color w:val="000000"/>
          <w:sz w:val="24"/>
        </w:rPr>
        <w:t xml:space="preserve"> reporting system could, through aggregate reports, </w:t>
      </w:r>
      <w:r w:rsidR="00F81505">
        <w:rPr>
          <w:color w:val="000000"/>
          <w:sz w:val="24"/>
        </w:rPr>
        <w:t>yield</w:t>
      </w:r>
      <w:r w:rsidR="00F05326" w:rsidRPr="00CB497D">
        <w:rPr>
          <w:color w:val="000000"/>
          <w:sz w:val="24"/>
        </w:rPr>
        <w:t xml:space="preserve"> information about potential </w:t>
      </w:r>
      <w:r w:rsidR="00207423">
        <w:rPr>
          <w:color w:val="000000"/>
          <w:sz w:val="24"/>
        </w:rPr>
        <w:t xml:space="preserve">hazards and </w:t>
      </w:r>
      <w:r w:rsidR="00F05326" w:rsidRPr="00CB497D">
        <w:rPr>
          <w:color w:val="000000"/>
          <w:sz w:val="24"/>
        </w:rPr>
        <w:t>unsafe conditions that would not be reported (or shared) under company or other i</w:t>
      </w:r>
      <w:r w:rsidR="00594BE9">
        <w:rPr>
          <w:color w:val="000000"/>
          <w:sz w:val="24"/>
        </w:rPr>
        <w:t>ndustry programs</w:t>
      </w:r>
      <w:r w:rsidR="00F05326" w:rsidRPr="00CB497D">
        <w:rPr>
          <w:color w:val="000000"/>
          <w:sz w:val="24"/>
        </w:rPr>
        <w:t xml:space="preserve">. </w:t>
      </w:r>
      <w:r w:rsidR="00E9670B">
        <w:rPr>
          <w:color w:val="000000"/>
          <w:sz w:val="24"/>
        </w:rPr>
        <w:t xml:space="preserve"> </w:t>
      </w:r>
      <w:r w:rsidRPr="00CB497D">
        <w:rPr>
          <w:color w:val="000000"/>
          <w:sz w:val="24"/>
        </w:rPr>
        <w:t xml:space="preserve">  </w:t>
      </w:r>
    </w:p>
    <w:p w:rsidR="007B3A70" w:rsidRDefault="007B3A70">
      <w:pPr>
        <w:rPr>
          <w:sz w:val="24"/>
        </w:rPr>
      </w:pPr>
    </w:p>
    <w:p w:rsidR="00C56E43" w:rsidRDefault="00C56E43">
      <w:pPr>
        <w:rPr>
          <w:sz w:val="26"/>
          <w:szCs w:val="26"/>
        </w:rPr>
      </w:pPr>
    </w:p>
    <w:bookmarkEnd w:id="4"/>
    <w:p w:rsidR="007B3A70" w:rsidRDefault="007B3A70">
      <w:pPr>
        <w:rPr>
          <w:b/>
          <w:bCs/>
          <w:sz w:val="26"/>
          <w:szCs w:val="26"/>
        </w:rPr>
      </w:pPr>
      <w:r>
        <w:rPr>
          <w:b/>
          <w:bCs/>
          <w:sz w:val="26"/>
          <w:szCs w:val="26"/>
        </w:rPr>
        <w:t>5.  If the collection of information impacts small businesses or other small entities, describe efforts to minimize burden.</w:t>
      </w:r>
    </w:p>
    <w:p w:rsidR="007B3A70" w:rsidRDefault="007B3A70">
      <w:pPr>
        <w:rPr>
          <w:sz w:val="26"/>
          <w:szCs w:val="26"/>
        </w:rPr>
      </w:pPr>
    </w:p>
    <w:p w:rsidR="004C2CE3" w:rsidRDefault="004C2CE3">
      <w:pPr>
        <w:rPr>
          <w:sz w:val="24"/>
        </w:rPr>
      </w:pPr>
      <w:r w:rsidRPr="001569C0">
        <w:rPr>
          <w:sz w:val="24"/>
        </w:rPr>
        <w:t>This does not apply</w:t>
      </w:r>
      <w:r w:rsidR="007907B1">
        <w:rPr>
          <w:sz w:val="24"/>
        </w:rPr>
        <w:t xml:space="preserve"> </w:t>
      </w:r>
      <w:r w:rsidR="006B0FFA">
        <w:rPr>
          <w:sz w:val="24"/>
        </w:rPr>
        <w:t>to this</w:t>
      </w:r>
      <w:r w:rsidR="007907B1">
        <w:rPr>
          <w:sz w:val="24"/>
        </w:rPr>
        <w:t xml:space="preserve"> information collection.  </w:t>
      </w:r>
      <w:r w:rsidR="00292E53">
        <w:rPr>
          <w:sz w:val="24"/>
        </w:rPr>
        <w:t xml:space="preserve">Reports to the </w:t>
      </w:r>
      <w:proofErr w:type="spellStart"/>
      <w:r w:rsidR="00700857">
        <w:rPr>
          <w:sz w:val="24"/>
        </w:rPr>
        <w:t>SafeOCS</w:t>
      </w:r>
      <w:proofErr w:type="spellEnd"/>
      <w:r w:rsidR="00700857">
        <w:rPr>
          <w:sz w:val="24"/>
        </w:rPr>
        <w:t xml:space="preserve"> reporting s</w:t>
      </w:r>
      <w:r w:rsidR="00292E53">
        <w:rPr>
          <w:sz w:val="24"/>
        </w:rPr>
        <w:t xml:space="preserve">ystem </w:t>
      </w:r>
      <w:r w:rsidR="009444A7">
        <w:rPr>
          <w:sz w:val="24"/>
        </w:rPr>
        <w:t xml:space="preserve">will be </w:t>
      </w:r>
      <w:r w:rsidR="00C67A60" w:rsidRPr="00AE21C7">
        <w:rPr>
          <w:sz w:val="24"/>
        </w:rPr>
        <w:t xml:space="preserve">submitted by employees </w:t>
      </w:r>
      <w:r w:rsidR="009444A7">
        <w:rPr>
          <w:sz w:val="24"/>
        </w:rPr>
        <w:t>reporting their personal experiences</w:t>
      </w:r>
      <w:r w:rsidR="00FC585E">
        <w:rPr>
          <w:sz w:val="24"/>
        </w:rPr>
        <w:t xml:space="preserve"> as private citizens, </w:t>
      </w:r>
      <w:r w:rsidR="00EC0211">
        <w:rPr>
          <w:sz w:val="24"/>
        </w:rPr>
        <w:t>rather than by</w:t>
      </w:r>
      <w:r w:rsidR="00FC585E">
        <w:rPr>
          <w:sz w:val="24"/>
        </w:rPr>
        <w:t xml:space="preserve"> business owners.</w:t>
      </w:r>
      <w:r w:rsidR="009444A7">
        <w:rPr>
          <w:sz w:val="24"/>
        </w:rPr>
        <w:t xml:space="preserve">  </w:t>
      </w:r>
    </w:p>
    <w:p w:rsidR="00325571" w:rsidRDefault="00325571">
      <w:pPr>
        <w:rPr>
          <w:b/>
          <w:bCs/>
          <w:sz w:val="26"/>
          <w:szCs w:val="26"/>
        </w:rPr>
      </w:pPr>
    </w:p>
    <w:p w:rsidR="00325571" w:rsidRDefault="00325571">
      <w:pPr>
        <w:rPr>
          <w:b/>
          <w:bCs/>
          <w:sz w:val="26"/>
          <w:szCs w:val="26"/>
        </w:rPr>
      </w:pPr>
    </w:p>
    <w:p w:rsidR="007B3A70" w:rsidRDefault="007B3A70">
      <w:pPr>
        <w:rPr>
          <w:b/>
          <w:bCs/>
          <w:sz w:val="26"/>
          <w:szCs w:val="26"/>
        </w:rPr>
      </w:pPr>
      <w:r>
        <w:rPr>
          <w:b/>
          <w:bCs/>
          <w:sz w:val="26"/>
          <w:szCs w:val="26"/>
        </w:rPr>
        <w:t>6.  Describe the consequence to the Federal Program or policy activities if the collection were not collected or conducted less frequently.</w:t>
      </w:r>
    </w:p>
    <w:p w:rsidR="007B3A70" w:rsidRDefault="007B3A70">
      <w:pPr>
        <w:rPr>
          <w:b/>
          <w:bCs/>
          <w:sz w:val="26"/>
          <w:szCs w:val="26"/>
        </w:rPr>
        <w:sectPr w:rsidR="007B3A70">
          <w:footerReference w:type="default" r:id="rId8"/>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p>
    <w:p w:rsidR="00B57583" w:rsidRDefault="00DE1301" w:rsidP="00647C79">
      <w:pPr>
        <w:rPr>
          <w:sz w:val="24"/>
        </w:rPr>
      </w:pPr>
      <w:r>
        <w:rPr>
          <w:rFonts w:cs="Arial"/>
          <w:sz w:val="24"/>
        </w:rPr>
        <w:t xml:space="preserve">The Federal Aviation Administration (FAA) established a voluntary reporting system, the Aviation Safety Reporting System (ASRS) for near misses in the mid 70’s.   Since then the ASRS has been an excellent source of information on precursors and unsafe work practices that can potentially </w:t>
      </w:r>
      <w:r w:rsidR="00B57583">
        <w:rPr>
          <w:rFonts w:cs="Arial"/>
          <w:sz w:val="24"/>
        </w:rPr>
        <w:t>lead to tragic accidents.  Both</w:t>
      </w:r>
      <w:r>
        <w:rPr>
          <w:rFonts w:cs="Arial"/>
          <w:sz w:val="24"/>
        </w:rPr>
        <w:t xml:space="preserve"> the FAA and the aviation industry have used </w:t>
      </w:r>
      <w:r w:rsidR="00F94720">
        <w:rPr>
          <w:rFonts w:cs="Arial"/>
          <w:sz w:val="24"/>
        </w:rPr>
        <w:t xml:space="preserve">information </w:t>
      </w:r>
      <w:r>
        <w:rPr>
          <w:rFonts w:cs="Arial"/>
          <w:sz w:val="24"/>
        </w:rPr>
        <w:t xml:space="preserve">from the ASRS to put in place </w:t>
      </w:r>
      <w:r w:rsidR="00B57583">
        <w:rPr>
          <w:rFonts w:cs="Arial"/>
          <w:sz w:val="24"/>
        </w:rPr>
        <w:t>guidelines and recommendations aimed at improving safety</w:t>
      </w:r>
      <w:r>
        <w:rPr>
          <w:rFonts w:cs="Arial"/>
          <w:sz w:val="24"/>
        </w:rPr>
        <w:t>.</w:t>
      </w:r>
      <w:r w:rsidRPr="001569C0">
        <w:rPr>
          <w:sz w:val="24"/>
        </w:rPr>
        <w:t xml:space="preserve"> </w:t>
      </w:r>
      <w:r w:rsidR="00B57583">
        <w:rPr>
          <w:sz w:val="24"/>
        </w:rPr>
        <w:t xml:space="preserve"> </w:t>
      </w:r>
    </w:p>
    <w:p w:rsidR="008B7947" w:rsidRDefault="008B7947" w:rsidP="00647C79">
      <w:pPr>
        <w:rPr>
          <w:sz w:val="24"/>
        </w:rPr>
      </w:pPr>
    </w:p>
    <w:p w:rsidR="00B57583" w:rsidRDefault="008B7947" w:rsidP="00647C79">
      <w:pPr>
        <w:rPr>
          <w:sz w:val="24"/>
        </w:rPr>
      </w:pPr>
      <w:r>
        <w:rPr>
          <w:sz w:val="24"/>
        </w:rPr>
        <w:t>Subsequently, the Federa</w:t>
      </w:r>
      <w:r w:rsidR="00284FB4">
        <w:rPr>
          <w:sz w:val="24"/>
        </w:rPr>
        <w:t>l Railroad Administration</w:t>
      </w:r>
      <w:r w:rsidR="00EC0211">
        <w:rPr>
          <w:sz w:val="24"/>
        </w:rPr>
        <w:t xml:space="preserve"> (FRA) established a Confidential Close Call </w:t>
      </w:r>
      <w:r w:rsidR="00EC0211">
        <w:rPr>
          <w:sz w:val="24"/>
        </w:rPr>
        <w:lastRenderedPageBreak/>
        <w:t>R</w:t>
      </w:r>
      <w:r w:rsidR="00284FB4">
        <w:rPr>
          <w:sz w:val="24"/>
        </w:rPr>
        <w:t>eporting</w:t>
      </w:r>
      <w:r w:rsidR="00EC0211">
        <w:rPr>
          <w:sz w:val="24"/>
        </w:rPr>
        <w:t xml:space="preserve"> S</w:t>
      </w:r>
      <w:r w:rsidR="00CA4D55">
        <w:rPr>
          <w:sz w:val="24"/>
        </w:rPr>
        <w:t>ystem (C</w:t>
      </w:r>
      <w:r w:rsidR="00CA4D55" w:rsidRPr="00CA4D55">
        <w:rPr>
          <w:sz w:val="24"/>
          <w:vertAlign w:val="superscript"/>
        </w:rPr>
        <w:t>3</w:t>
      </w:r>
      <w:r w:rsidR="00CA4D55">
        <w:rPr>
          <w:sz w:val="24"/>
        </w:rPr>
        <w:t>RS)</w:t>
      </w:r>
      <w:r w:rsidR="00284FB4">
        <w:rPr>
          <w:sz w:val="24"/>
        </w:rPr>
        <w:t xml:space="preserve"> that has proven to be equally successful in identifying and remediating safety risks before </w:t>
      </w:r>
      <w:r w:rsidR="00CA4D55">
        <w:rPr>
          <w:sz w:val="24"/>
        </w:rPr>
        <w:t>serious accidents occur.  BTS was instrumental in the establishment of this program by developing a confidential data collection process that</w:t>
      </w:r>
      <w:r w:rsidR="00700857">
        <w:rPr>
          <w:sz w:val="24"/>
        </w:rPr>
        <w:t xml:space="preserve"> fostered trust in the system and</w:t>
      </w:r>
      <w:r w:rsidR="00CA4D55">
        <w:rPr>
          <w:sz w:val="24"/>
        </w:rPr>
        <w:t xml:space="preserve"> facilitated employee participation.</w:t>
      </w:r>
    </w:p>
    <w:p w:rsidR="00CA4D55" w:rsidRDefault="00CA4D55" w:rsidP="00647C79">
      <w:pPr>
        <w:rPr>
          <w:sz w:val="24"/>
        </w:rPr>
      </w:pPr>
    </w:p>
    <w:p w:rsidR="00107851" w:rsidRDefault="00107851" w:rsidP="00647C79">
      <w:pPr>
        <w:rPr>
          <w:sz w:val="24"/>
        </w:rPr>
      </w:pPr>
      <w:r>
        <w:rPr>
          <w:sz w:val="24"/>
        </w:rPr>
        <w:t xml:space="preserve">Finally, BTS </w:t>
      </w:r>
      <w:r w:rsidR="00436035">
        <w:rPr>
          <w:sz w:val="24"/>
        </w:rPr>
        <w:t>jointly plan</w:t>
      </w:r>
      <w:r w:rsidR="00A57341">
        <w:rPr>
          <w:sz w:val="24"/>
        </w:rPr>
        <w:t>ned</w:t>
      </w:r>
      <w:r w:rsidR="00436035">
        <w:rPr>
          <w:sz w:val="24"/>
        </w:rPr>
        <w:t xml:space="preserve"> and develop</w:t>
      </w:r>
      <w:r w:rsidR="00A57341">
        <w:rPr>
          <w:sz w:val="24"/>
        </w:rPr>
        <w:t>ed</w:t>
      </w:r>
      <w:r w:rsidR="00436035">
        <w:rPr>
          <w:sz w:val="24"/>
        </w:rPr>
        <w:t xml:space="preserve"> a </w:t>
      </w:r>
      <w:r>
        <w:rPr>
          <w:sz w:val="24"/>
        </w:rPr>
        <w:t>Confidential Close Call Transit Safety Reporting System</w:t>
      </w:r>
      <w:r w:rsidR="00A57341">
        <w:rPr>
          <w:sz w:val="24"/>
        </w:rPr>
        <w:t xml:space="preserve"> with the Washington Metropolitan Area Transit Authority (WMATA)</w:t>
      </w:r>
      <w:r>
        <w:rPr>
          <w:sz w:val="24"/>
        </w:rPr>
        <w:t>.</w:t>
      </w:r>
      <w:r w:rsidR="00A57341">
        <w:rPr>
          <w:sz w:val="24"/>
        </w:rPr>
        <w:t xml:space="preserve"> </w:t>
      </w:r>
      <w:r w:rsidR="003202F4">
        <w:rPr>
          <w:sz w:val="24"/>
        </w:rPr>
        <w:t>This voluntary reporti</w:t>
      </w:r>
      <w:r w:rsidR="00D65E36">
        <w:rPr>
          <w:sz w:val="24"/>
        </w:rPr>
        <w:t xml:space="preserve">ng system </w:t>
      </w:r>
      <w:r w:rsidR="003202F4">
        <w:rPr>
          <w:sz w:val="24"/>
        </w:rPr>
        <w:t>captures information that would otherwis</w:t>
      </w:r>
      <w:r w:rsidR="00D65E36">
        <w:rPr>
          <w:sz w:val="24"/>
        </w:rPr>
        <w:t xml:space="preserve">e remain unknown and </w:t>
      </w:r>
      <w:r w:rsidR="003202F4">
        <w:rPr>
          <w:sz w:val="24"/>
        </w:rPr>
        <w:t>provides</w:t>
      </w:r>
      <w:r w:rsidR="00D65E36">
        <w:rPr>
          <w:sz w:val="24"/>
        </w:rPr>
        <w:t xml:space="preserve"> WMATA with opportunities to identify and address safety issues proactively.</w:t>
      </w:r>
    </w:p>
    <w:p w:rsidR="00107851" w:rsidRDefault="00107851" w:rsidP="00647C79">
      <w:pPr>
        <w:rPr>
          <w:sz w:val="24"/>
        </w:rPr>
      </w:pPr>
    </w:p>
    <w:p w:rsidR="00647C79" w:rsidRPr="004D6E76" w:rsidRDefault="004F422F" w:rsidP="00647C79">
      <w:pPr>
        <w:rPr>
          <w:sz w:val="24"/>
        </w:rPr>
      </w:pPr>
      <w:r>
        <w:rPr>
          <w:sz w:val="24"/>
        </w:rPr>
        <w:t xml:space="preserve">The requested data collection </w:t>
      </w:r>
      <w:r w:rsidR="00D506D9">
        <w:rPr>
          <w:sz w:val="24"/>
        </w:rPr>
        <w:t>will institute a voluntary</w:t>
      </w:r>
      <w:r w:rsidR="001861A7">
        <w:rPr>
          <w:sz w:val="24"/>
        </w:rPr>
        <w:t xml:space="preserve"> and confidential</w:t>
      </w:r>
      <w:r w:rsidR="00D506D9">
        <w:rPr>
          <w:sz w:val="24"/>
        </w:rPr>
        <w:t xml:space="preserve"> near miss reporting system, </w:t>
      </w:r>
      <w:r w:rsidR="00094E2F">
        <w:rPr>
          <w:sz w:val="24"/>
        </w:rPr>
        <w:t xml:space="preserve">similar to the </w:t>
      </w:r>
      <w:r w:rsidR="00B57583">
        <w:rPr>
          <w:sz w:val="24"/>
        </w:rPr>
        <w:t>ASRS</w:t>
      </w:r>
      <w:r w:rsidR="00915B12">
        <w:rPr>
          <w:sz w:val="24"/>
        </w:rPr>
        <w:t xml:space="preserve">, </w:t>
      </w:r>
      <w:r w:rsidR="00CA4D55">
        <w:rPr>
          <w:sz w:val="24"/>
        </w:rPr>
        <w:t>C</w:t>
      </w:r>
      <w:r w:rsidR="00CA4D55" w:rsidRPr="00094E2F">
        <w:rPr>
          <w:sz w:val="24"/>
          <w:vertAlign w:val="superscript"/>
        </w:rPr>
        <w:t>3</w:t>
      </w:r>
      <w:r w:rsidR="00CA4D55">
        <w:rPr>
          <w:sz w:val="24"/>
        </w:rPr>
        <w:t>RS</w:t>
      </w:r>
      <w:r w:rsidR="00094E2F">
        <w:rPr>
          <w:sz w:val="24"/>
        </w:rPr>
        <w:t>,</w:t>
      </w:r>
      <w:r w:rsidR="00CD2D63" w:rsidRPr="001569C0">
        <w:rPr>
          <w:sz w:val="24"/>
        </w:rPr>
        <w:t xml:space="preserve"> </w:t>
      </w:r>
      <w:r w:rsidR="00915B12">
        <w:rPr>
          <w:sz w:val="24"/>
        </w:rPr>
        <w:t xml:space="preserve">and WMATA system, </w:t>
      </w:r>
      <w:r w:rsidR="00D506D9">
        <w:rPr>
          <w:rFonts w:cs="Arial"/>
          <w:sz w:val="24"/>
        </w:rPr>
        <w:t xml:space="preserve">for </w:t>
      </w:r>
      <w:r w:rsidR="00BE7DED" w:rsidRPr="006931BA">
        <w:rPr>
          <w:sz w:val="24"/>
        </w:rPr>
        <w:t>oil and gas operations on the OCS</w:t>
      </w:r>
      <w:r>
        <w:rPr>
          <w:rFonts w:cs="Arial"/>
          <w:sz w:val="24"/>
        </w:rPr>
        <w:t xml:space="preserve">.  </w:t>
      </w:r>
      <w:r w:rsidR="00B57583">
        <w:rPr>
          <w:rFonts w:cs="Arial"/>
          <w:sz w:val="24"/>
        </w:rPr>
        <w:t>W</w:t>
      </w:r>
      <w:r w:rsidR="004C2CE3" w:rsidRPr="001569C0">
        <w:rPr>
          <w:sz w:val="24"/>
        </w:rPr>
        <w:t xml:space="preserve">ithout </w:t>
      </w:r>
      <w:r w:rsidR="004D6E76">
        <w:rPr>
          <w:sz w:val="24"/>
        </w:rPr>
        <w:t>the data from this</w:t>
      </w:r>
      <w:r w:rsidR="00B57583">
        <w:rPr>
          <w:sz w:val="24"/>
        </w:rPr>
        <w:t xml:space="preserve"> </w:t>
      </w:r>
      <w:r w:rsidR="00CA6B10">
        <w:rPr>
          <w:sz w:val="24"/>
        </w:rPr>
        <w:t xml:space="preserve">multiyear </w:t>
      </w:r>
      <w:r w:rsidR="00190D95">
        <w:rPr>
          <w:sz w:val="24"/>
        </w:rPr>
        <w:t>project,</w:t>
      </w:r>
      <w:r w:rsidR="00B57583">
        <w:rPr>
          <w:sz w:val="24"/>
        </w:rPr>
        <w:t xml:space="preserve"> </w:t>
      </w:r>
      <w:r w:rsidR="00647C79" w:rsidRPr="001569C0">
        <w:rPr>
          <w:sz w:val="24"/>
        </w:rPr>
        <w:t xml:space="preserve">it will be impossible to </w:t>
      </w:r>
      <w:r w:rsidR="003B323A">
        <w:rPr>
          <w:sz w:val="24"/>
        </w:rPr>
        <w:t xml:space="preserve">determine </w:t>
      </w:r>
      <w:r w:rsidR="00647C79" w:rsidRPr="001569C0">
        <w:rPr>
          <w:sz w:val="24"/>
        </w:rPr>
        <w:t>whether</w:t>
      </w:r>
      <w:r w:rsidR="001569C0">
        <w:rPr>
          <w:sz w:val="24"/>
        </w:rPr>
        <w:t xml:space="preserve"> </w:t>
      </w:r>
      <w:r w:rsidR="00B03EB3">
        <w:rPr>
          <w:sz w:val="24"/>
        </w:rPr>
        <w:t xml:space="preserve">the </w:t>
      </w:r>
      <w:r w:rsidR="003B323A">
        <w:rPr>
          <w:sz w:val="24"/>
        </w:rPr>
        <w:t>confidential</w:t>
      </w:r>
      <w:r w:rsidR="001569C0">
        <w:rPr>
          <w:sz w:val="24"/>
        </w:rPr>
        <w:t xml:space="preserve"> reporting of </w:t>
      </w:r>
      <w:r w:rsidR="00B03EB3">
        <w:rPr>
          <w:sz w:val="24"/>
        </w:rPr>
        <w:t xml:space="preserve">industry </w:t>
      </w:r>
      <w:r w:rsidR="002F06DE">
        <w:rPr>
          <w:sz w:val="24"/>
        </w:rPr>
        <w:t>near misses</w:t>
      </w:r>
      <w:r w:rsidR="001569C0">
        <w:rPr>
          <w:sz w:val="24"/>
        </w:rPr>
        <w:t xml:space="preserve"> could</w:t>
      </w:r>
      <w:r w:rsidR="00146A50">
        <w:rPr>
          <w:sz w:val="24"/>
        </w:rPr>
        <w:t xml:space="preserve"> lead to the identification</w:t>
      </w:r>
      <w:r w:rsidR="001569C0">
        <w:rPr>
          <w:sz w:val="24"/>
        </w:rPr>
        <w:t xml:space="preserve"> </w:t>
      </w:r>
      <w:r w:rsidR="00146A50">
        <w:rPr>
          <w:sz w:val="24"/>
        </w:rPr>
        <w:t>of</w:t>
      </w:r>
      <w:r w:rsidR="00B03EB3">
        <w:rPr>
          <w:sz w:val="24"/>
        </w:rPr>
        <w:t xml:space="preserve"> </w:t>
      </w:r>
      <w:r w:rsidR="00572A30">
        <w:rPr>
          <w:sz w:val="24"/>
        </w:rPr>
        <w:t>unsafe practices</w:t>
      </w:r>
      <w:r w:rsidR="00B03EB3">
        <w:rPr>
          <w:sz w:val="24"/>
        </w:rPr>
        <w:t xml:space="preserve"> </w:t>
      </w:r>
      <w:r w:rsidR="00986A7B">
        <w:rPr>
          <w:sz w:val="24"/>
        </w:rPr>
        <w:t xml:space="preserve">and </w:t>
      </w:r>
      <w:r w:rsidR="00CA6B10">
        <w:rPr>
          <w:sz w:val="24"/>
        </w:rPr>
        <w:t xml:space="preserve">a reduction in the risk of </w:t>
      </w:r>
      <w:r w:rsidR="00572A30">
        <w:rPr>
          <w:sz w:val="24"/>
        </w:rPr>
        <w:t>catastrophic event</w:t>
      </w:r>
      <w:r w:rsidR="00986A7B">
        <w:rPr>
          <w:sz w:val="24"/>
        </w:rPr>
        <w:t xml:space="preserve">s </w:t>
      </w:r>
      <w:r w:rsidR="00CA6B10">
        <w:rPr>
          <w:sz w:val="24"/>
        </w:rPr>
        <w:t>such as Deepwater Horizo</w:t>
      </w:r>
      <w:r w:rsidR="003255FD">
        <w:rPr>
          <w:sz w:val="24"/>
        </w:rPr>
        <w:t>n</w:t>
      </w:r>
      <w:r w:rsidR="00572A30">
        <w:rPr>
          <w:sz w:val="24"/>
        </w:rPr>
        <w:t>.</w:t>
      </w:r>
      <w:r w:rsidR="00077C29" w:rsidRPr="00077C29">
        <w:rPr>
          <w:sz w:val="24"/>
        </w:rPr>
        <w:t xml:space="preserve">  </w:t>
      </w:r>
    </w:p>
    <w:p w:rsidR="003C6E58" w:rsidRPr="001569C0" w:rsidRDefault="004C2CE3" w:rsidP="003C6E58">
      <w:pPr>
        <w:rPr>
          <w:sz w:val="24"/>
        </w:rPr>
      </w:pPr>
      <w:r w:rsidRPr="001569C0">
        <w:rPr>
          <w:sz w:val="24"/>
        </w:rPr>
        <w:t xml:space="preserve"> </w:t>
      </w:r>
    </w:p>
    <w:p w:rsidR="004C2CE3" w:rsidRDefault="003C6E58">
      <w:pPr>
        <w:rPr>
          <w:b/>
          <w:bCs/>
          <w:sz w:val="26"/>
          <w:szCs w:val="26"/>
        </w:rPr>
      </w:pPr>
      <w:r>
        <w:rPr>
          <w:sz w:val="26"/>
          <w:szCs w:val="26"/>
        </w:rPr>
        <w:t xml:space="preserve"> </w:t>
      </w:r>
    </w:p>
    <w:p w:rsidR="007B3A70" w:rsidRDefault="007B3A70">
      <w:pPr>
        <w:rPr>
          <w:b/>
          <w:bCs/>
          <w:sz w:val="26"/>
          <w:szCs w:val="26"/>
        </w:rPr>
      </w:pPr>
      <w:r>
        <w:rPr>
          <w:b/>
          <w:bCs/>
          <w:sz w:val="26"/>
          <w:szCs w:val="26"/>
        </w:rPr>
        <w:t xml:space="preserve">7.  </w:t>
      </w:r>
      <w:r w:rsidRPr="00436CF8">
        <w:rPr>
          <w:b/>
          <w:bCs/>
          <w:sz w:val="26"/>
          <w:szCs w:val="26"/>
        </w:rPr>
        <w:t>Explain any special circumstances that would cause an information collection to be conducted in a manner:</w:t>
      </w:r>
    </w:p>
    <w:p w:rsidR="007B3A70" w:rsidRDefault="007B3A70">
      <w:pPr>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report information to the agency more often than quarterly;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prepare a written response to a collection of information in fewer than 30 days after receipt of it;</w:t>
      </w:r>
    </w:p>
    <w:p w:rsidR="007B3A70" w:rsidRDefault="007B3A70">
      <w:pPr>
        <w:jc w:val="both"/>
        <w:rPr>
          <w:b/>
          <w:bCs/>
          <w:sz w:val="26"/>
          <w:szCs w:val="26"/>
        </w:rPr>
      </w:pPr>
    </w:p>
    <w:p w:rsidR="007B3A70" w:rsidRDefault="007B3A70">
      <w:pPr>
        <w:pStyle w:val="Level1"/>
        <w:numPr>
          <w:ilvl w:val="0"/>
          <w:numId w:val="1"/>
        </w:numPr>
        <w:tabs>
          <w:tab w:val="left" w:pos="-1440"/>
        </w:tabs>
        <w:jc w:val="both"/>
        <w:rPr>
          <w:sz w:val="26"/>
          <w:szCs w:val="26"/>
        </w:rPr>
      </w:pPr>
      <w:r>
        <w:rPr>
          <w:b/>
          <w:bCs/>
          <w:sz w:val="26"/>
          <w:szCs w:val="26"/>
        </w:rPr>
        <w:t>requiring respondents to submit more than an original and two copies of any document;</w:t>
      </w:r>
    </w:p>
    <w:p w:rsidR="007B3A70" w:rsidRDefault="007B3A70">
      <w:pPr>
        <w:jc w:val="both"/>
        <w:rPr>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retain records, other than health, government contracts, grant-in-aid, or tax records for more than 3 years;</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in connection with a statistical survey, that is not designed to produce valid and reliable results that can be generalized to the universe of study;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the use of statistical data classification that has not been reviewed and approved by OMB;</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w:t>
      </w:r>
      <w:r>
        <w:rPr>
          <w:b/>
          <w:bCs/>
          <w:sz w:val="26"/>
          <w:szCs w:val="26"/>
        </w:rPr>
        <w:lastRenderedPageBreak/>
        <w:t>confidential use; or</w:t>
      </w:r>
    </w:p>
    <w:p w:rsidR="007B3A70" w:rsidRDefault="007B3A70">
      <w:pPr>
        <w:jc w:val="both"/>
        <w:rPr>
          <w:b/>
          <w:bCs/>
          <w:sz w:val="26"/>
          <w:szCs w:val="26"/>
        </w:rPr>
      </w:pPr>
    </w:p>
    <w:p w:rsidR="007B3A70" w:rsidRPr="00020DEC" w:rsidRDefault="007B3A70">
      <w:pPr>
        <w:pStyle w:val="Level1"/>
        <w:numPr>
          <w:ilvl w:val="0"/>
          <w:numId w:val="1"/>
        </w:numPr>
        <w:tabs>
          <w:tab w:val="left" w:pos="-1440"/>
        </w:tabs>
        <w:jc w:val="both"/>
        <w:rPr>
          <w:sz w:val="26"/>
          <w:szCs w:val="26"/>
        </w:rPr>
      </w:pPr>
      <w:proofErr w:type="gramStart"/>
      <w:r>
        <w:rPr>
          <w:b/>
          <w:bCs/>
          <w:sz w:val="26"/>
          <w:szCs w:val="26"/>
        </w:rPr>
        <w:t>requiring</w:t>
      </w:r>
      <w:proofErr w:type="gramEnd"/>
      <w:r>
        <w:rPr>
          <w:b/>
          <w:bCs/>
          <w:sz w:val="26"/>
          <w:szCs w:val="26"/>
        </w:rPr>
        <w:t xml:space="preserve"> respondents to submit proprietary trade secrets, or other confidential information unless the agency can demonstrate that it has instituted procedures to protect the information’s confidentiality to the extent permitted by law.</w:t>
      </w:r>
    </w:p>
    <w:p w:rsidR="00020DEC" w:rsidRDefault="00020DEC" w:rsidP="00020DEC">
      <w:pPr>
        <w:pStyle w:val="Level1"/>
        <w:tabs>
          <w:tab w:val="left" w:pos="-1440"/>
        </w:tabs>
        <w:jc w:val="both"/>
        <w:rPr>
          <w:b/>
          <w:bCs/>
          <w:sz w:val="26"/>
          <w:szCs w:val="26"/>
        </w:rPr>
      </w:pPr>
    </w:p>
    <w:p w:rsidR="00020DEC" w:rsidRPr="0053455E" w:rsidRDefault="00020DEC" w:rsidP="00020DEC">
      <w:pPr>
        <w:rPr>
          <w:sz w:val="24"/>
        </w:rPr>
      </w:pPr>
      <w:r w:rsidRPr="0053455E">
        <w:rPr>
          <w:sz w:val="24"/>
        </w:rPr>
        <w:t xml:space="preserve">There are no special circumstances that pertain to this </w:t>
      </w:r>
      <w:r w:rsidR="006969D9">
        <w:rPr>
          <w:sz w:val="24"/>
        </w:rPr>
        <w:t>information</w:t>
      </w:r>
      <w:r w:rsidRPr="0053455E">
        <w:rPr>
          <w:sz w:val="24"/>
        </w:rPr>
        <w:t xml:space="preserve"> collection.</w:t>
      </w:r>
    </w:p>
    <w:p w:rsidR="00020DEC" w:rsidRDefault="00020DEC" w:rsidP="00020DEC">
      <w:pPr>
        <w:pStyle w:val="Level1"/>
        <w:tabs>
          <w:tab w:val="left" w:pos="-1440"/>
        </w:tabs>
        <w:jc w:val="both"/>
        <w:rPr>
          <w:sz w:val="26"/>
          <w:szCs w:val="26"/>
        </w:rPr>
      </w:pPr>
    </w:p>
    <w:p w:rsidR="007B3A70" w:rsidRDefault="007B3A70">
      <w:pPr>
        <w:jc w:val="both"/>
        <w:rPr>
          <w:sz w:val="26"/>
          <w:szCs w:val="26"/>
        </w:rPr>
      </w:pPr>
    </w:p>
    <w:p w:rsidR="007B3A70" w:rsidRDefault="007B3A70">
      <w:pPr>
        <w:jc w:val="both"/>
        <w:rPr>
          <w:sz w:val="26"/>
          <w:szCs w:val="26"/>
        </w:rPr>
        <w:sectPr w:rsidR="007B3A70">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r>
        <w:rPr>
          <w:b/>
          <w:bCs/>
          <w:sz w:val="26"/>
          <w:szCs w:val="26"/>
        </w:rPr>
        <w:lastRenderedPageBreak/>
        <w:t xml:space="preserve">8.  </w:t>
      </w:r>
      <w:r w:rsidRPr="00400B67">
        <w:rPr>
          <w:b/>
          <w:bCs/>
          <w:sz w:val="26"/>
          <w:szCs w:val="26"/>
        </w:rPr>
        <w:t>If applicable,</w:t>
      </w:r>
      <w:r>
        <w:rPr>
          <w:b/>
          <w:bCs/>
          <w:sz w:val="26"/>
          <w:szCs w:val="26"/>
        </w:rPr>
        <w:t xml:space="preserv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Pr>
          <w:sz w:val="26"/>
          <w:szCs w:val="26"/>
        </w:rPr>
        <w:t>.</w:t>
      </w:r>
    </w:p>
    <w:p w:rsidR="007B3A70" w:rsidRDefault="007B3A70">
      <w:pPr>
        <w:rPr>
          <w:sz w:val="26"/>
          <w:szCs w:val="26"/>
        </w:rPr>
      </w:pPr>
    </w:p>
    <w:p w:rsidR="006B1BFE" w:rsidRPr="002C6BEB" w:rsidRDefault="000F3722" w:rsidP="002C6BEB">
      <w:pPr>
        <w:rPr>
          <w:sz w:val="24"/>
        </w:rPr>
      </w:pPr>
      <w:r w:rsidRPr="002C6BEB">
        <w:rPr>
          <w:sz w:val="24"/>
        </w:rPr>
        <w:t>BTS published t</w:t>
      </w:r>
      <w:r w:rsidR="007B3A70" w:rsidRPr="002C6BEB">
        <w:rPr>
          <w:sz w:val="24"/>
        </w:rPr>
        <w:t xml:space="preserve">he </w:t>
      </w:r>
      <w:r w:rsidR="006B1BFE" w:rsidRPr="002C6BEB">
        <w:rPr>
          <w:sz w:val="24"/>
        </w:rPr>
        <w:t xml:space="preserve">Federal Register (FR) </w:t>
      </w:r>
      <w:r w:rsidR="007B3A70" w:rsidRPr="002C6BEB">
        <w:rPr>
          <w:sz w:val="24"/>
        </w:rPr>
        <w:t xml:space="preserve">notice </w:t>
      </w:r>
      <w:r w:rsidRPr="002C6BEB">
        <w:rPr>
          <w:sz w:val="24"/>
        </w:rPr>
        <w:t xml:space="preserve">on </w:t>
      </w:r>
      <w:r w:rsidR="006B1BFE" w:rsidRPr="002C6BEB">
        <w:rPr>
          <w:sz w:val="24"/>
        </w:rPr>
        <w:t>July 2, 2014 (79 FR 37837)</w:t>
      </w:r>
      <w:r w:rsidR="00490C8C" w:rsidRPr="002C6BEB">
        <w:rPr>
          <w:sz w:val="24"/>
        </w:rPr>
        <w:t>. The agency received three public comments, from LLOG Exploration (DOT-OST-2014-0112-0004), the American Petroleum Institute (API) and the Center for Offshore Safety (COS) (DOT-OST-2014-0112-0003), and the Offshore Operators Committee (OOC) (DOT-OST-2014-0112-0002).</w:t>
      </w:r>
      <w:r w:rsidR="007213BF" w:rsidRPr="002C6BEB">
        <w:rPr>
          <w:sz w:val="24"/>
        </w:rPr>
        <w:t xml:space="preserve"> Comments addressed various topics, including the definition of a near-miss</w:t>
      </w:r>
      <w:r w:rsidR="00094206" w:rsidRPr="002C6BEB">
        <w:rPr>
          <w:sz w:val="24"/>
        </w:rPr>
        <w:t>;</w:t>
      </w:r>
      <w:r w:rsidR="007213BF" w:rsidRPr="002C6BEB">
        <w:rPr>
          <w:sz w:val="24"/>
        </w:rPr>
        <w:t xml:space="preserve"> reporting (i.e., the reporting of conditions, root cause analysis, duplicative reporting, information-sharing, </w:t>
      </w:r>
      <w:proofErr w:type="gramStart"/>
      <w:r w:rsidR="007213BF" w:rsidRPr="002C6BEB">
        <w:rPr>
          <w:sz w:val="24"/>
        </w:rPr>
        <w:t>the</w:t>
      </w:r>
      <w:proofErr w:type="gramEnd"/>
      <w:r w:rsidR="007213BF" w:rsidRPr="002C6BEB">
        <w:rPr>
          <w:sz w:val="24"/>
        </w:rPr>
        <w:t xml:space="preserve"> scope of reporting, and the potential for reporting to multiple systems)</w:t>
      </w:r>
      <w:r w:rsidR="00094206" w:rsidRPr="002C6BEB">
        <w:rPr>
          <w:sz w:val="24"/>
        </w:rPr>
        <w:t xml:space="preserve">; </w:t>
      </w:r>
      <w:r w:rsidR="007213BF" w:rsidRPr="002C6BEB">
        <w:rPr>
          <w:sz w:val="24"/>
        </w:rPr>
        <w:t>estimated number of burden hours</w:t>
      </w:r>
      <w:r w:rsidR="00094206" w:rsidRPr="002C6BEB">
        <w:rPr>
          <w:sz w:val="24"/>
        </w:rPr>
        <w:t>;</w:t>
      </w:r>
      <w:r w:rsidR="007213BF" w:rsidRPr="002C6BEB">
        <w:rPr>
          <w:sz w:val="24"/>
        </w:rPr>
        <w:t xml:space="preserve"> notification of near misses at their respective facilities</w:t>
      </w:r>
      <w:r w:rsidR="00094206" w:rsidRPr="002C6BEB">
        <w:rPr>
          <w:sz w:val="24"/>
        </w:rPr>
        <w:t>;</w:t>
      </w:r>
      <w:r w:rsidR="007213BF" w:rsidRPr="002C6BEB">
        <w:rPr>
          <w:sz w:val="24"/>
        </w:rPr>
        <w:t xml:space="preserve"> </w:t>
      </w:r>
      <w:r w:rsidR="00094206" w:rsidRPr="002C6BEB">
        <w:rPr>
          <w:sz w:val="24"/>
        </w:rPr>
        <w:t xml:space="preserve">program </w:t>
      </w:r>
      <w:r w:rsidR="007213BF" w:rsidRPr="002C6BEB">
        <w:rPr>
          <w:sz w:val="24"/>
        </w:rPr>
        <w:t>evaluation</w:t>
      </w:r>
      <w:r w:rsidR="00094206" w:rsidRPr="002C6BEB">
        <w:rPr>
          <w:sz w:val="24"/>
        </w:rPr>
        <w:t>;</w:t>
      </w:r>
      <w:r w:rsidR="007213BF" w:rsidRPr="002C6BEB">
        <w:rPr>
          <w:sz w:val="24"/>
        </w:rPr>
        <w:t xml:space="preserve"> and intent of the National Commission.</w:t>
      </w:r>
    </w:p>
    <w:p w:rsidR="006B1BFE" w:rsidRPr="002C6BEB" w:rsidRDefault="006B1BFE" w:rsidP="002C6BEB">
      <w:pPr>
        <w:rPr>
          <w:sz w:val="24"/>
        </w:rPr>
      </w:pPr>
    </w:p>
    <w:p w:rsidR="006A02B8" w:rsidRPr="002C6BEB" w:rsidRDefault="008A500B" w:rsidP="002C6BEB">
      <w:pPr>
        <w:rPr>
          <w:sz w:val="24"/>
        </w:rPr>
      </w:pPr>
      <w:r w:rsidRPr="008A500B">
        <w:rPr>
          <w:sz w:val="24"/>
          <w:u w:val="single"/>
        </w:rPr>
        <w:t>D</w:t>
      </w:r>
      <w:r w:rsidR="00305FDA">
        <w:rPr>
          <w:sz w:val="24"/>
          <w:u w:val="single"/>
        </w:rPr>
        <w:t>efinition of a N</w:t>
      </w:r>
      <w:r>
        <w:rPr>
          <w:sz w:val="24"/>
          <w:u w:val="single"/>
        </w:rPr>
        <w:t xml:space="preserve">ear </w:t>
      </w:r>
      <w:r w:rsidR="00305FDA">
        <w:rPr>
          <w:sz w:val="24"/>
          <w:u w:val="single"/>
        </w:rPr>
        <w:t>M</w:t>
      </w:r>
      <w:r w:rsidRPr="008A500B">
        <w:rPr>
          <w:sz w:val="24"/>
          <w:u w:val="single"/>
        </w:rPr>
        <w:t>iss</w:t>
      </w:r>
      <w:r w:rsidR="004F6BAF">
        <w:rPr>
          <w:sz w:val="24"/>
          <w:u w:val="single"/>
        </w:rPr>
        <w:t xml:space="preserve">: </w:t>
      </w:r>
      <w:r w:rsidR="006A02B8" w:rsidRPr="002C6BEB">
        <w:rPr>
          <w:sz w:val="24"/>
        </w:rPr>
        <w:t>All commenters had questions about the definition of a near miss used by BTS. BTS supports using the definition in the notice</w:t>
      </w:r>
      <w:r w:rsidR="00D66471" w:rsidRPr="002C6BEB">
        <w:rPr>
          <w:sz w:val="24"/>
        </w:rPr>
        <w:t>, as it</w:t>
      </w:r>
      <w:r w:rsidR="006A02B8" w:rsidRPr="002C6BEB">
        <w:rPr>
          <w:sz w:val="24"/>
        </w:rPr>
        <w:t xml:space="preserve"> is consistent with the International Maritime Organization’s definition of a near miss and </w:t>
      </w:r>
      <w:r w:rsidR="002009B5">
        <w:rPr>
          <w:sz w:val="24"/>
        </w:rPr>
        <w:t xml:space="preserve">is </w:t>
      </w:r>
      <w:r w:rsidR="006A02B8" w:rsidRPr="002C6BEB">
        <w:rPr>
          <w:sz w:val="24"/>
        </w:rPr>
        <w:t>widely recognized around the world. BTS intends the term to be broadly interpreted, since limiting the meaning may unduly inhibit reporting of events or conditions that</w:t>
      </w:r>
      <w:r w:rsidR="00521BBF" w:rsidRPr="002C6BEB">
        <w:rPr>
          <w:sz w:val="24"/>
        </w:rPr>
        <w:t xml:space="preserve"> </w:t>
      </w:r>
      <w:r w:rsidR="006A02B8" w:rsidRPr="002C6BEB">
        <w:rPr>
          <w:sz w:val="24"/>
        </w:rPr>
        <w:t xml:space="preserve">could contribute to </w:t>
      </w:r>
      <w:r w:rsidR="002009B5">
        <w:rPr>
          <w:sz w:val="24"/>
        </w:rPr>
        <w:t>an</w:t>
      </w:r>
      <w:r w:rsidR="006A02B8" w:rsidRPr="002C6BEB">
        <w:rPr>
          <w:sz w:val="24"/>
        </w:rPr>
        <w:t xml:space="preserve"> </w:t>
      </w:r>
      <w:r w:rsidR="00521BBF" w:rsidRPr="002C6BEB">
        <w:rPr>
          <w:sz w:val="24"/>
        </w:rPr>
        <w:t>understanding</w:t>
      </w:r>
      <w:r w:rsidR="006A02B8" w:rsidRPr="002C6BEB">
        <w:rPr>
          <w:sz w:val="24"/>
        </w:rPr>
        <w:t xml:space="preserve"> of how to prevent and minimize risks.</w:t>
      </w:r>
    </w:p>
    <w:p w:rsidR="00CB497D" w:rsidRPr="002C6BEB" w:rsidRDefault="00CB497D" w:rsidP="002C6BEB">
      <w:pPr>
        <w:rPr>
          <w:sz w:val="24"/>
        </w:rPr>
      </w:pPr>
    </w:p>
    <w:p w:rsidR="00305FDA" w:rsidRDefault="00305FDA" w:rsidP="00836481">
      <w:pPr>
        <w:widowControl/>
        <w:autoSpaceDE/>
        <w:autoSpaceDN/>
        <w:adjustRightInd/>
        <w:rPr>
          <w:color w:val="000000"/>
          <w:sz w:val="24"/>
        </w:rPr>
      </w:pPr>
      <w:proofErr w:type="gramStart"/>
      <w:r w:rsidRPr="004F6BAF">
        <w:rPr>
          <w:color w:val="000000"/>
          <w:sz w:val="24"/>
          <w:u w:val="single"/>
        </w:rPr>
        <w:t>Reporting of conditions</w:t>
      </w:r>
      <w:r>
        <w:rPr>
          <w:color w:val="000000"/>
          <w:sz w:val="24"/>
        </w:rPr>
        <w:t>: T</w:t>
      </w:r>
      <w:r w:rsidR="00CB497D" w:rsidRPr="00CB497D">
        <w:rPr>
          <w:color w:val="000000"/>
          <w:sz w:val="24"/>
        </w:rPr>
        <w:t xml:space="preserve">wo commenters </w:t>
      </w:r>
      <w:r w:rsidR="006C5C37">
        <w:rPr>
          <w:color w:val="000000"/>
          <w:sz w:val="24"/>
        </w:rPr>
        <w:t>disagreed</w:t>
      </w:r>
      <w:r w:rsidR="00C3316A">
        <w:rPr>
          <w:color w:val="000000"/>
          <w:sz w:val="24"/>
        </w:rPr>
        <w:t xml:space="preserve"> with BTS</w:t>
      </w:r>
      <w:r w:rsidR="00CB497D" w:rsidRPr="00CB497D">
        <w:rPr>
          <w:color w:val="000000"/>
          <w:sz w:val="24"/>
        </w:rPr>
        <w:t xml:space="preserve"> that any hazard could be deemed a </w:t>
      </w:r>
      <w:r w:rsidR="006C5C37">
        <w:rPr>
          <w:color w:val="000000"/>
          <w:sz w:val="24"/>
        </w:rPr>
        <w:t>“</w:t>
      </w:r>
      <w:r w:rsidR="00CB497D" w:rsidRPr="00CB497D">
        <w:rPr>
          <w:color w:val="000000"/>
          <w:sz w:val="24"/>
        </w:rPr>
        <w:t>condition</w:t>
      </w:r>
      <w:r w:rsidR="006C5C37">
        <w:rPr>
          <w:color w:val="000000"/>
          <w:sz w:val="24"/>
        </w:rPr>
        <w:t>”</w:t>
      </w:r>
      <w:r w:rsidR="00CB497D" w:rsidRPr="00CB497D">
        <w:rPr>
          <w:color w:val="000000"/>
          <w:sz w:val="24"/>
        </w:rPr>
        <w:t xml:space="preserve"> and </w:t>
      </w:r>
      <w:r w:rsidR="006C5C37">
        <w:rPr>
          <w:color w:val="000000"/>
          <w:sz w:val="24"/>
        </w:rPr>
        <w:t xml:space="preserve">thus </w:t>
      </w:r>
      <w:r w:rsidR="00CB497D" w:rsidRPr="00CB497D">
        <w:rPr>
          <w:color w:val="000000"/>
          <w:sz w:val="24"/>
        </w:rPr>
        <w:t>reported as a near miss.</w:t>
      </w:r>
      <w:proofErr w:type="gramEnd"/>
      <w:r w:rsidR="00CB497D" w:rsidRPr="00CB497D">
        <w:rPr>
          <w:color w:val="000000"/>
          <w:sz w:val="24"/>
        </w:rPr>
        <w:t xml:space="preserve"> </w:t>
      </w:r>
      <w:r w:rsidR="00287130">
        <w:rPr>
          <w:color w:val="000000"/>
          <w:sz w:val="24"/>
        </w:rPr>
        <w:t>BTS’</w:t>
      </w:r>
      <w:r w:rsidR="00CB497D" w:rsidRPr="00CB497D">
        <w:rPr>
          <w:color w:val="000000"/>
          <w:sz w:val="24"/>
        </w:rPr>
        <w:t xml:space="preserve">s experience with </w:t>
      </w:r>
      <w:r w:rsidR="007A53D9">
        <w:rPr>
          <w:color w:val="000000"/>
          <w:sz w:val="24"/>
        </w:rPr>
        <w:t xml:space="preserve">other </w:t>
      </w:r>
      <w:r w:rsidR="00C3316A">
        <w:rPr>
          <w:color w:val="000000"/>
          <w:sz w:val="24"/>
        </w:rPr>
        <w:t xml:space="preserve">near miss </w:t>
      </w:r>
      <w:r w:rsidR="00CB497D" w:rsidRPr="00CB497D">
        <w:rPr>
          <w:color w:val="000000"/>
          <w:sz w:val="24"/>
        </w:rPr>
        <w:t xml:space="preserve">programs indicates that the </w:t>
      </w:r>
      <w:r w:rsidR="00542E09">
        <w:rPr>
          <w:color w:val="000000"/>
          <w:sz w:val="24"/>
        </w:rPr>
        <w:t xml:space="preserve">reporting of </w:t>
      </w:r>
      <w:r w:rsidR="00CB497D" w:rsidRPr="00CB497D">
        <w:rPr>
          <w:color w:val="000000"/>
          <w:sz w:val="24"/>
        </w:rPr>
        <w:t xml:space="preserve">conditions </w:t>
      </w:r>
      <w:r w:rsidR="00C3316A">
        <w:rPr>
          <w:color w:val="000000"/>
          <w:sz w:val="24"/>
        </w:rPr>
        <w:t>often provides</w:t>
      </w:r>
      <w:r w:rsidR="00CB497D" w:rsidRPr="00CB497D">
        <w:rPr>
          <w:color w:val="000000"/>
          <w:sz w:val="24"/>
        </w:rPr>
        <w:t xml:space="preserve"> valuable</w:t>
      </w:r>
      <w:r w:rsidR="00C3316A">
        <w:rPr>
          <w:color w:val="000000"/>
          <w:sz w:val="24"/>
        </w:rPr>
        <w:t xml:space="preserve"> information</w:t>
      </w:r>
      <w:r w:rsidR="00CB497D" w:rsidRPr="00CB497D">
        <w:rPr>
          <w:color w:val="000000"/>
          <w:sz w:val="24"/>
        </w:rPr>
        <w:t xml:space="preserve"> to proper causal analysis</w:t>
      </w:r>
      <w:r w:rsidR="000D66B3">
        <w:rPr>
          <w:color w:val="000000"/>
          <w:sz w:val="24"/>
        </w:rPr>
        <w:t>;</w:t>
      </w:r>
      <w:r w:rsidR="00542E09">
        <w:rPr>
          <w:color w:val="000000"/>
          <w:sz w:val="24"/>
        </w:rPr>
        <w:t xml:space="preserve"> by</w:t>
      </w:r>
      <w:r w:rsidR="00CB497D" w:rsidRPr="00CB497D">
        <w:rPr>
          <w:color w:val="000000"/>
          <w:sz w:val="24"/>
        </w:rPr>
        <w:t xml:space="preserve"> learning more about potentially unsafe conditions, </w:t>
      </w:r>
      <w:r w:rsidR="00542E09">
        <w:rPr>
          <w:color w:val="000000"/>
          <w:sz w:val="24"/>
        </w:rPr>
        <w:t>stakeholders</w:t>
      </w:r>
      <w:r w:rsidR="00CB497D" w:rsidRPr="00CB497D">
        <w:rPr>
          <w:color w:val="000000"/>
          <w:sz w:val="24"/>
        </w:rPr>
        <w:t xml:space="preserve"> will be better able to identify hazards</w:t>
      </w:r>
      <w:r w:rsidR="007A53D9">
        <w:rPr>
          <w:color w:val="000000"/>
          <w:sz w:val="24"/>
        </w:rPr>
        <w:t xml:space="preserve"> and </w:t>
      </w:r>
      <w:r w:rsidR="00CB497D" w:rsidRPr="00CB497D">
        <w:rPr>
          <w:color w:val="000000"/>
          <w:sz w:val="24"/>
        </w:rPr>
        <w:t xml:space="preserve">reduce risks on the OCS.  </w:t>
      </w:r>
    </w:p>
    <w:p w:rsidR="00305FDA" w:rsidRDefault="00305FDA" w:rsidP="00836481">
      <w:pPr>
        <w:widowControl/>
        <w:autoSpaceDE/>
        <w:autoSpaceDN/>
        <w:adjustRightInd/>
        <w:rPr>
          <w:color w:val="000000"/>
          <w:sz w:val="24"/>
        </w:rPr>
      </w:pPr>
    </w:p>
    <w:p w:rsidR="00BC014F" w:rsidRDefault="00305FDA" w:rsidP="00836481">
      <w:pPr>
        <w:widowControl/>
        <w:autoSpaceDE/>
        <w:autoSpaceDN/>
        <w:adjustRightInd/>
        <w:rPr>
          <w:color w:val="000000"/>
          <w:sz w:val="24"/>
        </w:rPr>
      </w:pPr>
      <w:r w:rsidRPr="004F6BAF">
        <w:rPr>
          <w:color w:val="000000"/>
          <w:sz w:val="24"/>
          <w:u w:val="single"/>
        </w:rPr>
        <w:t>Root cause analysis</w:t>
      </w:r>
      <w:r>
        <w:rPr>
          <w:color w:val="000000"/>
          <w:sz w:val="24"/>
        </w:rPr>
        <w:t xml:space="preserve">: </w:t>
      </w:r>
      <w:r w:rsidR="00BC014F">
        <w:rPr>
          <w:color w:val="000000"/>
          <w:sz w:val="24"/>
        </w:rPr>
        <w:t>All</w:t>
      </w:r>
      <w:r w:rsidR="00CB497D" w:rsidRPr="00CB497D">
        <w:rPr>
          <w:color w:val="000000"/>
          <w:sz w:val="24"/>
        </w:rPr>
        <w:t xml:space="preserve"> commenters sought additional information on the root cause analysis and methodology</w:t>
      </w:r>
      <w:r w:rsidR="00D92D83">
        <w:rPr>
          <w:color w:val="000000"/>
          <w:sz w:val="24"/>
        </w:rPr>
        <w:t>,</w:t>
      </w:r>
      <w:r w:rsidR="00836481">
        <w:rPr>
          <w:color w:val="000000"/>
          <w:sz w:val="24"/>
        </w:rPr>
        <w:t xml:space="preserve"> and one</w:t>
      </w:r>
      <w:r w:rsidR="00CB497D" w:rsidRPr="00CB497D">
        <w:rPr>
          <w:color w:val="000000"/>
          <w:sz w:val="24"/>
        </w:rPr>
        <w:t xml:space="preserve"> commenter had questions about the experience of individuals analyzing the near miss reports. </w:t>
      </w:r>
      <w:r w:rsidR="002A2D47" w:rsidRPr="002A2D47">
        <w:rPr>
          <w:color w:val="000000"/>
          <w:sz w:val="24"/>
        </w:rPr>
        <w:t xml:space="preserve"> </w:t>
      </w:r>
      <w:r w:rsidR="002A2D47" w:rsidRPr="00CB497D">
        <w:rPr>
          <w:color w:val="000000"/>
          <w:sz w:val="24"/>
        </w:rPr>
        <w:t>BTS expects to use well-established causal analysis procedures similar to those widely used by industry and others.</w:t>
      </w:r>
      <w:r w:rsidR="004C0DB8">
        <w:rPr>
          <w:color w:val="000000"/>
          <w:sz w:val="24"/>
        </w:rPr>
        <w:t xml:space="preserve">  </w:t>
      </w:r>
      <w:r w:rsidR="000D66B3">
        <w:rPr>
          <w:color w:val="000000"/>
          <w:sz w:val="24"/>
        </w:rPr>
        <w:t>In addition</w:t>
      </w:r>
      <w:r w:rsidR="004C0DB8">
        <w:rPr>
          <w:color w:val="000000"/>
          <w:sz w:val="24"/>
        </w:rPr>
        <w:t xml:space="preserve">, </w:t>
      </w:r>
      <w:r w:rsidR="00CB497D" w:rsidRPr="00CB497D">
        <w:rPr>
          <w:color w:val="000000"/>
          <w:sz w:val="24"/>
        </w:rPr>
        <w:t xml:space="preserve">BTS agrees that causal analysis </w:t>
      </w:r>
      <w:r w:rsidR="00CB497D" w:rsidRPr="00CB497D">
        <w:rPr>
          <w:color w:val="000000"/>
          <w:sz w:val="24"/>
        </w:rPr>
        <w:lastRenderedPageBreak/>
        <w:t>should be conducted by experienced personnel</w:t>
      </w:r>
      <w:r w:rsidR="008C4919">
        <w:rPr>
          <w:color w:val="000000"/>
          <w:sz w:val="24"/>
        </w:rPr>
        <w:t xml:space="preserve"> and</w:t>
      </w:r>
      <w:r w:rsidR="00CB497D" w:rsidRPr="00CB497D">
        <w:rPr>
          <w:color w:val="000000"/>
          <w:sz w:val="24"/>
        </w:rPr>
        <w:t xml:space="preserve"> intends to employ subject matter experts (SMEs) in oil and gas operations to </w:t>
      </w:r>
      <w:r w:rsidR="004E35F8">
        <w:rPr>
          <w:color w:val="000000"/>
          <w:sz w:val="24"/>
        </w:rPr>
        <w:t>assist with this analysis</w:t>
      </w:r>
      <w:r w:rsidR="00BC014F">
        <w:rPr>
          <w:color w:val="000000"/>
          <w:sz w:val="24"/>
        </w:rPr>
        <w:t xml:space="preserve"> and conduct follow-up interviews with employees reporting near miss events</w:t>
      </w:r>
      <w:r w:rsidR="00CB497D" w:rsidRPr="00CB497D">
        <w:rPr>
          <w:color w:val="000000"/>
          <w:sz w:val="24"/>
        </w:rPr>
        <w:t xml:space="preserve">.  </w:t>
      </w:r>
    </w:p>
    <w:p w:rsidR="00BC014F" w:rsidRDefault="00BC014F" w:rsidP="00836481">
      <w:pPr>
        <w:widowControl/>
        <w:autoSpaceDE/>
        <w:autoSpaceDN/>
        <w:adjustRightInd/>
        <w:rPr>
          <w:color w:val="000000"/>
          <w:sz w:val="24"/>
        </w:rPr>
      </w:pPr>
    </w:p>
    <w:p w:rsidR="00CB497D" w:rsidRDefault="002A781F" w:rsidP="00836481">
      <w:pPr>
        <w:widowControl/>
        <w:autoSpaceDE/>
        <w:autoSpaceDN/>
        <w:adjustRightInd/>
        <w:rPr>
          <w:color w:val="000000"/>
          <w:sz w:val="24"/>
        </w:rPr>
      </w:pPr>
      <w:r w:rsidRPr="004F6BAF">
        <w:rPr>
          <w:color w:val="000000"/>
          <w:sz w:val="24"/>
          <w:u w:val="single"/>
        </w:rPr>
        <w:t>D</w:t>
      </w:r>
      <w:r w:rsidR="00836481" w:rsidRPr="004F6BAF">
        <w:rPr>
          <w:color w:val="000000"/>
          <w:sz w:val="24"/>
          <w:u w:val="single"/>
        </w:rPr>
        <w:t>uplicative reporting</w:t>
      </w:r>
      <w:r w:rsidR="00BC014F" w:rsidRPr="004F6BAF">
        <w:rPr>
          <w:color w:val="000000"/>
          <w:sz w:val="24"/>
          <w:u w:val="single"/>
        </w:rPr>
        <w:t>:</w:t>
      </w:r>
      <w:r w:rsidR="00BC014F">
        <w:rPr>
          <w:color w:val="000000"/>
          <w:sz w:val="24"/>
        </w:rPr>
        <w:t xml:space="preserve"> T</w:t>
      </w:r>
      <w:r w:rsidR="00836481">
        <w:rPr>
          <w:rFonts w:eastAsia="Calibri"/>
          <w:sz w:val="24"/>
        </w:rPr>
        <w:t>wo</w:t>
      </w:r>
      <w:r w:rsidR="00CB497D" w:rsidRPr="00CB497D">
        <w:rPr>
          <w:color w:val="000000"/>
          <w:sz w:val="24"/>
        </w:rPr>
        <w:t xml:space="preserve"> commenters sought information on how </w:t>
      </w:r>
      <w:r w:rsidR="004E35F8">
        <w:rPr>
          <w:color w:val="000000"/>
          <w:sz w:val="24"/>
        </w:rPr>
        <w:t xml:space="preserve">BTS would handle </w:t>
      </w:r>
      <w:r w:rsidR="00CB497D" w:rsidRPr="00CB497D">
        <w:rPr>
          <w:color w:val="000000"/>
          <w:sz w:val="24"/>
        </w:rPr>
        <w:t>multiple reports for the same near miss event. BTS has experience</w:t>
      </w:r>
      <w:r w:rsidR="00FA5123">
        <w:rPr>
          <w:color w:val="000000"/>
          <w:sz w:val="24"/>
        </w:rPr>
        <w:t xml:space="preserve"> </w:t>
      </w:r>
      <w:r w:rsidR="00CB497D" w:rsidRPr="00CB497D">
        <w:rPr>
          <w:color w:val="000000"/>
          <w:sz w:val="24"/>
        </w:rPr>
        <w:t>with identifying duplic</w:t>
      </w:r>
      <w:r w:rsidR="00FA5123">
        <w:rPr>
          <w:color w:val="000000"/>
          <w:sz w:val="24"/>
        </w:rPr>
        <w:t>ate reports for the same event (</w:t>
      </w:r>
      <w:r w:rsidR="00CB497D" w:rsidRPr="00CB497D">
        <w:rPr>
          <w:color w:val="000000"/>
          <w:sz w:val="24"/>
        </w:rPr>
        <w:t xml:space="preserve">e.g., </w:t>
      </w:r>
      <w:r w:rsidR="00FA5123">
        <w:rPr>
          <w:color w:val="000000"/>
          <w:sz w:val="24"/>
        </w:rPr>
        <w:t>by</w:t>
      </w:r>
      <w:r w:rsidR="00CB497D" w:rsidRPr="00CB497D">
        <w:rPr>
          <w:color w:val="000000"/>
          <w:sz w:val="24"/>
        </w:rPr>
        <w:t xml:space="preserve"> comparing event location, description, time, and other factors</w:t>
      </w:r>
      <w:r w:rsidR="008970D7">
        <w:rPr>
          <w:color w:val="000000"/>
          <w:sz w:val="24"/>
        </w:rPr>
        <w:t xml:space="preserve">) and also expects that </w:t>
      </w:r>
      <w:r w:rsidR="00CB497D" w:rsidRPr="00CB497D">
        <w:rPr>
          <w:color w:val="000000"/>
          <w:sz w:val="24"/>
        </w:rPr>
        <w:t xml:space="preserve">follow-up of near miss reports by experienced SMEs will help identify </w:t>
      </w:r>
      <w:r>
        <w:rPr>
          <w:color w:val="000000"/>
          <w:sz w:val="24"/>
        </w:rPr>
        <w:t xml:space="preserve">such </w:t>
      </w:r>
      <w:r w:rsidR="00CB497D" w:rsidRPr="00CB497D">
        <w:rPr>
          <w:color w:val="000000"/>
          <w:sz w:val="24"/>
        </w:rPr>
        <w:t>reports.  However, occasional multiple reports to BTS of a single near miss event by more than one source is not necessarily a problem</w:t>
      </w:r>
      <w:r w:rsidR="00807FBB">
        <w:rPr>
          <w:color w:val="000000"/>
          <w:sz w:val="24"/>
        </w:rPr>
        <w:t>;</w:t>
      </w:r>
      <w:r w:rsidR="00363589">
        <w:rPr>
          <w:color w:val="000000"/>
          <w:sz w:val="24"/>
        </w:rPr>
        <w:t xml:space="preserve"> such r</w:t>
      </w:r>
      <w:r w:rsidR="00CB497D" w:rsidRPr="00CB497D">
        <w:rPr>
          <w:color w:val="000000"/>
          <w:sz w:val="24"/>
        </w:rPr>
        <w:t xml:space="preserve">eports can provide different and useful perspectives, and thus may help BTS obtain a more complete picture of </w:t>
      </w:r>
      <w:r w:rsidR="0000463D">
        <w:rPr>
          <w:color w:val="000000"/>
          <w:sz w:val="24"/>
        </w:rPr>
        <w:t>an</w:t>
      </w:r>
      <w:r w:rsidR="00CB497D" w:rsidRPr="00CB497D">
        <w:rPr>
          <w:color w:val="000000"/>
          <w:sz w:val="24"/>
        </w:rPr>
        <w:t xml:space="preserve"> event.  </w:t>
      </w:r>
    </w:p>
    <w:p w:rsidR="0000463D" w:rsidRDefault="0000463D" w:rsidP="00836481">
      <w:pPr>
        <w:widowControl/>
        <w:autoSpaceDE/>
        <w:autoSpaceDN/>
        <w:adjustRightInd/>
        <w:rPr>
          <w:color w:val="000000"/>
          <w:sz w:val="24"/>
        </w:rPr>
      </w:pPr>
    </w:p>
    <w:p w:rsidR="00CB497D" w:rsidRDefault="0000463D" w:rsidP="0000463D">
      <w:pPr>
        <w:widowControl/>
        <w:autoSpaceDE/>
        <w:autoSpaceDN/>
        <w:adjustRightInd/>
        <w:spacing w:after="200"/>
        <w:contextualSpacing/>
        <w:rPr>
          <w:color w:val="000000"/>
          <w:sz w:val="24"/>
        </w:rPr>
      </w:pPr>
      <w:r w:rsidRPr="004F6BAF">
        <w:rPr>
          <w:rFonts w:eastAsia="Calibri"/>
          <w:sz w:val="24"/>
          <w:u w:val="single"/>
        </w:rPr>
        <w:t>Inform</w:t>
      </w:r>
      <w:r w:rsidR="00CB497D" w:rsidRPr="004F6BAF">
        <w:rPr>
          <w:rFonts w:eastAsia="Calibri"/>
          <w:sz w:val="24"/>
          <w:u w:val="single"/>
        </w:rPr>
        <w:t>ation-sharing</w:t>
      </w:r>
      <w:r w:rsidR="0092111D">
        <w:rPr>
          <w:rFonts w:eastAsia="Calibri"/>
          <w:sz w:val="24"/>
        </w:rPr>
        <w:t>:</w:t>
      </w:r>
      <w:r>
        <w:rPr>
          <w:rFonts w:eastAsia="Calibri"/>
          <w:sz w:val="24"/>
        </w:rPr>
        <w:t xml:space="preserve"> </w:t>
      </w:r>
      <w:r w:rsidR="00CB497D" w:rsidRPr="00CB497D">
        <w:rPr>
          <w:color w:val="000000"/>
          <w:sz w:val="24"/>
        </w:rPr>
        <w:t xml:space="preserve">One </w:t>
      </w:r>
      <w:r>
        <w:rPr>
          <w:color w:val="000000"/>
          <w:sz w:val="24"/>
        </w:rPr>
        <w:t>commenter</w:t>
      </w:r>
      <w:r w:rsidR="00CB497D" w:rsidRPr="00CB497D">
        <w:rPr>
          <w:color w:val="000000"/>
          <w:sz w:val="24"/>
        </w:rPr>
        <w:t xml:space="preserve"> expressed concern over how long it might take for a hazard to go uncorrected. If BTS receives a near miss report that indicates a hazard or condition that poses an imminent risk, BTS will take action, consistent with CIPSEA, to share that information with an affected facility or facilities, or with the industry as a whole, as quickly as possible. Under CIPSEA, BTS may disclose such reported information</w:t>
      </w:r>
      <w:r w:rsidR="0028392E">
        <w:rPr>
          <w:color w:val="000000"/>
          <w:sz w:val="24"/>
        </w:rPr>
        <w:t xml:space="preserve"> </w:t>
      </w:r>
      <w:r w:rsidR="00CB497D" w:rsidRPr="00CB497D">
        <w:rPr>
          <w:color w:val="000000"/>
          <w:sz w:val="24"/>
        </w:rPr>
        <w:t>if the reporter consents</w:t>
      </w:r>
      <w:r w:rsidR="00C30E04">
        <w:rPr>
          <w:color w:val="000000"/>
          <w:sz w:val="24"/>
        </w:rPr>
        <w:t>;</w:t>
      </w:r>
      <w:r w:rsidR="00CB497D" w:rsidRPr="00CB497D">
        <w:rPr>
          <w:color w:val="000000"/>
          <w:sz w:val="24"/>
        </w:rPr>
        <w:t xml:space="preserve"> in cases</w:t>
      </w:r>
      <w:r w:rsidR="003209DD">
        <w:rPr>
          <w:color w:val="000000"/>
          <w:sz w:val="24"/>
        </w:rPr>
        <w:t xml:space="preserve"> of</w:t>
      </w:r>
      <w:r w:rsidR="00CB497D" w:rsidRPr="00CB497D">
        <w:rPr>
          <w:color w:val="000000"/>
          <w:sz w:val="24"/>
        </w:rPr>
        <w:t xml:space="preserve"> potentially imminent risks, BTS could seek such consent expeditiously. </w:t>
      </w:r>
      <w:r w:rsidR="00C30E04">
        <w:rPr>
          <w:color w:val="000000"/>
          <w:sz w:val="24"/>
        </w:rPr>
        <w:t xml:space="preserve"> </w:t>
      </w:r>
      <w:r w:rsidR="007C138C">
        <w:rPr>
          <w:color w:val="000000"/>
          <w:sz w:val="24"/>
        </w:rPr>
        <w:t>S</w:t>
      </w:r>
      <w:r w:rsidR="00C30E04">
        <w:rPr>
          <w:color w:val="000000"/>
          <w:sz w:val="24"/>
        </w:rPr>
        <w:t>hould</w:t>
      </w:r>
      <w:r w:rsidR="00CB497D" w:rsidRPr="00CB497D">
        <w:rPr>
          <w:color w:val="000000"/>
          <w:sz w:val="24"/>
        </w:rPr>
        <w:t xml:space="preserve"> a reporter not consent to share information, BTS may be able to aggregate </w:t>
      </w:r>
      <w:r w:rsidR="007C138C">
        <w:rPr>
          <w:color w:val="000000"/>
          <w:sz w:val="24"/>
        </w:rPr>
        <w:t xml:space="preserve">the </w:t>
      </w:r>
      <w:r w:rsidR="00CB497D" w:rsidRPr="00CB497D">
        <w:rPr>
          <w:color w:val="000000"/>
          <w:sz w:val="24"/>
        </w:rPr>
        <w:t>data in a way that protects anonymity and confidentiali</w:t>
      </w:r>
      <w:r w:rsidR="00DF633D">
        <w:rPr>
          <w:color w:val="000000"/>
          <w:sz w:val="24"/>
        </w:rPr>
        <w:t>ty</w:t>
      </w:r>
      <w:r w:rsidR="0092111D">
        <w:rPr>
          <w:color w:val="000000"/>
          <w:sz w:val="24"/>
        </w:rPr>
        <w:t xml:space="preserve"> </w:t>
      </w:r>
      <w:r w:rsidR="00CB497D" w:rsidRPr="00CB497D">
        <w:rPr>
          <w:color w:val="000000"/>
          <w:sz w:val="24"/>
        </w:rPr>
        <w:t xml:space="preserve">but still allows BTS to share information about the potential risks in near real time.  </w:t>
      </w:r>
    </w:p>
    <w:p w:rsidR="00F05326" w:rsidRPr="00CB497D" w:rsidRDefault="00F05326" w:rsidP="0000463D">
      <w:pPr>
        <w:widowControl/>
        <w:autoSpaceDE/>
        <w:autoSpaceDN/>
        <w:adjustRightInd/>
        <w:spacing w:after="200"/>
        <w:contextualSpacing/>
        <w:rPr>
          <w:rFonts w:eastAsia="Calibri"/>
          <w:sz w:val="24"/>
        </w:rPr>
      </w:pPr>
    </w:p>
    <w:p w:rsidR="00CB497D" w:rsidRPr="00FB2B49" w:rsidRDefault="00CB497D" w:rsidP="008E19F1">
      <w:pPr>
        <w:widowControl/>
        <w:autoSpaceDE/>
        <w:autoSpaceDN/>
        <w:adjustRightInd/>
        <w:spacing w:after="200"/>
        <w:contextualSpacing/>
        <w:rPr>
          <w:color w:val="000000"/>
          <w:sz w:val="24"/>
        </w:rPr>
      </w:pPr>
      <w:r w:rsidRPr="004F6BAF">
        <w:rPr>
          <w:rFonts w:eastAsia="Calibri"/>
          <w:sz w:val="24"/>
          <w:u w:val="single"/>
        </w:rPr>
        <w:t xml:space="preserve">Scope of </w:t>
      </w:r>
      <w:r w:rsidR="0092111D" w:rsidRPr="004F6BAF">
        <w:rPr>
          <w:rFonts w:eastAsia="Calibri"/>
          <w:sz w:val="24"/>
          <w:u w:val="single"/>
        </w:rPr>
        <w:t>reporting:</w:t>
      </w:r>
      <w:r w:rsidR="00616E53">
        <w:rPr>
          <w:rFonts w:eastAsia="Calibri"/>
          <w:sz w:val="24"/>
        </w:rPr>
        <w:t xml:space="preserve"> </w:t>
      </w:r>
      <w:r w:rsidR="00DF633D">
        <w:rPr>
          <w:color w:val="000000"/>
          <w:sz w:val="24"/>
        </w:rPr>
        <w:t>C</w:t>
      </w:r>
      <w:r w:rsidRPr="00CB497D">
        <w:rPr>
          <w:color w:val="000000"/>
          <w:sz w:val="24"/>
        </w:rPr>
        <w:t xml:space="preserve">ommenters had questions about the scope of reporting and advocated company </w:t>
      </w:r>
      <w:r w:rsidR="00FB2B49">
        <w:rPr>
          <w:color w:val="000000"/>
          <w:sz w:val="24"/>
        </w:rPr>
        <w:t xml:space="preserve">rather than employee </w:t>
      </w:r>
      <w:r w:rsidRPr="00CB497D">
        <w:rPr>
          <w:color w:val="000000"/>
          <w:sz w:val="24"/>
        </w:rPr>
        <w:t xml:space="preserve">reporting. </w:t>
      </w:r>
      <w:r w:rsidR="00D34760" w:rsidRPr="00CB497D">
        <w:rPr>
          <w:color w:val="000000"/>
          <w:sz w:val="24"/>
        </w:rPr>
        <w:t xml:space="preserve">The near misses reported to company or other industry </w:t>
      </w:r>
      <w:r w:rsidR="009E588E">
        <w:rPr>
          <w:color w:val="000000"/>
          <w:sz w:val="24"/>
        </w:rPr>
        <w:t xml:space="preserve">reporting </w:t>
      </w:r>
      <w:r w:rsidR="00D34760" w:rsidRPr="00CB497D">
        <w:rPr>
          <w:color w:val="000000"/>
          <w:sz w:val="24"/>
        </w:rPr>
        <w:t>systems undoubtedly provide important safety information to the</w:t>
      </w:r>
      <w:r w:rsidR="007E7734">
        <w:rPr>
          <w:color w:val="000000"/>
          <w:sz w:val="24"/>
        </w:rPr>
        <w:t>se</w:t>
      </w:r>
      <w:r w:rsidR="00D34760" w:rsidRPr="00CB497D">
        <w:rPr>
          <w:color w:val="000000"/>
          <w:sz w:val="24"/>
        </w:rPr>
        <w:t xml:space="preserve"> companies and could </w:t>
      </w:r>
      <w:r w:rsidR="009E588E">
        <w:rPr>
          <w:color w:val="000000"/>
          <w:sz w:val="24"/>
        </w:rPr>
        <w:t>afford</w:t>
      </w:r>
      <w:r w:rsidR="00D34760" w:rsidRPr="00CB497D">
        <w:rPr>
          <w:color w:val="000000"/>
          <w:sz w:val="24"/>
        </w:rPr>
        <w:t xml:space="preserve"> valuable information to the industry, government, and public, if shared.  BTS looks forward to discussing with </w:t>
      </w:r>
      <w:r w:rsidR="00D34760">
        <w:rPr>
          <w:color w:val="000000"/>
          <w:sz w:val="24"/>
        </w:rPr>
        <w:t xml:space="preserve">companies and </w:t>
      </w:r>
      <w:r w:rsidR="00D34760" w:rsidRPr="00CB497D">
        <w:rPr>
          <w:color w:val="000000"/>
          <w:sz w:val="24"/>
        </w:rPr>
        <w:t>industry groups their</w:t>
      </w:r>
      <w:r w:rsidR="00D34760">
        <w:rPr>
          <w:color w:val="000000"/>
          <w:sz w:val="24"/>
        </w:rPr>
        <w:t xml:space="preserve"> potential participation in the</w:t>
      </w:r>
      <w:r w:rsidR="00D34760" w:rsidRPr="00CB497D">
        <w:rPr>
          <w:color w:val="000000"/>
          <w:sz w:val="24"/>
        </w:rPr>
        <w:t xml:space="preserve"> near miss reporting system.</w:t>
      </w:r>
      <w:r w:rsidR="00D34760">
        <w:rPr>
          <w:color w:val="000000"/>
          <w:sz w:val="24"/>
        </w:rPr>
        <w:t xml:space="preserve">  However, w</w:t>
      </w:r>
      <w:r w:rsidR="00CD1916">
        <w:rPr>
          <w:color w:val="000000"/>
          <w:sz w:val="24"/>
        </w:rPr>
        <w:t xml:space="preserve">hile </w:t>
      </w:r>
      <w:r w:rsidRPr="00CB497D">
        <w:rPr>
          <w:color w:val="000000"/>
          <w:sz w:val="24"/>
        </w:rPr>
        <w:t xml:space="preserve">BTS recognizes </w:t>
      </w:r>
      <w:r w:rsidR="004E7761">
        <w:rPr>
          <w:color w:val="000000"/>
          <w:sz w:val="24"/>
        </w:rPr>
        <w:t xml:space="preserve">the potential value of </w:t>
      </w:r>
      <w:r w:rsidR="007E7734">
        <w:rPr>
          <w:color w:val="000000"/>
          <w:sz w:val="24"/>
        </w:rPr>
        <w:t xml:space="preserve">individual companies’ </w:t>
      </w:r>
      <w:r w:rsidR="004E7761">
        <w:rPr>
          <w:color w:val="000000"/>
          <w:sz w:val="24"/>
        </w:rPr>
        <w:t xml:space="preserve">near </w:t>
      </w:r>
      <w:r w:rsidRPr="00CB497D">
        <w:rPr>
          <w:color w:val="000000"/>
          <w:sz w:val="24"/>
        </w:rPr>
        <w:t>miss reporting systems</w:t>
      </w:r>
      <w:r w:rsidR="00CD1916">
        <w:rPr>
          <w:color w:val="000000"/>
          <w:sz w:val="24"/>
        </w:rPr>
        <w:t xml:space="preserve">, </w:t>
      </w:r>
      <w:r w:rsidRPr="00CB497D">
        <w:rPr>
          <w:color w:val="000000"/>
          <w:sz w:val="24"/>
        </w:rPr>
        <w:t xml:space="preserve">BTS does not agree that </w:t>
      </w:r>
      <w:r w:rsidR="002F02AE">
        <w:rPr>
          <w:color w:val="000000"/>
          <w:sz w:val="24"/>
        </w:rPr>
        <w:t>a near miss</w:t>
      </w:r>
      <w:r w:rsidRPr="00CB497D">
        <w:rPr>
          <w:color w:val="000000"/>
          <w:sz w:val="24"/>
        </w:rPr>
        <w:t xml:space="preserve"> reporting </w:t>
      </w:r>
      <w:r w:rsidR="003A794B">
        <w:rPr>
          <w:color w:val="000000"/>
          <w:sz w:val="24"/>
        </w:rPr>
        <w:t>system</w:t>
      </w:r>
      <w:r w:rsidRPr="00CB497D">
        <w:rPr>
          <w:color w:val="000000"/>
          <w:sz w:val="24"/>
        </w:rPr>
        <w:t xml:space="preserve"> should be limited to participation by </w:t>
      </w:r>
      <w:r w:rsidR="002F02AE">
        <w:rPr>
          <w:color w:val="000000"/>
          <w:sz w:val="24"/>
        </w:rPr>
        <w:t xml:space="preserve">specific </w:t>
      </w:r>
      <w:r w:rsidR="004F6BAF">
        <w:rPr>
          <w:color w:val="000000"/>
          <w:sz w:val="24"/>
        </w:rPr>
        <w:t>companies</w:t>
      </w:r>
      <w:r w:rsidRPr="00CB497D">
        <w:rPr>
          <w:color w:val="000000"/>
          <w:sz w:val="24"/>
        </w:rPr>
        <w:t xml:space="preserve">. </w:t>
      </w:r>
      <w:r w:rsidR="00A654EA">
        <w:rPr>
          <w:color w:val="000000"/>
          <w:sz w:val="24"/>
        </w:rPr>
        <w:t>T</w:t>
      </w:r>
      <w:r w:rsidR="00D34760">
        <w:rPr>
          <w:color w:val="000000"/>
          <w:sz w:val="24"/>
        </w:rPr>
        <w:t xml:space="preserve">he </w:t>
      </w:r>
      <w:proofErr w:type="spellStart"/>
      <w:r w:rsidR="004F6BAF">
        <w:rPr>
          <w:color w:val="000000"/>
          <w:sz w:val="24"/>
        </w:rPr>
        <w:t>SafeOCS</w:t>
      </w:r>
      <w:proofErr w:type="spellEnd"/>
      <w:r w:rsidR="00D34760">
        <w:rPr>
          <w:color w:val="000000"/>
          <w:sz w:val="24"/>
        </w:rPr>
        <w:t xml:space="preserve"> reporting system </w:t>
      </w:r>
      <w:r w:rsidRPr="00CB497D">
        <w:rPr>
          <w:color w:val="000000"/>
          <w:sz w:val="24"/>
        </w:rPr>
        <w:t>provides strict protection</w:t>
      </w:r>
      <w:r w:rsidR="00CD1916">
        <w:rPr>
          <w:color w:val="000000"/>
          <w:sz w:val="24"/>
        </w:rPr>
        <w:t xml:space="preserve"> </w:t>
      </w:r>
      <w:r w:rsidRPr="00CB497D">
        <w:rPr>
          <w:color w:val="000000"/>
          <w:sz w:val="24"/>
        </w:rPr>
        <w:t xml:space="preserve">of reporters’ identities and </w:t>
      </w:r>
      <w:r w:rsidR="00A654EA">
        <w:rPr>
          <w:color w:val="000000"/>
          <w:sz w:val="24"/>
        </w:rPr>
        <w:t xml:space="preserve">report </w:t>
      </w:r>
      <w:r w:rsidRPr="00CB497D">
        <w:rPr>
          <w:color w:val="000000"/>
          <w:sz w:val="24"/>
        </w:rPr>
        <w:t>confidentiality</w:t>
      </w:r>
      <w:r w:rsidR="00CD1916">
        <w:rPr>
          <w:color w:val="000000"/>
          <w:sz w:val="24"/>
        </w:rPr>
        <w:t>; thus</w:t>
      </w:r>
      <w:r w:rsidRPr="00CB497D">
        <w:rPr>
          <w:color w:val="000000"/>
          <w:sz w:val="24"/>
        </w:rPr>
        <w:t xml:space="preserve">, this system </w:t>
      </w:r>
      <w:r w:rsidR="00A654EA">
        <w:rPr>
          <w:color w:val="000000"/>
          <w:sz w:val="24"/>
        </w:rPr>
        <w:t>offers</w:t>
      </w:r>
      <w:r w:rsidRPr="00CB497D">
        <w:rPr>
          <w:color w:val="000000"/>
          <w:sz w:val="24"/>
        </w:rPr>
        <w:t xml:space="preserve"> individuals an opportunity to report near misses that they otherwise might not report to their employers. </w:t>
      </w:r>
      <w:r w:rsidR="00F90FD8">
        <w:rPr>
          <w:color w:val="000000"/>
          <w:sz w:val="24"/>
        </w:rPr>
        <w:t xml:space="preserve"> </w:t>
      </w:r>
      <w:r w:rsidRPr="00CB497D">
        <w:rPr>
          <w:color w:val="000000"/>
          <w:sz w:val="24"/>
        </w:rPr>
        <w:t>Moreover, if participation in this pro</w:t>
      </w:r>
      <w:r w:rsidR="008607F3">
        <w:rPr>
          <w:color w:val="000000"/>
          <w:sz w:val="24"/>
        </w:rPr>
        <w:t xml:space="preserve">gram were limited to companies </w:t>
      </w:r>
      <w:r w:rsidRPr="00CB497D">
        <w:rPr>
          <w:color w:val="000000"/>
          <w:sz w:val="24"/>
        </w:rPr>
        <w:t xml:space="preserve">or other </w:t>
      </w:r>
      <w:r w:rsidR="00000A5F">
        <w:rPr>
          <w:color w:val="000000"/>
          <w:sz w:val="24"/>
        </w:rPr>
        <w:t>entities</w:t>
      </w:r>
      <w:r w:rsidRPr="00CB497D">
        <w:rPr>
          <w:color w:val="000000"/>
          <w:sz w:val="24"/>
        </w:rPr>
        <w:t>, the information provided to BTS would be circumscribed by whatever definitions or other limitations each entity pl</w:t>
      </w:r>
      <w:r w:rsidR="00C33898">
        <w:rPr>
          <w:color w:val="000000"/>
          <w:sz w:val="24"/>
        </w:rPr>
        <w:t>ace</w:t>
      </w:r>
      <w:r w:rsidR="00F90FD8">
        <w:rPr>
          <w:color w:val="000000"/>
          <w:sz w:val="24"/>
        </w:rPr>
        <w:t>d</w:t>
      </w:r>
      <w:r w:rsidR="008607F3">
        <w:rPr>
          <w:color w:val="000000"/>
          <w:sz w:val="24"/>
        </w:rPr>
        <w:t xml:space="preserve">; </w:t>
      </w:r>
      <w:r w:rsidR="005C2556">
        <w:rPr>
          <w:color w:val="000000"/>
          <w:sz w:val="24"/>
        </w:rPr>
        <w:t>f</w:t>
      </w:r>
      <w:r w:rsidRPr="00CB497D">
        <w:rPr>
          <w:color w:val="000000"/>
          <w:sz w:val="24"/>
        </w:rPr>
        <w:t xml:space="preserve">or example, </w:t>
      </w:r>
      <w:r w:rsidR="0064543C">
        <w:rPr>
          <w:color w:val="000000"/>
          <w:sz w:val="24"/>
        </w:rPr>
        <w:t>a</w:t>
      </w:r>
      <w:r w:rsidR="007C133D">
        <w:rPr>
          <w:color w:val="000000"/>
          <w:sz w:val="24"/>
        </w:rPr>
        <w:t xml:space="preserve">n entity </w:t>
      </w:r>
      <w:r w:rsidR="003F1AC8">
        <w:rPr>
          <w:color w:val="000000"/>
          <w:sz w:val="24"/>
        </w:rPr>
        <w:t>m</w:t>
      </w:r>
      <w:r w:rsidRPr="00CB497D">
        <w:rPr>
          <w:color w:val="000000"/>
          <w:sz w:val="24"/>
        </w:rPr>
        <w:t xml:space="preserve">ight decide to submit </w:t>
      </w:r>
      <w:r w:rsidR="006135ED">
        <w:rPr>
          <w:color w:val="000000"/>
          <w:sz w:val="24"/>
        </w:rPr>
        <w:t xml:space="preserve">to BTS </w:t>
      </w:r>
      <w:r w:rsidRPr="00CB497D">
        <w:rPr>
          <w:color w:val="000000"/>
          <w:sz w:val="24"/>
        </w:rPr>
        <w:t xml:space="preserve">only information that it considered </w:t>
      </w:r>
      <w:r w:rsidR="00CC17B2">
        <w:rPr>
          <w:color w:val="000000"/>
          <w:sz w:val="24"/>
        </w:rPr>
        <w:t>significant,</w:t>
      </w:r>
      <w:r w:rsidRPr="00CB497D">
        <w:rPr>
          <w:color w:val="000000"/>
          <w:sz w:val="24"/>
        </w:rPr>
        <w:t xml:space="preserve"> instead of providing the initial or “raw” information received. </w:t>
      </w:r>
      <w:r w:rsidR="00180C3F">
        <w:rPr>
          <w:color w:val="000000"/>
          <w:sz w:val="24"/>
        </w:rPr>
        <w:t xml:space="preserve">Another </w:t>
      </w:r>
      <w:r w:rsidR="00CC17B2">
        <w:rPr>
          <w:color w:val="000000"/>
          <w:sz w:val="24"/>
        </w:rPr>
        <w:t>comment</w:t>
      </w:r>
      <w:r w:rsidR="00180C3F">
        <w:rPr>
          <w:color w:val="000000"/>
          <w:sz w:val="24"/>
        </w:rPr>
        <w:t xml:space="preserve">, </w:t>
      </w:r>
      <w:r w:rsidRPr="00CB497D">
        <w:rPr>
          <w:color w:val="000000"/>
          <w:sz w:val="24"/>
        </w:rPr>
        <w:t xml:space="preserve">that individuals not be allowed to participate because they would not understand </w:t>
      </w:r>
      <w:r w:rsidR="001555AB">
        <w:rPr>
          <w:color w:val="000000"/>
          <w:sz w:val="24"/>
        </w:rPr>
        <w:t>“</w:t>
      </w:r>
      <w:r w:rsidRPr="00CB497D">
        <w:rPr>
          <w:color w:val="000000"/>
          <w:sz w:val="24"/>
        </w:rPr>
        <w:t>contributing factors</w:t>
      </w:r>
      <w:r w:rsidR="001555AB">
        <w:rPr>
          <w:color w:val="000000"/>
          <w:sz w:val="24"/>
        </w:rPr>
        <w:t>”</w:t>
      </w:r>
      <w:r w:rsidR="00180C3F">
        <w:rPr>
          <w:color w:val="000000"/>
          <w:sz w:val="24"/>
        </w:rPr>
        <w:t xml:space="preserve"> or root causes,</w:t>
      </w:r>
      <w:r w:rsidRPr="00CB497D">
        <w:rPr>
          <w:color w:val="000000"/>
          <w:sz w:val="24"/>
        </w:rPr>
        <w:t xml:space="preserve"> is academic</w:t>
      </w:r>
      <w:r w:rsidR="001555AB">
        <w:rPr>
          <w:color w:val="000000"/>
          <w:sz w:val="24"/>
        </w:rPr>
        <w:t>,</w:t>
      </w:r>
      <w:r w:rsidRPr="00CB497D">
        <w:rPr>
          <w:color w:val="000000"/>
          <w:sz w:val="24"/>
        </w:rPr>
        <w:t xml:space="preserve"> since BTS</w:t>
      </w:r>
      <w:r w:rsidR="00C57D75">
        <w:rPr>
          <w:color w:val="000000"/>
          <w:sz w:val="24"/>
        </w:rPr>
        <w:t xml:space="preserve"> </w:t>
      </w:r>
      <w:r w:rsidRPr="00CB497D">
        <w:rPr>
          <w:color w:val="000000"/>
          <w:sz w:val="24"/>
        </w:rPr>
        <w:t xml:space="preserve">would perform </w:t>
      </w:r>
      <w:r w:rsidR="008E19F1">
        <w:rPr>
          <w:color w:val="000000"/>
          <w:sz w:val="24"/>
        </w:rPr>
        <w:t xml:space="preserve">the </w:t>
      </w:r>
      <w:r w:rsidRPr="00CB497D">
        <w:rPr>
          <w:color w:val="000000"/>
          <w:sz w:val="24"/>
        </w:rPr>
        <w:t>causal analyses</w:t>
      </w:r>
      <w:r w:rsidR="00C57D75">
        <w:rPr>
          <w:color w:val="000000"/>
          <w:sz w:val="24"/>
        </w:rPr>
        <w:t xml:space="preserve"> </w:t>
      </w:r>
      <w:r w:rsidR="00C57D75" w:rsidRPr="00CB497D">
        <w:rPr>
          <w:color w:val="000000"/>
          <w:sz w:val="24"/>
        </w:rPr>
        <w:t xml:space="preserve">with </w:t>
      </w:r>
      <w:r w:rsidR="00C57D75">
        <w:rPr>
          <w:color w:val="000000"/>
          <w:sz w:val="24"/>
        </w:rPr>
        <w:t>assistance</w:t>
      </w:r>
      <w:r w:rsidR="00C57D75" w:rsidRPr="00CB497D">
        <w:rPr>
          <w:color w:val="000000"/>
          <w:sz w:val="24"/>
        </w:rPr>
        <w:t xml:space="preserve"> fr</w:t>
      </w:r>
      <w:r w:rsidR="00C57D75">
        <w:rPr>
          <w:color w:val="000000"/>
          <w:sz w:val="24"/>
        </w:rPr>
        <w:t>om appropriately qualified SMEs</w:t>
      </w:r>
      <w:r w:rsidRPr="00CB497D">
        <w:rPr>
          <w:color w:val="000000"/>
          <w:sz w:val="24"/>
        </w:rPr>
        <w:t xml:space="preserve">. Finally, based on experience with other reporting </w:t>
      </w:r>
      <w:r w:rsidR="00C57D75">
        <w:rPr>
          <w:color w:val="000000"/>
          <w:sz w:val="24"/>
        </w:rPr>
        <w:t>systems</w:t>
      </w:r>
      <w:r w:rsidRPr="00CB497D">
        <w:rPr>
          <w:color w:val="000000"/>
          <w:sz w:val="24"/>
        </w:rPr>
        <w:t>, BTS does not agree with the comment suggesting that BTS limit participation to companies</w:t>
      </w:r>
      <w:r w:rsidR="00762F63">
        <w:rPr>
          <w:color w:val="000000"/>
          <w:sz w:val="24"/>
        </w:rPr>
        <w:t xml:space="preserve"> or other </w:t>
      </w:r>
      <w:r w:rsidRPr="00CB497D">
        <w:rPr>
          <w:color w:val="000000"/>
          <w:sz w:val="24"/>
        </w:rPr>
        <w:t>entities to reduce the estimated time for responses</w:t>
      </w:r>
      <w:r w:rsidR="007F6434" w:rsidRPr="0061587A">
        <w:rPr>
          <w:color w:val="000000"/>
          <w:sz w:val="24"/>
        </w:rPr>
        <w:t xml:space="preserve">, or </w:t>
      </w:r>
      <w:r w:rsidRPr="00CB497D">
        <w:rPr>
          <w:color w:val="000000"/>
          <w:sz w:val="24"/>
        </w:rPr>
        <w:t xml:space="preserve">that the estimated time (60 minutes) for individual responses is excessive. The estimated </w:t>
      </w:r>
      <w:r w:rsidR="001B27AD">
        <w:rPr>
          <w:color w:val="000000"/>
          <w:sz w:val="24"/>
        </w:rPr>
        <w:t>time for completing an initial report is 1</w:t>
      </w:r>
      <w:r w:rsidRPr="00CB497D">
        <w:rPr>
          <w:color w:val="000000"/>
          <w:sz w:val="24"/>
        </w:rPr>
        <w:t>5 minutes</w:t>
      </w:r>
      <w:r w:rsidR="001258F6">
        <w:rPr>
          <w:color w:val="000000"/>
          <w:sz w:val="24"/>
        </w:rPr>
        <w:t>;</w:t>
      </w:r>
      <w:r w:rsidRPr="00CB497D">
        <w:rPr>
          <w:color w:val="000000"/>
          <w:sz w:val="24"/>
        </w:rPr>
        <w:t xml:space="preserve"> </w:t>
      </w:r>
      <w:r w:rsidR="001258F6">
        <w:rPr>
          <w:color w:val="000000"/>
          <w:sz w:val="24"/>
        </w:rPr>
        <w:t>t</w:t>
      </w:r>
      <w:r w:rsidRPr="00CB497D">
        <w:rPr>
          <w:color w:val="000000"/>
          <w:sz w:val="24"/>
        </w:rPr>
        <w:t xml:space="preserve">he </w:t>
      </w:r>
      <w:r w:rsidR="007E2659">
        <w:rPr>
          <w:color w:val="000000"/>
          <w:sz w:val="24"/>
        </w:rPr>
        <w:t xml:space="preserve">remaining </w:t>
      </w:r>
      <w:r w:rsidR="00790226">
        <w:rPr>
          <w:color w:val="000000"/>
          <w:sz w:val="24"/>
        </w:rPr>
        <w:t>45 minutes</w:t>
      </w:r>
      <w:r w:rsidRPr="00CB497D">
        <w:rPr>
          <w:color w:val="000000"/>
          <w:sz w:val="24"/>
        </w:rPr>
        <w:t xml:space="preserve"> would be for follow-up interviews, as warranted by the initial report</w:t>
      </w:r>
      <w:r w:rsidR="004F6BAF">
        <w:rPr>
          <w:color w:val="000000"/>
          <w:sz w:val="24"/>
        </w:rPr>
        <w:t xml:space="preserve"> and if the respondent consents</w:t>
      </w:r>
      <w:r w:rsidRPr="00CB497D">
        <w:rPr>
          <w:color w:val="000000"/>
          <w:sz w:val="24"/>
        </w:rPr>
        <w:t xml:space="preserve">. </w:t>
      </w:r>
      <w:r w:rsidR="0061587A" w:rsidRPr="0061587A">
        <w:rPr>
          <w:color w:val="000000"/>
          <w:sz w:val="24"/>
        </w:rPr>
        <w:t>A</w:t>
      </w:r>
      <w:r w:rsidR="006D1B7E">
        <w:rPr>
          <w:color w:val="000000"/>
          <w:sz w:val="24"/>
        </w:rPr>
        <w:t>n</w:t>
      </w:r>
      <w:r w:rsidR="00790226">
        <w:rPr>
          <w:color w:val="000000"/>
          <w:sz w:val="24"/>
        </w:rPr>
        <w:t>y</w:t>
      </w:r>
      <w:r w:rsidRPr="00CB497D">
        <w:rPr>
          <w:color w:val="000000"/>
          <w:sz w:val="24"/>
        </w:rPr>
        <w:t xml:space="preserve"> individual who cannot or does not want to participate in follow-up communications may choose not to do so.</w:t>
      </w:r>
    </w:p>
    <w:p w:rsidR="00616E53" w:rsidRDefault="00616E53" w:rsidP="00616E53">
      <w:pPr>
        <w:widowControl/>
        <w:autoSpaceDE/>
        <w:autoSpaceDN/>
        <w:adjustRightInd/>
        <w:spacing w:after="200"/>
        <w:contextualSpacing/>
        <w:rPr>
          <w:rFonts w:eastAsia="Calibri"/>
          <w:sz w:val="24"/>
        </w:rPr>
      </w:pPr>
    </w:p>
    <w:p w:rsidR="00CB497D" w:rsidRPr="005A76C2" w:rsidRDefault="00616E53" w:rsidP="005A76C2">
      <w:pPr>
        <w:widowControl/>
        <w:autoSpaceDE/>
        <w:autoSpaceDN/>
        <w:adjustRightInd/>
        <w:spacing w:after="200"/>
        <w:contextualSpacing/>
        <w:rPr>
          <w:rFonts w:eastAsia="Calibri"/>
          <w:sz w:val="24"/>
        </w:rPr>
      </w:pPr>
      <w:r w:rsidRPr="004F6BAF">
        <w:rPr>
          <w:rFonts w:eastAsia="Calibri"/>
          <w:sz w:val="24"/>
          <w:u w:val="single"/>
        </w:rPr>
        <w:t>Potential for reporting to multiple s</w:t>
      </w:r>
      <w:r w:rsidR="00CB497D" w:rsidRPr="004F6BAF">
        <w:rPr>
          <w:rFonts w:eastAsia="Calibri"/>
          <w:sz w:val="24"/>
          <w:u w:val="single"/>
        </w:rPr>
        <w:t>ystems</w:t>
      </w:r>
      <w:r w:rsidRPr="004F6BAF">
        <w:rPr>
          <w:rFonts w:eastAsia="Calibri"/>
          <w:sz w:val="24"/>
          <w:u w:val="single"/>
        </w:rPr>
        <w:t>:</w:t>
      </w:r>
      <w:r>
        <w:rPr>
          <w:rFonts w:eastAsia="Calibri"/>
          <w:sz w:val="24"/>
        </w:rPr>
        <w:t xml:space="preserve"> </w:t>
      </w:r>
      <w:r w:rsidR="00CB497D" w:rsidRPr="00CB497D">
        <w:rPr>
          <w:color w:val="000000"/>
          <w:sz w:val="24"/>
        </w:rPr>
        <w:t xml:space="preserve">One commenter asserted that the near miss reporting system may create redundant reporting with other near miss initiatives. The </w:t>
      </w:r>
      <w:proofErr w:type="spellStart"/>
      <w:r w:rsidR="004F6BAF">
        <w:rPr>
          <w:color w:val="000000"/>
          <w:sz w:val="24"/>
        </w:rPr>
        <w:t>SafeOCS</w:t>
      </w:r>
      <w:proofErr w:type="spellEnd"/>
      <w:r w:rsidR="00CB497D" w:rsidRPr="00CB497D">
        <w:rPr>
          <w:color w:val="000000"/>
          <w:sz w:val="24"/>
        </w:rPr>
        <w:t xml:space="preserve"> </w:t>
      </w:r>
      <w:r w:rsidR="00C12334">
        <w:rPr>
          <w:color w:val="000000"/>
          <w:sz w:val="24"/>
        </w:rPr>
        <w:t>reporting s</w:t>
      </w:r>
      <w:r w:rsidR="00CB497D" w:rsidRPr="00CB497D">
        <w:rPr>
          <w:color w:val="000000"/>
          <w:sz w:val="24"/>
        </w:rPr>
        <w:t>ystem is not intended to replace or interfere with other reporting programs</w:t>
      </w:r>
      <w:r w:rsidR="00C12334">
        <w:rPr>
          <w:color w:val="000000"/>
          <w:sz w:val="24"/>
        </w:rPr>
        <w:t xml:space="preserve">, </w:t>
      </w:r>
      <w:r w:rsidR="00A737A8">
        <w:rPr>
          <w:color w:val="000000"/>
          <w:sz w:val="24"/>
        </w:rPr>
        <w:t xml:space="preserve">whether public or private, </w:t>
      </w:r>
      <w:r w:rsidR="00C12334">
        <w:rPr>
          <w:color w:val="000000"/>
          <w:sz w:val="24"/>
        </w:rPr>
        <w:t xml:space="preserve">but </w:t>
      </w:r>
      <w:r w:rsidR="00CB497D" w:rsidRPr="00CB497D">
        <w:rPr>
          <w:color w:val="000000"/>
          <w:sz w:val="24"/>
        </w:rPr>
        <w:t xml:space="preserve">will </w:t>
      </w:r>
      <w:r w:rsidR="00765D93">
        <w:rPr>
          <w:color w:val="000000"/>
          <w:sz w:val="24"/>
        </w:rPr>
        <w:t>afford</w:t>
      </w:r>
      <w:r w:rsidR="00CB497D" w:rsidRPr="00CB497D">
        <w:rPr>
          <w:color w:val="000000"/>
          <w:sz w:val="24"/>
        </w:rPr>
        <w:t xml:space="preserve"> </w:t>
      </w:r>
      <w:r w:rsidR="00765D93">
        <w:rPr>
          <w:color w:val="000000"/>
          <w:sz w:val="24"/>
        </w:rPr>
        <w:t xml:space="preserve">an additional </w:t>
      </w:r>
      <w:r w:rsidR="00CB497D" w:rsidRPr="00CB497D">
        <w:rPr>
          <w:color w:val="000000"/>
          <w:sz w:val="24"/>
        </w:rPr>
        <w:t>opportunity for reporting a range of potential hazard and risk information.  As one commenter recognized, an individual may feel inhibited about reporting a near miss to a company or industry reporting program</w:t>
      </w:r>
      <w:r w:rsidR="0075585D">
        <w:rPr>
          <w:color w:val="000000"/>
          <w:sz w:val="24"/>
        </w:rPr>
        <w:t>,</w:t>
      </w:r>
      <w:r w:rsidR="00CB497D" w:rsidRPr="00CB497D">
        <w:rPr>
          <w:color w:val="000000"/>
          <w:sz w:val="24"/>
        </w:rPr>
        <w:t xml:space="preserve"> </w:t>
      </w:r>
      <w:r w:rsidR="004D5266">
        <w:rPr>
          <w:color w:val="000000"/>
          <w:sz w:val="24"/>
        </w:rPr>
        <w:t>preferring</w:t>
      </w:r>
      <w:r w:rsidR="00CB497D" w:rsidRPr="00CB497D">
        <w:rPr>
          <w:color w:val="000000"/>
          <w:sz w:val="24"/>
        </w:rPr>
        <w:t xml:space="preserve"> to report the event or condition to BTS under the protections afforded by CIPSEA. In such cases, there would be no duplicati</w:t>
      </w:r>
      <w:r w:rsidR="00C748D7">
        <w:rPr>
          <w:color w:val="000000"/>
          <w:sz w:val="24"/>
        </w:rPr>
        <w:t xml:space="preserve">ve </w:t>
      </w:r>
      <w:r w:rsidR="00CB497D" w:rsidRPr="00CB497D">
        <w:rPr>
          <w:color w:val="000000"/>
          <w:sz w:val="24"/>
        </w:rPr>
        <w:t xml:space="preserve">reporting. </w:t>
      </w:r>
      <w:r w:rsidR="008E3E0D">
        <w:rPr>
          <w:color w:val="000000"/>
          <w:sz w:val="24"/>
        </w:rPr>
        <w:t xml:space="preserve"> </w:t>
      </w:r>
      <w:r w:rsidR="00CB497D" w:rsidRPr="00CB497D">
        <w:rPr>
          <w:color w:val="000000"/>
          <w:sz w:val="24"/>
        </w:rPr>
        <w:t xml:space="preserve">Similarly, an individual may prefer </w:t>
      </w:r>
      <w:r w:rsidR="00EF5C84">
        <w:rPr>
          <w:color w:val="000000"/>
          <w:sz w:val="24"/>
        </w:rPr>
        <w:t>to report</w:t>
      </w:r>
      <w:r w:rsidR="00CB497D" w:rsidRPr="00CB497D">
        <w:rPr>
          <w:color w:val="000000"/>
          <w:sz w:val="24"/>
        </w:rPr>
        <w:t xml:space="preserve"> to </w:t>
      </w:r>
      <w:r w:rsidR="0075585D">
        <w:rPr>
          <w:color w:val="000000"/>
          <w:sz w:val="24"/>
        </w:rPr>
        <w:t>BTS</w:t>
      </w:r>
      <w:r w:rsidR="00CB497D" w:rsidRPr="00CB497D">
        <w:rPr>
          <w:color w:val="000000"/>
          <w:sz w:val="24"/>
        </w:rPr>
        <w:t xml:space="preserve"> under the guarantees provided</w:t>
      </w:r>
      <w:r w:rsidR="00EF5C84">
        <w:rPr>
          <w:color w:val="000000"/>
          <w:sz w:val="24"/>
        </w:rPr>
        <w:t xml:space="preserve"> by CIPSEA rather than report</w:t>
      </w:r>
      <w:r w:rsidR="00CB497D" w:rsidRPr="00CB497D">
        <w:rPr>
          <w:color w:val="000000"/>
          <w:sz w:val="24"/>
        </w:rPr>
        <w:t xml:space="preserve"> to </w:t>
      </w:r>
      <w:r w:rsidR="0075585D">
        <w:rPr>
          <w:color w:val="000000"/>
          <w:sz w:val="24"/>
        </w:rPr>
        <w:t>BSEE</w:t>
      </w:r>
      <w:r w:rsidR="00CB497D" w:rsidRPr="00CB497D">
        <w:rPr>
          <w:color w:val="000000"/>
          <w:sz w:val="24"/>
        </w:rPr>
        <w:t xml:space="preserve"> </w:t>
      </w:r>
      <w:proofErr w:type="gramStart"/>
      <w:r w:rsidR="00CB497D" w:rsidRPr="00CB497D">
        <w:rPr>
          <w:color w:val="000000"/>
          <w:sz w:val="24"/>
        </w:rPr>
        <w:t>under</w:t>
      </w:r>
      <w:proofErr w:type="gramEnd"/>
      <w:r w:rsidR="00CB497D" w:rsidRPr="00CB497D">
        <w:rPr>
          <w:color w:val="000000"/>
          <w:sz w:val="24"/>
        </w:rPr>
        <w:t xml:space="preserve"> 30 CFR 250.193</w:t>
      </w:r>
      <w:r w:rsidR="000C51F2">
        <w:rPr>
          <w:color w:val="000000"/>
          <w:sz w:val="24"/>
        </w:rPr>
        <w:t>. (While</w:t>
      </w:r>
      <w:r w:rsidR="00EF5C84">
        <w:rPr>
          <w:color w:val="000000"/>
          <w:sz w:val="24"/>
        </w:rPr>
        <w:t xml:space="preserve"> </w:t>
      </w:r>
      <w:r w:rsidR="00CB497D" w:rsidRPr="00CB497D">
        <w:rPr>
          <w:color w:val="000000"/>
          <w:sz w:val="24"/>
        </w:rPr>
        <w:t xml:space="preserve">section 250.193 allows an individual to report violations or unsafe conditions anonymously, BSEE is subject to FOIA and cannot guarantee anonymity or confidentiality to the degree that </w:t>
      </w:r>
      <w:r w:rsidR="00BB071A">
        <w:rPr>
          <w:color w:val="000000"/>
          <w:sz w:val="24"/>
        </w:rPr>
        <w:t xml:space="preserve">BTS can under </w:t>
      </w:r>
      <w:r w:rsidR="00CB497D" w:rsidRPr="00CB497D">
        <w:rPr>
          <w:color w:val="000000"/>
          <w:sz w:val="24"/>
        </w:rPr>
        <w:t>CIPSEA.</w:t>
      </w:r>
      <w:r w:rsidR="001A0136">
        <w:rPr>
          <w:color w:val="000000"/>
          <w:sz w:val="24"/>
        </w:rPr>
        <w:t>)</w:t>
      </w:r>
      <w:r w:rsidR="00CB497D" w:rsidRPr="00CB497D">
        <w:rPr>
          <w:color w:val="000000"/>
          <w:sz w:val="24"/>
        </w:rPr>
        <w:t xml:space="preserve"> </w:t>
      </w:r>
      <w:r w:rsidR="00327199">
        <w:rPr>
          <w:color w:val="000000"/>
          <w:sz w:val="24"/>
        </w:rPr>
        <w:t xml:space="preserve"> Another comment was that </w:t>
      </w:r>
      <w:r w:rsidR="00CB497D" w:rsidRPr="00CB497D">
        <w:rPr>
          <w:color w:val="000000"/>
          <w:sz w:val="24"/>
        </w:rPr>
        <w:t>BTS should not accept near miss reports that have</w:t>
      </w:r>
      <w:r w:rsidR="00BC264D">
        <w:rPr>
          <w:color w:val="000000"/>
          <w:sz w:val="24"/>
        </w:rPr>
        <w:t xml:space="preserve"> also</w:t>
      </w:r>
      <w:r w:rsidR="00CB497D" w:rsidRPr="00CB497D">
        <w:rPr>
          <w:color w:val="000000"/>
          <w:sz w:val="24"/>
        </w:rPr>
        <w:t xml:space="preserve"> been reported to industry. </w:t>
      </w:r>
      <w:r w:rsidR="00AF3057">
        <w:rPr>
          <w:color w:val="000000"/>
          <w:sz w:val="24"/>
        </w:rPr>
        <w:t xml:space="preserve"> </w:t>
      </w:r>
      <w:r w:rsidR="00327199">
        <w:rPr>
          <w:color w:val="000000"/>
          <w:sz w:val="24"/>
        </w:rPr>
        <w:t>BTS does not agree</w:t>
      </w:r>
      <w:r w:rsidR="00BC264D">
        <w:rPr>
          <w:color w:val="000000"/>
          <w:sz w:val="24"/>
        </w:rPr>
        <w:t>;</w:t>
      </w:r>
      <w:r w:rsidR="002C720B">
        <w:rPr>
          <w:color w:val="000000"/>
          <w:sz w:val="24"/>
        </w:rPr>
        <w:t xml:space="preserve"> while </w:t>
      </w:r>
      <w:r w:rsidR="002C720B" w:rsidRPr="00CB497D">
        <w:rPr>
          <w:color w:val="000000"/>
          <w:sz w:val="24"/>
        </w:rPr>
        <w:t>i</w:t>
      </w:r>
      <w:r w:rsidR="002C720B" w:rsidRPr="00CB497D">
        <w:rPr>
          <w:sz w:val="24"/>
        </w:rPr>
        <w:t xml:space="preserve">nformation from </w:t>
      </w:r>
      <w:r w:rsidR="00C3316A">
        <w:rPr>
          <w:sz w:val="24"/>
        </w:rPr>
        <w:t>industry programs generally have</w:t>
      </w:r>
      <w:r w:rsidR="002C720B">
        <w:rPr>
          <w:sz w:val="24"/>
        </w:rPr>
        <w:t xml:space="preserve"> not been</w:t>
      </w:r>
      <w:r w:rsidR="002C720B" w:rsidRPr="00CB497D">
        <w:rPr>
          <w:sz w:val="24"/>
        </w:rPr>
        <w:t xml:space="preserve"> shared </w:t>
      </w:r>
      <w:r w:rsidR="002C720B">
        <w:rPr>
          <w:sz w:val="24"/>
        </w:rPr>
        <w:t xml:space="preserve">outside the specific company or organization, </w:t>
      </w:r>
      <w:r w:rsidR="00A71994">
        <w:rPr>
          <w:color w:val="000000"/>
          <w:sz w:val="24"/>
        </w:rPr>
        <w:t>BTS’</w:t>
      </w:r>
      <w:r w:rsidR="00A74A6B">
        <w:rPr>
          <w:color w:val="000000"/>
          <w:sz w:val="24"/>
        </w:rPr>
        <w:t xml:space="preserve">s aggregated reports </w:t>
      </w:r>
      <w:r w:rsidR="00A71994">
        <w:rPr>
          <w:color w:val="000000"/>
          <w:sz w:val="24"/>
        </w:rPr>
        <w:t xml:space="preserve">will be widely disseminated </w:t>
      </w:r>
      <w:r w:rsidR="00A74A6B">
        <w:rPr>
          <w:color w:val="000000"/>
          <w:sz w:val="24"/>
        </w:rPr>
        <w:t xml:space="preserve">and benefit all stakeholders. </w:t>
      </w:r>
      <w:r w:rsidR="005A76C2">
        <w:rPr>
          <w:sz w:val="24"/>
        </w:rPr>
        <w:t xml:space="preserve">Finally, </w:t>
      </w:r>
      <w:r w:rsidR="00FA6C4C">
        <w:rPr>
          <w:sz w:val="24"/>
        </w:rPr>
        <w:t xml:space="preserve">the </w:t>
      </w:r>
      <w:r w:rsidR="00CB497D" w:rsidRPr="002C6BEB">
        <w:rPr>
          <w:color w:val="000000"/>
          <w:sz w:val="24"/>
        </w:rPr>
        <w:t xml:space="preserve">API’s COS noted the implementation of its Learning from Incidents (LFI) program, which the COS believes </w:t>
      </w:r>
      <w:r w:rsidR="008B575F">
        <w:rPr>
          <w:color w:val="000000"/>
          <w:sz w:val="24"/>
        </w:rPr>
        <w:t xml:space="preserve">overlaps the BTS near miss program. </w:t>
      </w:r>
      <w:r w:rsidR="00CB497D" w:rsidRPr="002C6BEB">
        <w:rPr>
          <w:color w:val="000000"/>
          <w:sz w:val="24"/>
        </w:rPr>
        <w:t xml:space="preserve">BTS is aware of the potential </w:t>
      </w:r>
      <w:r w:rsidR="00EB3B90">
        <w:rPr>
          <w:color w:val="000000"/>
          <w:sz w:val="24"/>
        </w:rPr>
        <w:t>benefits of the LFI program</w:t>
      </w:r>
      <w:r w:rsidR="00CB497D" w:rsidRPr="002C6BEB">
        <w:rPr>
          <w:color w:val="000000"/>
          <w:sz w:val="24"/>
        </w:rPr>
        <w:t xml:space="preserve"> </w:t>
      </w:r>
      <w:r w:rsidR="00EB3B90">
        <w:rPr>
          <w:color w:val="000000"/>
          <w:sz w:val="24"/>
        </w:rPr>
        <w:t xml:space="preserve">for COS’ members </w:t>
      </w:r>
      <w:r w:rsidR="00CB497D" w:rsidRPr="002C6BEB">
        <w:rPr>
          <w:color w:val="000000"/>
          <w:sz w:val="24"/>
        </w:rPr>
        <w:t>and looks forward to discussing with COS the potential sharing of that information</w:t>
      </w:r>
      <w:r w:rsidR="004F0F4E">
        <w:rPr>
          <w:color w:val="000000"/>
          <w:sz w:val="24"/>
        </w:rPr>
        <w:t>; h</w:t>
      </w:r>
      <w:r w:rsidR="00CB497D" w:rsidRPr="002C6BEB">
        <w:rPr>
          <w:sz w:val="24"/>
        </w:rPr>
        <w:t xml:space="preserve">owever, the LFI program is limited </w:t>
      </w:r>
      <w:r w:rsidR="00CC777E">
        <w:rPr>
          <w:sz w:val="24"/>
        </w:rPr>
        <w:t>to</w:t>
      </w:r>
      <w:r w:rsidR="00CB497D" w:rsidRPr="002C6BEB">
        <w:rPr>
          <w:sz w:val="24"/>
        </w:rPr>
        <w:t xml:space="preserve"> information from COS member c</w:t>
      </w:r>
      <w:r w:rsidR="00CC777E">
        <w:rPr>
          <w:sz w:val="24"/>
        </w:rPr>
        <w:t xml:space="preserve">ompanies regarding specifically </w:t>
      </w:r>
      <w:r w:rsidR="00CB497D" w:rsidRPr="002C6BEB">
        <w:rPr>
          <w:sz w:val="24"/>
        </w:rPr>
        <w:t>defined incidents</w:t>
      </w:r>
      <w:r w:rsidR="00C3316A">
        <w:rPr>
          <w:sz w:val="24"/>
        </w:rPr>
        <w:t xml:space="preserve">, therefore data from COS can’t be used to derive industry- wide estimates.  </w:t>
      </w:r>
      <w:proofErr w:type="gramStart"/>
      <w:r w:rsidR="00C3316A">
        <w:rPr>
          <w:sz w:val="24"/>
        </w:rPr>
        <w:t>Furthermore, COS</w:t>
      </w:r>
      <w:r w:rsidR="003E5358">
        <w:rPr>
          <w:sz w:val="24"/>
        </w:rPr>
        <w:t xml:space="preserve"> shares </w:t>
      </w:r>
      <w:r w:rsidR="00CB497D" w:rsidRPr="002C6BEB">
        <w:rPr>
          <w:sz w:val="24"/>
        </w:rPr>
        <w:t xml:space="preserve">aggregated information </w:t>
      </w:r>
      <w:r w:rsidR="00F352AF">
        <w:rPr>
          <w:sz w:val="24"/>
        </w:rPr>
        <w:t xml:space="preserve">only </w:t>
      </w:r>
      <w:r w:rsidR="00CB497D" w:rsidRPr="002C6BEB">
        <w:rPr>
          <w:sz w:val="24"/>
        </w:rPr>
        <w:t xml:space="preserve">with </w:t>
      </w:r>
      <w:r w:rsidR="00C3316A">
        <w:rPr>
          <w:sz w:val="24"/>
        </w:rPr>
        <w:t xml:space="preserve">its member </w:t>
      </w:r>
      <w:r w:rsidR="002A4E21">
        <w:rPr>
          <w:sz w:val="24"/>
        </w:rPr>
        <w:t>companies</w:t>
      </w:r>
      <w:r w:rsidR="00C3316A">
        <w:rPr>
          <w:sz w:val="24"/>
        </w:rPr>
        <w:t xml:space="preserve"> and not the entire oil and gas industry.</w:t>
      </w:r>
      <w:proofErr w:type="gramEnd"/>
      <w:r w:rsidR="00C3316A">
        <w:rPr>
          <w:sz w:val="24"/>
        </w:rPr>
        <w:t xml:space="preserve">  </w:t>
      </w:r>
      <w:r w:rsidR="00CB497D" w:rsidRPr="002C6BEB">
        <w:rPr>
          <w:sz w:val="24"/>
        </w:rPr>
        <w:t xml:space="preserve"> </w:t>
      </w:r>
      <w:r w:rsidR="00CB497D" w:rsidRPr="002C6BEB">
        <w:rPr>
          <w:color w:val="000000"/>
          <w:sz w:val="24"/>
        </w:rPr>
        <w:t xml:space="preserve">For </w:t>
      </w:r>
      <w:r w:rsidR="002A4E21">
        <w:rPr>
          <w:color w:val="000000"/>
          <w:sz w:val="24"/>
        </w:rPr>
        <w:t>this</w:t>
      </w:r>
      <w:r w:rsidR="00CB497D" w:rsidRPr="002C6BEB">
        <w:rPr>
          <w:color w:val="000000"/>
          <w:sz w:val="24"/>
        </w:rPr>
        <w:t xml:space="preserve"> reason, BTS does not agree </w:t>
      </w:r>
      <w:r w:rsidR="00F352AF">
        <w:rPr>
          <w:color w:val="000000"/>
          <w:sz w:val="24"/>
        </w:rPr>
        <w:t>that</w:t>
      </w:r>
      <w:r w:rsidR="00CB497D" w:rsidRPr="002C6BEB">
        <w:rPr>
          <w:color w:val="000000"/>
          <w:sz w:val="24"/>
        </w:rPr>
        <w:t xml:space="preserve"> the proposed near miss reporting system should be delayed pending further consideration of the LFI program.</w:t>
      </w:r>
    </w:p>
    <w:p w:rsidR="002A7701" w:rsidRDefault="002A7701">
      <w:pPr>
        <w:rPr>
          <w:sz w:val="26"/>
          <w:szCs w:val="26"/>
        </w:rPr>
      </w:pPr>
    </w:p>
    <w:p w:rsidR="001D202A" w:rsidRDefault="001D202A" w:rsidP="00C3316A">
      <w:pPr>
        <w:contextualSpacing/>
        <w:rPr>
          <w:color w:val="000000"/>
          <w:sz w:val="24"/>
        </w:rPr>
      </w:pPr>
      <w:r w:rsidRPr="00992FDD">
        <w:rPr>
          <w:rFonts w:eastAsia="Calibri"/>
          <w:sz w:val="24"/>
          <w:u w:val="single"/>
        </w:rPr>
        <w:t>Estimated Burden Hours</w:t>
      </w:r>
      <w:r w:rsidR="00C3316A">
        <w:rPr>
          <w:rFonts w:eastAsia="Calibri"/>
          <w:sz w:val="24"/>
          <w:u w:val="single"/>
        </w:rPr>
        <w:t xml:space="preserve">: </w:t>
      </w:r>
      <w:r w:rsidRPr="001D202A">
        <w:rPr>
          <w:rFonts w:eastAsia="Calibri"/>
          <w:sz w:val="24"/>
        </w:rPr>
        <w:t xml:space="preserve">Two </w:t>
      </w:r>
      <w:r w:rsidR="00992FDD">
        <w:rPr>
          <w:rFonts w:eastAsia="Calibri"/>
          <w:sz w:val="24"/>
        </w:rPr>
        <w:t xml:space="preserve">commenters questioned </w:t>
      </w:r>
      <w:r w:rsidR="00287130">
        <w:rPr>
          <w:rFonts w:eastAsia="Calibri"/>
          <w:sz w:val="24"/>
        </w:rPr>
        <w:t>BTS’s</w:t>
      </w:r>
      <w:r w:rsidRPr="001D202A">
        <w:rPr>
          <w:rFonts w:eastAsia="Calibri"/>
          <w:sz w:val="24"/>
        </w:rPr>
        <w:t xml:space="preserve"> estimated number of near miss reports. </w:t>
      </w:r>
      <w:r w:rsidR="00992FDD">
        <w:rPr>
          <w:rFonts w:eastAsia="Calibri"/>
          <w:sz w:val="24"/>
        </w:rPr>
        <w:t xml:space="preserve"> </w:t>
      </w:r>
      <w:r w:rsidR="00E7430F">
        <w:rPr>
          <w:color w:val="000000"/>
          <w:sz w:val="24"/>
        </w:rPr>
        <w:t>These</w:t>
      </w:r>
      <w:r w:rsidRPr="001D202A">
        <w:rPr>
          <w:color w:val="000000"/>
          <w:sz w:val="24"/>
        </w:rPr>
        <w:t xml:space="preserve"> estimat</w:t>
      </w:r>
      <w:r w:rsidR="00992FDD">
        <w:rPr>
          <w:color w:val="000000"/>
          <w:sz w:val="24"/>
        </w:rPr>
        <w:t xml:space="preserve">es </w:t>
      </w:r>
      <w:r w:rsidR="00E7430F">
        <w:rPr>
          <w:color w:val="000000"/>
          <w:sz w:val="24"/>
        </w:rPr>
        <w:t xml:space="preserve">are </w:t>
      </w:r>
      <w:r w:rsidR="00992FDD">
        <w:rPr>
          <w:color w:val="000000"/>
          <w:sz w:val="24"/>
        </w:rPr>
        <w:t xml:space="preserve">based </w:t>
      </w:r>
      <w:r w:rsidRPr="001D202A">
        <w:rPr>
          <w:color w:val="000000"/>
          <w:sz w:val="24"/>
        </w:rPr>
        <w:t xml:space="preserve">on </w:t>
      </w:r>
      <w:r w:rsidR="00E7430F">
        <w:rPr>
          <w:color w:val="000000"/>
          <w:sz w:val="24"/>
        </w:rPr>
        <w:t xml:space="preserve">BTS’s </w:t>
      </w:r>
      <w:r w:rsidRPr="001D202A">
        <w:rPr>
          <w:color w:val="000000"/>
          <w:sz w:val="24"/>
        </w:rPr>
        <w:t>experience with other industries</w:t>
      </w:r>
      <w:r w:rsidR="006211C6">
        <w:rPr>
          <w:color w:val="000000"/>
          <w:sz w:val="24"/>
        </w:rPr>
        <w:t>’ reporting systems</w:t>
      </w:r>
      <w:r w:rsidRPr="001D202A">
        <w:rPr>
          <w:color w:val="000000"/>
          <w:sz w:val="24"/>
        </w:rPr>
        <w:t xml:space="preserve">. </w:t>
      </w:r>
      <w:r w:rsidR="00992FDD">
        <w:rPr>
          <w:color w:val="000000"/>
          <w:sz w:val="24"/>
        </w:rPr>
        <w:t xml:space="preserve"> </w:t>
      </w:r>
      <w:r w:rsidRPr="001D202A">
        <w:rPr>
          <w:color w:val="000000"/>
          <w:sz w:val="24"/>
        </w:rPr>
        <w:t xml:space="preserve">BTS will be establishing a baseline </w:t>
      </w:r>
      <w:r w:rsidR="00D7282A">
        <w:rPr>
          <w:color w:val="000000"/>
          <w:sz w:val="24"/>
        </w:rPr>
        <w:t>after</w:t>
      </w:r>
      <w:r w:rsidR="006211C6">
        <w:rPr>
          <w:color w:val="000000"/>
          <w:sz w:val="24"/>
        </w:rPr>
        <w:t xml:space="preserve"> the initial operating period</w:t>
      </w:r>
      <w:r w:rsidR="00D7282A">
        <w:rPr>
          <w:color w:val="000000"/>
          <w:sz w:val="24"/>
        </w:rPr>
        <w:t xml:space="preserve"> of the </w:t>
      </w:r>
      <w:proofErr w:type="spellStart"/>
      <w:r w:rsidR="00C3316A">
        <w:rPr>
          <w:color w:val="000000"/>
          <w:sz w:val="24"/>
        </w:rPr>
        <w:t>SafeOCS</w:t>
      </w:r>
      <w:proofErr w:type="spellEnd"/>
      <w:r w:rsidR="00D7282A">
        <w:rPr>
          <w:color w:val="000000"/>
          <w:sz w:val="24"/>
        </w:rPr>
        <w:t xml:space="preserve"> reporting system</w:t>
      </w:r>
      <w:r w:rsidR="006211C6">
        <w:rPr>
          <w:color w:val="000000"/>
          <w:sz w:val="24"/>
        </w:rPr>
        <w:t xml:space="preserve"> (</w:t>
      </w:r>
      <w:r w:rsidRPr="001D202A">
        <w:rPr>
          <w:color w:val="000000"/>
          <w:sz w:val="24"/>
        </w:rPr>
        <w:t xml:space="preserve">12 months). </w:t>
      </w:r>
      <w:r w:rsidR="00992FDD">
        <w:rPr>
          <w:color w:val="000000"/>
          <w:sz w:val="24"/>
        </w:rPr>
        <w:t xml:space="preserve"> </w:t>
      </w:r>
    </w:p>
    <w:p w:rsidR="006211C6" w:rsidRPr="001D202A" w:rsidRDefault="006211C6" w:rsidP="00992FDD">
      <w:pPr>
        <w:widowControl/>
        <w:autoSpaceDE/>
        <w:autoSpaceDN/>
        <w:adjustRightInd/>
        <w:rPr>
          <w:color w:val="000000"/>
          <w:sz w:val="24"/>
        </w:rPr>
      </w:pPr>
    </w:p>
    <w:p w:rsidR="001D202A" w:rsidRDefault="001D202A" w:rsidP="00C3316A">
      <w:pPr>
        <w:widowControl/>
        <w:autoSpaceDE/>
        <w:autoSpaceDN/>
        <w:adjustRightInd/>
        <w:spacing w:after="200"/>
        <w:contextualSpacing/>
        <w:rPr>
          <w:sz w:val="24"/>
        </w:rPr>
      </w:pPr>
      <w:r w:rsidRPr="001D202A">
        <w:rPr>
          <w:rFonts w:eastAsia="Calibri"/>
          <w:sz w:val="24"/>
          <w:u w:val="single"/>
        </w:rPr>
        <w:t>Notification of Near Misses</w:t>
      </w:r>
      <w:r w:rsidR="00C3316A">
        <w:rPr>
          <w:rFonts w:eastAsia="Calibri"/>
          <w:sz w:val="24"/>
          <w:u w:val="single"/>
        </w:rPr>
        <w:t xml:space="preserve">:  </w:t>
      </w:r>
      <w:r w:rsidRPr="001D202A">
        <w:rPr>
          <w:rFonts w:eastAsia="Calibri"/>
          <w:sz w:val="24"/>
        </w:rPr>
        <w:t>Two commenters asked that facilities be notified when a near miss has been reported for their installation or unit</w:t>
      </w:r>
      <w:r w:rsidR="00246E27">
        <w:rPr>
          <w:rFonts w:eastAsia="Calibri"/>
          <w:sz w:val="24"/>
        </w:rPr>
        <w:t>; however,</w:t>
      </w:r>
      <w:r w:rsidRPr="001D202A">
        <w:rPr>
          <w:sz w:val="24"/>
        </w:rPr>
        <w:t xml:space="preserve"> BTS</w:t>
      </w:r>
      <w:r w:rsidR="00246E27">
        <w:rPr>
          <w:sz w:val="24"/>
        </w:rPr>
        <w:t xml:space="preserve"> </w:t>
      </w:r>
      <w:r w:rsidRPr="001D202A">
        <w:rPr>
          <w:sz w:val="24"/>
        </w:rPr>
        <w:t>cannot notify</w:t>
      </w:r>
      <w:r w:rsidR="00246E27">
        <w:rPr>
          <w:sz w:val="24"/>
        </w:rPr>
        <w:t xml:space="preserve"> an owner or operator </w:t>
      </w:r>
      <w:r w:rsidR="008F19EF">
        <w:rPr>
          <w:sz w:val="24"/>
        </w:rPr>
        <w:t>about</w:t>
      </w:r>
      <w:r w:rsidR="00246E27">
        <w:rPr>
          <w:sz w:val="24"/>
        </w:rPr>
        <w:t xml:space="preserve"> a near </w:t>
      </w:r>
      <w:r w:rsidRPr="001D202A">
        <w:rPr>
          <w:sz w:val="24"/>
        </w:rPr>
        <w:t xml:space="preserve">miss without jeopardizing the anonymity of the individual </w:t>
      </w:r>
      <w:r w:rsidR="008F19EF">
        <w:rPr>
          <w:sz w:val="24"/>
        </w:rPr>
        <w:t>reporting</w:t>
      </w:r>
      <w:r w:rsidRPr="001D202A">
        <w:rPr>
          <w:sz w:val="24"/>
        </w:rPr>
        <w:t xml:space="preserve"> </w:t>
      </w:r>
      <w:r w:rsidR="00C4374E">
        <w:rPr>
          <w:sz w:val="24"/>
        </w:rPr>
        <w:t xml:space="preserve">the incident </w:t>
      </w:r>
      <w:r w:rsidRPr="001D202A">
        <w:rPr>
          <w:sz w:val="24"/>
        </w:rPr>
        <w:t>or the confidentiali</w:t>
      </w:r>
      <w:r w:rsidR="00C4374E">
        <w:rPr>
          <w:sz w:val="24"/>
        </w:rPr>
        <w:t xml:space="preserve">ty of the information provided—and </w:t>
      </w:r>
      <w:r w:rsidRPr="001D202A">
        <w:rPr>
          <w:sz w:val="24"/>
        </w:rPr>
        <w:t xml:space="preserve">thus violating statutory </w:t>
      </w:r>
      <w:r w:rsidR="00077BA3">
        <w:rPr>
          <w:sz w:val="24"/>
        </w:rPr>
        <w:t xml:space="preserve">CIPSEA </w:t>
      </w:r>
      <w:r w:rsidR="00C4374E">
        <w:rPr>
          <w:sz w:val="24"/>
        </w:rPr>
        <w:t xml:space="preserve">protections—unless </w:t>
      </w:r>
      <w:r w:rsidRPr="001D202A">
        <w:rPr>
          <w:sz w:val="24"/>
        </w:rPr>
        <w:t xml:space="preserve">the reporter consents. </w:t>
      </w:r>
      <w:r w:rsidR="00D40343">
        <w:rPr>
          <w:sz w:val="24"/>
        </w:rPr>
        <w:t>Moreover, i</w:t>
      </w:r>
      <w:r w:rsidRPr="001D202A">
        <w:rPr>
          <w:sz w:val="24"/>
        </w:rPr>
        <w:t xml:space="preserve">f the person's identity were discovered, </w:t>
      </w:r>
      <w:r w:rsidR="00D40343">
        <w:rPr>
          <w:sz w:val="24"/>
        </w:rPr>
        <w:t>they could face</w:t>
      </w:r>
      <w:r w:rsidRPr="001D202A">
        <w:rPr>
          <w:sz w:val="24"/>
        </w:rPr>
        <w:t xml:space="preserve"> potential sanctions or retaliation by the company. The National Commission recommended that whistleblowers who notify authorities about lapses in safety be provided protection: </w:t>
      </w:r>
      <w:r w:rsidRPr="001D202A">
        <w:rPr>
          <w:i/>
          <w:iCs/>
          <w:sz w:val="24"/>
        </w:rPr>
        <w:t xml:space="preserve">"All offshore workers have a duty to ensure safe operating practices to prevent accidents. To ensure all workers, regardless of employer, will take appropriate action whenever necessary, Congress should amend the Outer Continental Shelf Lands Act or specific safety statutes to provide the same whistleblower protection </w:t>
      </w:r>
      <w:proofErr w:type="gramStart"/>
      <w:r w:rsidRPr="001D202A">
        <w:rPr>
          <w:i/>
          <w:iCs/>
          <w:sz w:val="24"/>
        </w:rPr>
        <w:t>that workers</w:t>
      </w:r>
      <w:proofErr w:type="gramEnd"/>
      <w:r w:rsidRPr="001D202A">
        <w:rPr>
          <w:i/>
          <w:iCs/>
          <w:sz w:val="24"/>
        </w:rPr>
        <w:t xml:space="preserve"> are guaranteed in other comparable settings."</w:t>
      </w:r>
      <w:r w:rsidRPr="001D202A">
        <w:rPr>
          <w:sz w:val="24"/>
        </w:rPr>
        <w:t xml:space="preserve">  </w:t>
      </w:r>
    </w:p>
    <w:p w:rsidR="00B22B2E" w:rsidRPr="001D202A" w:rsidRDefault="00B22B2E" w:rsidP="001D202A">
      <w:pPr>
        <w:widowControl/>
        <w:autoSpaceDE/>
        <w:autoSpaceDN/>
        <w:adjustRightInd/>
        <w:ind w:firstLine="360"/>
        <w:rPr>
          <w:sz w:val="24"/>
        </w:rPr>
      </w:pPr>
    </w:p>
    <w:p w:rsidR="001D202A" w:rsidRDefault="001D202A" w:rsidP="00C3316A">
      <w:pPr>
        <w:widowControl/>
        <w:autoSpaceDE/>
        <w:autoSpaceDN/>
        <w:adjustRightInd/>
        <w:spacing w:after="200"/>
        <w:contextualSpacing/>
        <w:rPr>
          <w:sz w:val="24"/>
        </w:rPr>
      </w:pPr>
      <w:r w:rsidRPr="001D202A">
        <w:rPr>
          <w:rFonts w:eastAsia="Calibri"/>
          <w:sz w:val="24"/>
          <w:u w:val="single"/>
        </w:rPr>
        <w:lastRenderedPageBreak/>
        <w:t>Program Evaluation</w:t>
      </w:r>
      <w:r w:rsidR="00C3316A">
        <w:rPr>
          <w:rFonts w:eastAsia="Calibri"/>
          <w:sz w:val="24"/>
          <w:u w:val="single"/>
        </w:rPr>
        <w:t xml:space="preserve">:  </w:t>
      </w:r>
      <w:r w:rsidRPr="001D202A">
        <w:rPr>
          <w:rFonts w:eastAsia="Calibri"/>
          <w:sz w:val="24"/>
        </w:rPr>
        <w:t xml:space="preserve">One commenter requested that BTS report </w:t>
      </w:r>
      <w:r w:rsidR="00E06588">
        <w:rPr>
          <w:rFonts w:eastAsia="Calibri"/>
          <w:sz w:val="24"/>
        </w:rPr>
        <w:t>program</w:t>
      </w:r>
      <w:r w:rsidRPr="001D202A">
        <w:rPr>
          <w:rFonts w:eastAsia="Calibri"/>
          <w:sz w:val="24"/>
        </w:rPr>
        <w:t xml:space="preserve"> results at least once a year and that the program be evaluated after two years of operation. </w:t>
      </w:r>
      <w:r w:rsidR="00A0613E">
        <w:rPr>
          <w:rFonts w:eastAsia="Calibri"/>
          <w:sz w:val="24"/>
        </w:rPr>
        <w:t>I</w:t>
      </w:r>
      <w:r w:rsidRPr="001D202A">
        <w:rPr>
          <w:rFonts w:eastAsia="Calibri"/>
          <w:sz w:val="24"/>
        </w:rPr>
        <w:t xml:space="preserve">n the </w:t>
      </w:r>
      <w:r w:rsidR="00113C02" w:rsidRPr="001D202A">
        <w:rPr>
          <w:rFonts w:eastAsia="Calibri"/>
          <w:sz w:val="24"/>
        </w:rPr>
        <w:t xml:space="preserve">aviation </w:t>
      </w:r>
      <w:r w:rsidR="00113C02">
        <w:rPr>
          <w:rFonts w:eastAsia="Calibri"/>
          <w:sz w:val="24"/>
        </w:rPr>
        <w:t>and</w:t>
      </w:r>
      <w:r w:rsidR="0078645E">
        <w:rPr>
          <w:rFonts w:eastAsia="Calibri"/>
          <w:sz w:val="24"/>
        </w:rPr>
        <w:t xml:space="preserve"> rail </w:t>
      </w:r>
      <w:r w:rsidR="00A0613E">
        <w:rPr>
          <w:rFonts w:eastAsia="Calibri"/>
          <w:sz w:val="24"/>
        </w:rPr>
        <w:t>industries, r</w:t>
      </w:r>
      <w:r w:rsidRPr="001D202A">
        <w:rPr>
          <w:rFonts w:eastAsia="Calibri"/>
          <w:sz w:val="24"/>
        </w:rPr>
        <w:t>esults of near miss reporting took a commitment of several years before reporting frequency took off</w:t>
      </w:r>
      <w:r w:rsidR="00555FD7">
        <w:rPr>
          <w:rFonts w:eastAsia="Calibri"/>
          <w:sz w:val="24"/>
        </w:rPr>
        <w:t>,</w:t>
      </w:r>
      <w:r w:rsidRPr="001D202A">
        <w:rPr>
          <w:rFonts w:eastAsia="Calibri"/>
          <w:sz w:val="24"/>
        </w:rPr>
        <w:t xml:space="preserve"> and several years may be needed to establish this</w:t>
      </w:r>
      <w:r w:rsidR="00A0613E">
        <w:rPr>
          <w:rFonts w:eastAsia="Calibri"/>
          <w:sz w:val="24"/>
        </w:rPr>
        <w:t xml:space="preserve"> type of program. </w:t>
      </w:r>
      <w:r w:rsidRPr="001D202A">
        <w:rPr>
          <w:rFonts w:eastAsia="Calibri"/>
          <w:sz w:val="24"/>
        </w:rPr>
        <w:t>The potential value of sharing data in a confidential manner is worth the investment of time and effort</w:t>
      </w:r>
      <w:r w:rsidR="00C04D53">
        <w:rPr>
          <w:rFonts w:eastAsia="Calibri"/>
          <w:sz w:val="24"/>
        </w:rPr>
        <w:t>,</w:t>
      </w:r>
      <w:r w:rsidRPr="001D202A">
        <w:rPr>
          <w:rFonts w:eastAsia="Calibri"/>
          <w:sz w:val="24"/>
        </w:rPr>
        <w:t xml:space="preserve"> </w:t>
      </w:r>
      <w:r w:rsidR="00C04D53">
        <w:rPr>
          <w:rFonts w:eastAsia="Calibri"/>
          <w:sz w:val="24"/>
        </w:rPr>
        <w:t>as</w:t>
      </w:r>
      <w:r w:rsidRPr="001D202A">
        <w:rPr>
          <w:rFonts w:eastAsia="Calibri"/>
          <w:sz w:val="24"/>
        </w:rPr>
        <w:t xml:space="preserve"> the continuation of environmental and human losses is an unacceptable alternative.</w:t>
      </w:r>
      <w:r w:rsidR="00555FD7">
        <w:rPr>
          <w:rFonts w:eastAsia="Calibri"/>
          <w:sz w:val="24"/>
        </w:rPr>
        <w:t xml:space="preserve"> </w:t>
      </w:r>
      <w:r w:rsidR="00F358AE">
        <w:rPr>
          <w:rFonts w:eastAsia="Calibri"/>
          <w:sz w:val="24"/>
        </w:rPr>
        <w:t>Moreover, t</w:t>
      </w:r>
      <w:r w:rsidRPr="001D202A">
        <w:rPr>
          <w:sz w:val="24"/>
        </w:rPr>
        <w:t>he frequency of public reports will depend on how many near miss</w:t>
      </w:r>
      <w:r w:rsidR="007E7004">
        <w:rPr>
          <w:sz w:val="24"/>
        </w:rPr>
        <w:t>es</w:t>
      </w:r>
      <w:r w:rsidRPr="001D202A">
        <w:rPr>
          <w:sz w:val="24"/>
        </w:rPr>
        <w:t xml:space="preserve"> are reported to the system.  To comply with CIPSEA, reports of aggregated data must be prepared in such a way that no third party could determine the identity of a reporter, directly or indirectly. </w:t>
      </w:r>
      <w:r w:rsidR="00C3316A">
        <w:rPr>
          <w:sz w:val="24"/>
        </w:rPr>
        <w:t xml:space="preserve"> </w:t>
      </w:r>
      <w:r w:rsidRPr="001D202A">
        <w:rPr>
          <w:sz w:val="24"/>
        </w:rPr>
        <w:t>BTS expects to issue public reports at least once per year and potentially more often as appropriate</w:t>
      </w:r>
      <w:r w:rsidR="00C3316A">
        <w:rPr>
          <w:sz w:val="24"/>
        </w:rPr>
        <w:t xml:space="preserve">, subject to </w:t>
      </w:r>
      <w:r w:rsidR="003A4716">
        <w:rPr>
          <w:sz w:val="24"/>
        </w:rPr>
        <w:t>data disclosure restrictions</w:t>
      </w:r>
      <w:r w:rsidRPr="001D202A">
        <w:rPr>
          <w:sz w:val="24"/>
        </w:rPr>
        <w:t>.</w:t>
      </w:r>
    </w:p>
    <w:p w:rsidR="00555FD7" w:rsidRPr="001D202A" w:rsidRDefault="00555FD7" w:rsidP="00555FD7">
      <w:pPr>
        <w:widowControl/>
        <w:autoSpaceDE/>
        <w:autoSpaceDN/>
        <w:adjustRightInd/>
        <w:rPr>
          <w:rFonts w:eastAsia="Calibri"/>
          <w:sz w:val="24"/>
        </w:rPr>
      </w:pPr>
    </w:p>
    <w:p w:rsidR="007B3A70" w:rsidRDefault="001D202A" w:rsidP="00C3316A">
      <w:pPr>
        <w:widowControl/>
        <w:autoSpaceDE/>
        <w:autoSpaceDN/>
        <w:adjustRightInd/>
        <w:spacing w:after="200"/>
        <w:contextualSpacing/>
        <w:rPr>
          <w:i/>
          <w:iCs/>
          <w:sz w:val="24"/>
        </w:rPr>
      </w:pPr>
      <w:r w:rsidRPr="001D202A">
        <w:rPr>
          <w:rFonts w:eastAsia="Calibri"/>
          <w:sz w:val="24"/>
          <w:u w:val="single"/>
        </w:rPr>
        <w:t>Intent of the National Commission</w:t>
      </w:r>
      <w:r w:rsidR="00C3316A">
        <w:rPr>
          <w:rFonts w:eastAsia="Calibri"/>
          <w:sz w:val="24"/>
          <w:u w:val="single"/>
        </w:rPr>
        <w:t xml:space="preserve">:  </w:t>
      </w:r>
      <w:r w:rsidRPr="001D202A">
        <w:rPr>
          <w:rFonts w:eastAsia="Calibri"/>
          <w:sz w:val="24"/>
        </w:rPr>
        <w:t>One commenter</w:t>
      </w:r>
      <w:r w:rsidRPr="001D202A">
        <w:rPr>
          <w:color w:val="000000"/>
          <w:sz w:val="24"/>
        </w:rPr>
        <w:t xml:space="preserve"> correctly noted that the National Commission Report on the BP Deepwater Horizon Oil Spill was issued in 2011, not 2013 as the 60-day notice inadvertently stated. BTS, however, does not agree </w:t>
      </w:r>
      <w:r w:rsidR="00F349B2">
        <w:rPr>
          <w:color w:val="000000"/>
          <w:sz w:val="24"/>
        </w:rPr>
        <w:t>with the commenter’s suggestion</w:t>
      </w:r>
      <w:r w:rsidRPr="001D202A">
        <w:rPr>
          <w:color w:val="000000"/>
          <w:sz w:val="24"/>
        </w:rPr>
        <w:t xml:space="preserve"> that the National Commission report did not envision a government-managed system for near miss reporting, or that the Commission’s recommendation for an industry “self-policing institute that would gather incident and performance data” would satisfy the recommendation for a near miss reporting program. </w:t>
      </w:r>
      <w:r w:rsidR="00593196">
        <w:rPr>
          <w:color w:val="000000"/>
          <w:sz w:val="24"/>
        </w:rPr>
        <w:t>T</w:t>
      </w:r>
      <w:r w:rsidRPr="001D202A">
        <w:rPr>
          <w:color w:val="000000"/>
          <w:sz w:val="24"/>
        </w:rPr>
        <w:t xml:space="preserve">he two recommendations are contained in different parts of the 2011 report, and it was in that part of the report directed to the Department of the Interior that the Commission recommended that DOI: </w:t>
      </w:r>
      <w:r w:rsidRPr="001D202A">
        <w:rPr>
          <w:i/>
          <w:iCs/>
          <w:sz w:val="24"/>
        </w:rPr>
        <w:t>"Develop more detailed requirements for incident reporting and data concerning offshore incidents and ‘near misses.’ Such data collection would allow for better tracking of incidents and stronger risk assessments and analysis.”</w:t>
      </w:r>
    </w:p>
    <w:p w:rsidR="001D202A" w:rsidRDefault="001D202A" w:rsidP="001D202A">
      <w:pPr>
        <w:rPr>
          <w:i/>
          <w:iCs/>
          <w:sz w:val="24"/>
        </w:rPr>
      </w:pPr>
    </w:p>
    <w:p w:rsidR="001D202A" w:rsidRDefault="001D202A" w:rsidP="001D202A">
      <w:pPr>
        <w:rPr>
          <w:sz w:val="26"/>
          <w:szCs w:val="26"/>
        </w:rPr>
      </w:pPr>
    </w:p>
    <w:p w:rsidR="007B3A70" w:rsidRDefault="007B3A70">
      <w:pPr>
        <w:rPr>
          <w:b/>
          <w:bCs/>
          <w:sz w:val="26"/>
          <w:szCs w:val="26"/>
        </w:rPr>
      </w:pPr>
      <w:r>
        <w:rPr>
          <w:b/>
          <w:bCs/>
          <w:sz w:val="26"/>
          <w:szCs w:val="26"/>
        </w:rPr>
        <w:t>9. Explain any decision to provide any payment or gift to respondents, other than re-enumeration of contractors or grantees.</w:t>
      </w:r>
    </w:p>
    <w:p w:rsidR="007B3A70" w:rsidRDefault="007B3A70">
      <w:pPr>
        <w:rPr>
          <w:sz w:val="26"/>
          <w:szCs w:val="26"/>
        </w:rPr>
      </w:pPr>
    </w:p>
    <w:p w:rsidR="007B3A70" w:rsidRDefault="007B3A70">
      <w:pPr>
        <w:rPr>
          <w:sz w:val="26"/>
          <w:szCs w:val="26"/>
        </w:rPr>
      </w:pPr>
      <w:r>
        <w:rPr>
          <w:sz w:val="26"/>
          <w:szCs w:val="26"/>
        </w:rPr>
        <w:t>No payment or gift of any kind is being made to respondents.</w:t>
      </w:r>
    </w:p>
    <w:p w:rsidR="007B3A70" w:rsidRDefault="007B3A70">
      <w:pPr>
        <w:rPr>
          <w:sz w:val="26"/>
          <w:szCs w:val="26"/>
        </w:rPr>
      </w:pPr>
    </w:p>
    <w:p w:rsidR="003A4716" w:rsidRDefault="003A4716">
      <w:pPr>
        <w:rPr>
          <w:sz w:val="26"/>
          <w:szCs w:val="26"/>
        </w:rPr>
      </w:pPr>
    </w:p>
    <w:p w:rsidR="007B3A70" w:rsidRDefault="007B3A70">
      <w:pPr>
        <w:rPr>
          <w:b/>
          <w:bCs/>
          <w:sz w:val="26"/>
          <w:szCs w:val="26"/>
        </w:rPr>
      </w:pPr>
      <w:r w:rsidRPr="007944A3">
        <w:rPr>
          <w:b/>
          <w:bCs/>
          <w:sz w:val="26"/>
          <w:szCs w:val="26"/>
        </w:rPr>
        <w:t>10.  Describe any assurances of</w:t>
      </w:r>
      <w:r>
        <w:rPr>
          <w:b/>
          <w:bCs/>
          <w:sz w:val="26"/>
          <w:szCs w:val="26"/>
        </w:rPr>
        <w:t xml:space="preserve"> confidentiality provided to respondents.</w:t>
      </w:r>
    </w:p>
    <w:p w:rsidR="00FB7D19" w:rsidRDefault="00FB7D19">
      <w:pPr>
        <w:rPr>
          <w:b/>
          <w:bCs/>
          <w:sz w:val="26"/>
          <w:szCs w:val="26"/>
        </w:rPr>
      </w:pPr>
    </w:p>
    <w:p w:rsidR="00FB7D19" w:rsidRDefault="00FB7D19" w:rsidP="00FB7D19">
      <w:pPr>
        <w:rPr>
          <w:bCs/>
          <w:sz w:val="24"/>
        </w:rPr>
      </w:pPr>
      <w:r w:rsidRPr="007944A3">
        <w:rPr>
          <w:bCs/>
          <w:sz w:val="24"/>
        </w:rPr>
        <w:t xml:space="preserve">The confidentiality of </w:t>
      </w:r>
      <w:r w:rsidR="007944A3">
        <w:rPr>
          <w:bCs/>
          <w:sz w:val="24"/>
        </w:rPr>
        <w:t>near miss</w:t>
      </w:r>
      <w:r w:rsidRPr="007944A3">
        <w:rPr>
          <w:bCs/>
          <w:sz w:val="24"/>
        </w:rPr>
        <w:t xml:space="preserve"> data is protected under the BTS confidentiality statute (49 U.S.C. </w:t>
      </w:r>
      <w:r w:rsidR="00094E2F" w:rsidRPr="007944A3">
        <w:rPr>
          <w:bCs/>
          <w:sz w:val="24"/>
        </w:rPr>
        <w:t>6302</w:t>
      </w:r>
      <w:r w:rsidR="00E06035" w:rsidRPr="007944A3">
        <w:rPr>
          <w:bCs/>
          <w:sz w:val="24"/>
        </w:rPr>
        <w:t>)</w:t>
      </w:r>
      <w:r w:rsidRPr="007944A3">
        <w:rPr>
          <w:bCs/>
          <w:sz w:val="24"/>
        </w:rPr>
        <w:t xml:space="preserve"> and CIPSEA (Public Law 107-347, Title V).  In accordance with these confidentiality statutes, only statistical and non-identifying data will be made publicly available through reports.  Further, BTS will not release to any public or private entity any information that might reveal the identity of individuals </w:t>
      </w:r>
      <w:r w:rsidR="00094E2F" w:rsidRPr="007944A3">
        <w:rPr>
          <w:bCs/>
          <w:sz w:val="24"/>
        </w:rPr>
        <w:t xml:space="preserve">reporting </w:t>
      </w:r>
      <w:r w:rsidR="00075CD6">
        <w:rPr>
          <w:bCs/>
          <w:sz w:val="24"/>
        </w:rPr>
        <w:t xml:space="preserve">near misses or any other individuals </w:t>
      </w:r>
      <w:r w:rsidRPr="007944A3">
        <w:rPr>
          <w:bCs/>
          <w:sz w:val="24"/>
        </w:rPr>
        <w:t xml:space="preserve">mentioned in </w:t>
      </w:r>
      <w:r w:rsidR="00094E2F" w:rsidRPr="007944A3">
        <w:rPr>
          <w:bCs/>
          <w:sz w:val="24"/>
        </w:rPr>
        <w:t>these reports</w:t>
      </w:r>
      <w:r w:rsidRPr="007944A3">
        <w:rPr>
          <w:bCs/>
          <w:sz w:val="24"/>
        </w:rPr>
        <w:t>.</w:t>
      </w:r>
    </w:p>
    <w:p w:rsidR="003A4716" w:rsidRPr="007944A3" w:rsidRDefault="003A4716" w:rsidP="00FB7D19">
      <w:pPr>
        <w:rPr>
          <w:bCs/>
          <w:sz w:val="24"/>
        </w:rPr>
      </w:pPr>
    </w:p>
    <w:p w:rsidR="007B3A70" w:rsidRPr="007944A3" w:rsidRDefault="007B3A70">
      <w:pPr>
        <w:rPr>
          <w:sz w:val="24"/>
        </w:rPr>
      </w:pPr>
    </w:p>
    <w:p w:rsidR="007B3A70" w:rsidRDefault="007B3A70">
      <w:pPr>
        <w:rPr>
          <w:b/>
          <w:bCs/>
          <w:sz w:val="26"/>
          <w:szCs w:val="26"/>
        </w:rPr>
      </w:pPr>
      <w:r w:rsidRPr="00743A7B">
        <w:rPr>
          <w:b/>
          <w:bCs/>
          <w:sz w:val="26"/>
          <w:szCs w:val="26"/>
        </w:rPr>
        <w:t>11.  Are there any questions of a sensitive nature?</w:t>
      </w:r>
    </w:p>
    <w:p w:rsidR="002C26F7" w:rsidRDefault="002C26F7" w:rsidP="002C26F7">
      <w:pPr>
        <w:rPr>
          <w:sz w:val="24"/>
        </w:rPr>
      </w:pPr>
    </w:p>
    <w:p w:rsidR="002C26F7" w:rsidRPr="00370662" w:rsidRDefault="00AF0E48" w:rsidP="002C26F7">
      <w:pPr>
        <w:rPr>
          <w:sz w:val="24"/>
        </w:rPr>
      </w:pPr>
      <w:r>
        <w:rPr>
          <w:sz w:val="24"/>
        </w:rPr>
        <w:t>T</w:t>
      </w:r>
      <w:r w:rsidR="002266DB">
        <w:rPr>
          <w:sz w:val="24"/>
        </w:rPr>
        <w:t xml:space="preserve">here are no </w:t>
      </w:r>
      <w:r w:rsidR="007B3A70" w:rsidRPr="007529FE">
        <w:rPr>
          <w:sz w:val="24"/>
        </w:rPr>
        <w:t xml:space="preserve">questions of </w:t>
      </w:r>
      <w:r>
        <w:rPr>
          <w:sz w:val="24"/>
        </w:rPr>
        <w:t xml:space="preserve">a </w:t>
      </w:r>
      <w:r w:rsidR="007B3A70" w:rsidRPr="007529FE">
        <w:rPr>
          <w:sz w:val="24"/>
        </w:rPr>
        <w:t>sensitive</w:t>
      </w:r>
      <w:r>
        <w:rPr>
          <w:sz w:val="24"/>
        </w:rPr>
        <w:t xml:space="preserve"> or </w:t>
      </w:r>
      <w:r w:rsidR="002C26F7">
        <w:rPr>
          <w:sz w:val="24"/>
        </w:rPr>
        <w:t>personal</w:t>
      </w:r>
      <w:r w:rsidR="007B3A70" w:rsidRPr="007529FE">
        <w:rPr>
          <w:sz w:val="24"/>
        </w:rPr>
        <w:t xml:space="preserve"> nature</w:t>
      </w:r>
      <w:r w:rsidR="002266DB">
        <w:rPr>
          <w:sz w:val="24"/>
        </w:rPr>
        <w:t xml:space="preserve">, </w:t>
      </w:r>
      <w:r>
        <w:rPr>
          <w:sz w:val="24"/>
        </w:rPr>
        <w:t xml:space="preserve">although </w:t>
      </w:r>
      <w:r w:rsidR="002266DB">
        <w:rPr>
          <w:sz w:val="24"/>
        </w:rPr>
        <w:t xml:space="preserve">reporting of a </w:t>
      </w:r>
      <w:r w:rsidR="00743A7B">
        <w:rPr>
          <w:sz w:val="24"/>
        </w:rPr>
        <w:t>near miss</w:t>
      </w:r>
      <w:r w:rsidR="002266DB">
        <w:rPr>
          <w:sz w:val="24"/>
        </w:rPr>
        <w:t xml:space="preserve"> </w:t>
      </w:r>
      <w:r w:rsidR="00B71947">
        <w:rPr>
          <w:sz w:val="24"/>
        </w:rPr>
        <w:t>could</w:t>
      </w:r>
      <w:r w:rsidR="002266DB">
        <w:rPr>
          <w:sz w:val="24"/>
        </w:rPr>
        <w:t xml:space="preserve"> </w:t>
      </w:r>
      <w:r w:rsidR="002266DB">
        <w:rPr>
          <w:sz w:val="24"/>
        </w:rPr>
        <w:lastRenderedPageBreak/>
        <w:t>potentially place the employee at risk for disciplinary action</w:t>
      </w:r>
      <w:r w:rsidR="00FC7F66">
        <w:rPr>
          <w:sz w:val="24"/>
        </w:rPr>
        <w:t xml:space="preserve"> </w:t>
      </w:r>
      <w:r w:rsidR="00B71947">
        <w:rPr>
          <w:sz w:val="24"/>
        </w:rPr>
        <w:t>with</w:t>
      </w:r>
      <w:r w:rsidR="006933D0">
        <w:rPr>
          <w:sz w:val="24"/>
        </w:rPr>
        <w:t>out the</w:t>
      </w:r>
      <w:r w:rsidR="00B71947">
        <w:rPr>
          <w:sz w:val="24"/>
        </w:rPr>
        <w:t xml:space="preserve"> protections </w:t>
      </w:r>
      <w:r w:rsidR="006933D0">
        <w:rPr>
          <w:sz w:val="24"/>
        </w:rPr>
        <w:t xml:space="preserve">afforded </w:t>
      </w:r>
      <w:r w:rsidR="00B71947">
        <w:rPr>
          <w:sz w:val="24"/>
        </w:rPr>
        <w:t>by CIPSEA</w:t>
      </w:r>
      <w:r w:rsidR="007B3A70" w:rsidRPr="007529FE">
        <w:rPr>
          <w:sz w:val="24"/>
        </w:rPr>
        <w:t>.</w:t>
      </w:r>
      <w:r w:rsidR="003C6E58" w:rsidRPr="007529FE">
        <w:rPr>
          <w:sz w:val="24"/>
        </w:rPr>
        <w:t xml:space="preserve">  </w:t>
      </w:r>
    </w:p>
    <w:p w:rsidR="007B3A70" w:rsidRDefault="007B3A70">
      <w:pPr>
        <w:rPr>
          <w:sz w:val="26"/>
          <w:szCs w:val="26"/>
        </w:rPr>
      </w:pPr>
    </w:p>
    <w:p w:rsidR="003A4716" w:rsidRDefault="003A4716">
      <w:pPr>
        <w:rPr>
          <w:sz w:val="26"/>
          <w:szCs w:val="26"/>
        </w:rPr>
      </w:pPr>
    </w:p>
    <w:p w:rsidR="007B3A70" w:rsidRDefault="007B3A70">
      <w:pPr>
        <w:rPr>
          <w:sz w:val="26"/>
          <w:szCs w:val="26"/>
        </w:rPr>
      </w:pPr>
      <w:r>
        <w:rPr>
          <w:b/>
          <w:bCs/>
          <w:sz w:val="26"/>
          <w:szCs w:val="26"/>
        </w:rPr>
        <w:t>12.  Provide estimates of reporting burden</w:t>
      </w:r>
      <w:r>
        <w:rPr>
          <w:sz w:val="26"/>
          <w:szCs w:val="26"/>
        </w:rPr>
        <w:t>.</w:t>
      </w:r>
    </w:p>
    <w:p w:rsidR="00E06035" w:rsidRDefault="00E06035" w:rsidP="006F20C0">
      <w:pPr>
        <w:rPr>
          <w:sz w:val="24"/>
        </w:rPr>
      </w:pPr>
    </w:p>
    <w:p w:rsidR="006F20C0" w:rsidRDefault="006D299D" w:rsidP="006F20C0">
      <w:pPr>
        <w:rPr>
          <w:sz w:val="24"/>
        </w:rPr>
      </w:pPr>
      <w:r>
        <w:rPr>
          <w:sz w:val="24"/>
        </w:rPr>
        <w:t>Based on near miss reporting trends in other industries, BTS expects to receive no more than two responses per calendar day during the first three years of the program</w:t>
      </w:r>
      <w:r w:rsidR="00D81371">
        <w:rPr>
          <w:sz w:val="24"/>
        </w:rPr>
        <w:t xml:space="preserve">, or a total of 730 responses per year. </w:t>
      </w:r>
    </w:p>
    <w:p w:rsidR="00AF7C5A" w:rsidRDefault="00AF7C5A" w:rsidP="006F20C0">
      <w:pPr>
        <w:rPr>
          <w:sz w:val="24"/>
        </w:rPr>
      </w:pPr>
    </w:p>
    <w:p w:rsidR="00AF7C5A" w:rsidRDefault="00AF7C5A" w:rsidP="00AF7C5A">
      <w:pPr>
        <w:rPr>
          <w:sz w:val="24"/>
        </w:rPr>
      </w:pPr>
      <w:r w:rsidRPr="00AF7C5A">
        <w:rPr>
          <w:sz w:val="24"/>
        </w:rPr>
        <w:t>The data collection process consists of a) the reporting employe</w:t>
      </w:r>
      <w:r w:rsidR="003A4716">
        <w:rPr>
          <w:sz w:val="24"/>
        </w:rPr>
        <w:t>e filling out a report form (</w:t>
      </w:r>
      <w:r w:rsidRPr="00AF7C5A">
        <w:rPr>
          <w:sz w:val="24"/>
        </w:rPr>
        <w:t>estimate</w:t>
      </w:r>
      <w:r w:rsidR="003A4716">
        <w:rPr>
          <w:sz w:val="24"/>
        </w:rPr>
        <w:t>d</w:t>
      </w:r>
      <w:r w:rsidR="00440AA7">
        <w:rPr>
          <w:sz w:val="24"/>
        </w:rPr>
        <w:t xml:space="preserve"> </w:t>
      </w:r>
      <w:r w:rsidR="003A4716">
        <w:rPr>
          <w:sz w:val="24"/>
        </w:rPr>
        <w:t>time of</w:t>
      </w:r>
      <w:r w:rsidRPr="00AF7C5A">
        <w:rPr>
          <w:sz w:val="24"/>
        </w:rPr>
        <w:t xml:space="preserve"> completion</w:t>
      </w:r>
      <w:r w:rsidR="003A4716">
        <w:rPr>
          <w:sz w:val="24"/>
        </w:rPr>
        <w:t>:</w:t>
      </w:r>
      <w:r w:rsidRPr="00AF7C5A">
        <w:rPr>
          <w:sz w:val="24"/>
        </w:rPr>
        <w:t xml:space="preserve"> no more than </w:t>
      </w:r>
      <w:r w:rsidR="00440AA7">
        <w:rPr>
          <w:b/>
          <w:sz w:val="24"/>
        </w:rPr>
        <w:t>15</w:t>
      </w:r>
      <w:r w:rsidRPr="00AF7C5A">
        <w:rPr>
          <w:b/>
          <w:sz w:val="24"/>
        </w:rPr>
        <w:t xml:space="preserve"> </w:t>
      </w:r>
      <w:r w:rsidRPr="00AF7C5A">
        <w:rPr>
          <w:sz w:val="24"/>
        </w:rPr>
        <w:t>min</w:t>
      </w:r>
      <w:r w:rsidR="00440AA7">
        <w:rPr>
          <w:sz w:val="24"/>
        </w:rPr>
        <w:t>utes</w:t>
      </w:r>
      <w:r w:rsidRPr="00AF7C5A">
        <w:rPr>
          <w:sz w:val="24"/>
        </w:rPr>
        <w:t>)</w:t>
      </w:r>
      <w:r w:rsidR="00440AA7">
        <w:rPr>
          <w:sz w:val="24"/>
        </w:rPr>
        <w:t>;</w:t>
      </w:r>
      <w:r w:rsidRPr="00AF7C5A">
        <w:rPr>
          <w:sz w:val="24"/>
        </w:rPr>
        <w:t xml:space="preserve"> and b) as needed, a confidential </w:t>
      </w:r>
      <w:r w:rsidR="009C58FD">
        <w:rPr>
          <w:sz w:val="24"/>
        </w:rPr>
        <w:t xml:space="preserve">phone </w:t>
      </w:r>
      <w:r w:rsidRPr="00AF7C5A">
        <w:rPr>
          <w:sz w:val="24"/>
        </w:rPr>
        <w:t xml:space="preserve">interview conducted by </w:t>
      </w:r>
      <w:r w:rsidR="00440AA7">
        <w:rPr>
          <w:sz w:val="24"/>
        </w:rPr>
        <w:t>SMEs</w:t>
      </w:r>
      <w:r w:rsidRPr="00AF7C5A">
        <w:rPr>
          <w:sz w:val="24"/>
        </w:rPr>
        <w:t xml:space="preserve"> in </w:t>
      </w:r>
      <w:r w:rsidR="009C58FD">
        <w:rPr>
          <w:sz w:val="24"/>
        </w:rPr>
        <w:t>a</w:t>
      </w:r>
      <w:r w:rsidRPr="00AF7C5A">
        <w:rPr>
          <w:sz w:val="24"/>
        </w:rPr>
        <w:t xml:space="preserve"> secure room (</w:t>
      </w:r>
      <w:r w:rsidR="003A4716">
        <w:rPr>
          <w:sz w:val="24"/>
        </w:rPr>
        <w:t>estimated</w:t>
      </w:r>
      <w:r w:rsidRPr="00AF7C5A">
        <w:rPr>
          <w:sz w:val="24"/>
        </w:rPr>
        <w:t xml:space="preserve"> interview time</w:t>
      </w:r>
      <w:r w:rsidR="003A4716">
        <w:rPr>
          <w:sz w:val="24"/>
        </w:rPr>
        <w:t>:</w:t>
      </w:r>
      <w:r w:rsidRPr="00AF7C5A">
        <w:rPr>
          <w:sz w:val="24"/>
        </w:rPr>
        <w:t xml:space="preserve">  </w:t>
      </w:r>
      <w:r w:rsidR="00D519D4">
        <w:rPr>
          <w:b/>
          <w:sz w:val="24"/>
        </w:rPr>
        <w:t>3</w:t>
      </w:r>
      <w:r w:rsidRPr="00AF7C5A">
        <w:rPr>
          <w:b/>
          <w:sz w:val="24"/>
        </w:rPr>
        <w:t>0 to 4</w:t>
      </w:r>
      <w:r w:rsidR="009C58FD">
        <w:rPr>
          <w:b/>
          <w:sz w:val="24"/>
        </w:rPr>
        <w:t>5</w:t>
      </w:r>
      <w:r w:rsidRPr="00AF7C5A">
        <w:rPr>
          <w:sz w:val="24"/>
        </w:rPr>
        <w:t xml:space="preserve"> min</w:t>
      </w:r>
      <w:r w:rsidR="00D519D4">
        <w:rPr>
          <w:sz w:val="24"/>
        </w:rPr>
        <w:t>utes</w:t>
      </w:r>
      <w:r w:rsidRPr="00AF7C5A">
        <w:rPr>
          <w:sz w:val="24"/>
        </w:rPr>
        <w:t>)</w:t>
      </w:r>
      <w:r w:rsidR="008179DF">
        <w:rPr>
          <w:sz w:val="24"/>
        </w:rPr>
        <w:t>,</w:t>
      </w:r>
      <w:r w:rsidRPr="00AF7C5A">
        <w:rPr>
          <w:sz w:val="24"/>
        </w:rPr>
        <w:t xml:space="preserve"> for a total time of up to 60 min</w:t>
      </w:r>
      <w:r w:rsidR="00D519D4">
        <w:rPr>
          <w:sz w:val="24"/>
        </w:rPr>
        <w:t>utes</w:t>
      </w:r>
      <w:r w:rsidRPr="00AF7C5A">
        <w:rPr>
          <w:sz w:val="24"/>
        </w:rPr>
        <w:t xml:space="preserve"> per </w:t>
      </w:r>
      <w:r w:rsidR="00D519D4">
        <w:rPr>
          <w:sz w:val="24"/>
        </w:rPr>
        <w:t>near miss</w:t>
      </w:r>
      <w:r w:rsidRPr="00AF7C5A">
        <w:rPr>
          <w:sz w:val="24"/>
        </w:rPr>
        <w:t xml:space="preserve"> report. </w:t>
      </w:r>
    </w:p>
    <w:p w:rsidR="00AF7C5A" w:rsidRDefault="00AF7C5A" w:rsidP="00AF7C5A">
      <w:pPr>
        <w:rPr>
          <w:sz w:val="24"/>
        </w:rPr>
      </w:pPr>
    </w:p>
    <w:p w:rsidR="00AF7C5A" w:rsidRPr="00AF7C5A" w:rsidRDefault="00AF7C5A" w:rsidP="00AF7C5A">
      <w:pPr>
        <w:rPr>
          <w:sz w:val="24"/>
        </w:rPr>
      </w:pPr>
      <w:r w:rsidRPr="00AF7C5A">
        <w:rPr>
          <w:sz w:val="24"/>
        </w:rPr>
        <w:t xml:space="preserve">NOTE: not every employee </w:t>
      </w:r>
      <w:r>
        <w:rPr>
          <w:sz w:val="24"/>
        </w:rPr>
        <w:t>will</w:t>
      </w:r>
      <w:r w:rsidRPr="00AF7C5A">
        <w:rPr>
          <w:sz w:val="24"/>
        </w:rPr>
        <w:t xml:space="preserve"> be interviewed.  As a rule, </w:t>
      </w:r>
      <w:r w:rsidR="008179DF">
        <w:rPr>
          <w:sz w:val="24"/>
        </w:rPr>
        <w:t>the SMEs</w:t>
      </w:r>
      <w:r>
        <w:rPr>
          <w:sz w:val="24"/>
        </w:rPr>
        <w:t xml:space="preserve"> will</w:t>
      </w:r>
      <w:r w:rsidRPr="00AF7C5A">
        <w:rPr>
          <w:sz w:val="24"/>
        </w:rPr>
        <w:t xml:space="preserve"> interview everyone </w:t>
      </w:r>
      <w:r w:rsidR="004E1392">
        <w:rPr>
          <w:sz w:val="24"/>
        </w:rPr>
        <w:t xml:space="preserve">who consents to an interview </w:t>
      </w:r>
      <w:r w:rsidRPr="00AF7C5A">
        <w:rPr>
          <w:sz w:val="24"/>
        </w:rPr>
        <w:t xml:space="preserve">at the beginning of the project (first </w:t>
      </w:r>
      <w:r w:rsidR="004E1392">
        <w:rPr>
          <w:sz w:val="24"/>
        </w:rPr>
        <w:t>12</w:t>
      </w:r>
      <w:r w:rsidRPr="00AF7C5A">
        <w:rPr>
          <w:sz w:val="24"/>
        </w:rPr>
        <w:t xml:space="preserve"> months) to get a better understandi</w:t>
      </w:r>
      <w:r>
        <w:rPr>
          <w:sz w:val="24"/>
        </w:rPr>
        <w:t>ng of the type</w:t>
      </w:r>
      <w:r w:rsidR="008179DF">
        <w:rPr>
          <w:sz w:val="24"/>
        </w:rPr>
        <w:t>s</w:t>
      </w:r>
      <w:r>
        <w:rPr>
          <w:sz w:val="24"/>
        </w:rPr>
        <w:t xml:space="preserve"> of incidents</w:t>
      </w:r>
      <w:r w:rsidRPr="00AF7C5A">
        <w:rPr>
          <w:sz w:val="24"/>
        </w:rPr>
        <w:t xml:space="preserve"> reported as </w:t>
      </w:r>
      <w:r w:rsidR="008179DF">
        <w:rPr>
          <w:sz w:val="24"/>
        </w:rPr>
        <w:t>near misses</w:t>
      </w:r>
      <w:r w:rsidRPr="00AF7C5A">
        <w:rPr>
          <w:sz w:val="24"/>
        </w:rPr>
        <w:t xml:space="preserve"> and </w:t>
      </w:r>
      <w:r w:rsidR="008179DF">
        <w:rPr>
          <w:sz w:val="24"/>
        </w:rPr>
        <w:t xml:space="preserve">to </w:t>
      </w:r>
      <w:r w:rsidRPr="00AF7C5A">
        <w:rPr>
          <w:sz w:val="24"/>
        </w:rPr>
        <w:t xml:space="preserve">collect enough detail to determine appropriate approaches to root cause analysis of </w:t>
      </w:r>
      <w:r w:rsidR="006A1406">
        <w:rPr>
          <w:sz w:val="24"/>
        </w:rPr>
        <w:t>the near miss</w:t>
      </w:r>
      <w:r w:rsidRPr="00AF7C5A">
        <w:rPr>
          <w:sz w:val="24"/>
        </w:rPr>
        <w:t xml:space="preserve"> data.</w:t>
      </w:r>
      <w:r w:rsidR="004E1392">
        <w:rPr>
          <w:sz w:val="24"/>
        </w:rPr>
        <w:t xml:space="preserve">  BTS estimates that approximately 30% of respondents will consent to an interview.  After the first full year of reporting, BTS plans to conduct interviews</w:t>
      </w:r>
      <w:r w:rsidR="00691421">
        <w:rPr>
          <w:sz w:val="24"/>
        </w:rPr>
        <w:t>,</w:t>
      </w:r>
      <w:r w:rsidR="00050D6D">
        <w:rPr>
          <w:sz w:val="24"/>
        </w:rPr>
        <w:t xml:space="preserve"> with respondents’ consent</w:t>
      </w:r>
      <w:r w:rsidR="00691421">
        <w:rPr>
          <w:sz w:val="24"/>
        </w:rPr>
        <w:t>,</w:t>
      </w:r>
      <w:r w:rsidR="004E1392">
        <w:rPr>
          <w:sz w:val="24"/>
        </w:rPr>
        <w:t xml:space="preserve"> </w:t>
      </w:r>
      <w:r w:rsidR="00050D6D">
        <w:rPr>
          <w:sz w:val="24"/>
        </w:rPr>
        <w:t>on a limited basis; only when</w:t>
      </w:r>
      <w:r w:rsidR="004E1392">
        <w:rPr>
          <w:sz w:val="24"/>
        </w:rPr>
        <w:t xml:space="preserve"> an interview is deemed necessary to collect </w:t>
      </w:r>
      <w:r w:rsidR="00050D6D">
        <w:rPr>
          <w:sz w:val="24"/>
        </w:rPr>
        <w:t xml:space="preserve">information needed </w:t>
      </w:r>
      <w:r w:rsidR="00691421">
        <w:rPr>
          <w:sz w:val="24"/>
        </w:rPr>
        <w:t>for identification of</w:t>
      </w:r>
      <w:r w:rsidR="00050D6D">
        <w:rPr>
          <w:sz w:val="24"/>
        </w:rPr>
        <w:t xml:space="preserve"> potential root causes of the reported event </w:t>
      </w:r>
      <w:r w:rsidR="00691421">
        <w:rPr>
          <w:sz w:val="24"/>
        </w:rPr>
        <w:t xml:space="preserve">and it’s </w:t>
      </w:r>
      <w:r w:rsidR="00050D6D">
        <w:rPr>
          <w:sz w:val="24"/>
        </w:rPr>
        <w:t>missing from the report</w:t>
      </w:r>
      <w:r w:rsidR="00691421">
        <w:rPr>
          <w:sz w:val="24"/>
        </w:rPr>
        <w:t>.</w:t>
      </w:r>
      <w:r w:rsidR="00050D6D">
        <w:rPr>
          <w:sz w:val="24"/>
        </w:rPr>
        <w:t xml:space="preserve"> </w:t>
      </w:r>
    </w:p>
    <w:p w:rsidR="00DE7392" w:rsidRDefault="00DE7392" w:rsidP="006F20C0">
      <w:pPr>
        <w:rPr>
          <w:sz w:val="24"/>
        </w:rPr>
      </w:pPr>
    </w:p>
    <w:tbl>
      <w:tblPr>
        <w:tblStyle w:val="TableGrid"/>
        <w:tblW w:w="0" w:type="auto"/>
        <w:jc w:val="center"/>
        <w:tblLook w:val="04A0" w:firstRow="1" w:lastRow="0" w:firstColumn="1" w:lastColumn="0" w:noHBand="0" w:noVBand="1"/>
      </w:tblPr>
      <w:tblGrid>
        <w:gridCol w:w="2563"/>
        <w:gridCol w:w="5222"/>
      </w:tblGrid>
      <w:tr w:rsidR="00C2601B" w:rsidTr="00737C44">
        <w:trPr>
          <w:jc w:val="center"/>
        </w:trPr>
        <w:tc>
          <w:tcPr>
            <w:tcW w:w="0" w:type="auto"/>
          </w:tcPr>
          <w:p w:rsidR="00C2601B" w:rsidRDefault="00C2601B">
            <w:pPr>
              <w:rPr>
                <w:sz w:val="24"/>
              </w:rPr>
            </w:pPr>
            <w:r w:rsidRPr="007529FE">
              <w:rPr>
                <w:sz w:val="24"/>
              </w:rPr>
              <w:t>Number of Respon</w:t>
            </w:r>
            <w:r>
              <w:rPr>
                <w:sz w:val="24"/>
              </w:rPr>
              <w:t>ses</w:t>
            </w:r>
          </w:p>
        </w:tc>
        <w:tc>
          <w:tcPr>
            <w:tcW w:w="0" w:type="auto"/>
          </w:tcPr>
          <w:p w:rsidR="00C2601B" w:rsidRDefault="00C2601B">
            <w:pPr>
              <w:rPr>
                <w:sz w:val="24"/>
              </w:rPr>
            </w:pPr>
            <w:r>
              <w:rPr>
                <w:sz w:val="24"/>
              </w:rPr>
              <w:t>730</w:t>
            </w:r>
          </w:p>
        </w:tc>
      </w:tr>
      <w:tr w:rsidR="00C2601B" w:rsidTr="00737C44">
        <w:trPr>
          <w:jc w:val="center"/>
        </w:trPr>
        <w:tc>
          <w:tcPr>
            <w:tcW w:w="0" w:type="auto"/>
          </w:tcPr>
          <w:p w:rsidR="00C2601B" w:rsidRDefault="00C2601B">
            <w:pPr>
              <w:rPr>
                <w:sz w:val="24"/>
              </w:rPr>
            </w:pPr>
            <w:r>
              <w:rPr>
                <w:sz w:val="24"/>
              </w:rPr>
              <w:t>Number of Respondents</w:t>
            </w:r>
          </w:p>
        </w:tc>
        <w:tc>
          <w:tcPr>
            <w:tcW w:w="0" w:type="auto"/>
          </w:tcPr>
          <w:p w:rsidR="00C2601B" w:rsidRDefault="00691421">
            <w:pPr>
              <w:rPr>
                <w:sz w:val="24"/>
              </w:rPr>
            </w:pPr>
            <w:r>
              <w:rPr>
                <w:sz w:val="24"/>
              </w:rPr>
              <w:t>730</w:t>
            </w:r>
          </w:p>
        </w:tc>
      </w:tr>
      <w:tr w:rsidR="00C2601B" w:rsidTr="00737C44">
        <w:trPr>
          <w:jc w:val="center"/>
        </w:trPr>
        <w:tc>
          <w:tcPr>
            <w:tcW w:w="0" w:type="auto"/>
          </w:tcPr>
          <w:p w:rsidR="00C2601B" w:rsidRDefault="00737C44">
            <w:pPr>
              <w:rPr>
                <w:sz w:val="24"/>
              </w:rPr>
            </w:pPr>
            <w:r>
              <w:rPr>
                <w:sz w:val="24"/>
              </w:rPr>
              <w:t>Frequency of Responses</w:t>
            </w:r>
          </w:p>
        </w:tc>
        <w:tc>
          <w:tcPr>
            <w:tcW w:w="0" w:type="auto"/>
          </w:tcPr>
          <w:p w:rsidR="00C2601B" w:rsidRDefault="00691421" w:rsidP="00691421">
            <w:pPr>
              <w:rPr>
                <w:sz w:val="24"/>
              </w:rPr>
            </w:pPr>
            <w:r>
              <w:rPr>
                <w:sz w:val="24"/>
              </w:rPr>
              <w:t>Intermittent (when a near miss occurs)</w:t>
            </w:r>
          </w:p>
        </w:tc>
      </w:tr>
      <w:tr w:rsidR="00C2601B" w:rsidTr="00737C44">
        <w:trPr>
          <w:jc w:val="center"/>
        </w:trPr>
        <w:tc>
          <w:tcPr>
            <w:tcW w:w="0" w:type="auto"/>
          </w:tcPr>
          <w:p w:rsidR="00C2601B" w:rsidRDefault="00737C44">
            <w:pPr>
              <w:rPr>
                <w:sz w:val="24"/>
              </w:rPr>
            </w:pPr>
            <w:r w:rsidRPr="007529FE">
              <w:rPr>
                <w:sz w:val="24"/>
              </w:rPr>
              <w:t>Bu</w:t>
            </w:r>
            <w:r>
              <w:rPr>
                <w:sz w:val="24"/>
              </w:rPr>
              <w:t>rden per Respondent</w:t>
            </w:r>
          </w:p>
        </w:tc>
        <w:tc>
          <w:tcPr>
            <w:tcW w:w="0" w:type="auto"/>
          </w:tcPr>
          <w:p w:rsidR="00C2601B" w:rsidRDefault="00691421">
            <w:pPr>
              <w:rPr>
                <w:sz w:val="24"/>
              </w:rPr>
            </w:pPr>
            <w:r>
              <w:rPr>
                <w:sz w:val="24"/>
              </w:rPr>
              <w:t>A</w:t>
            </w:r>
            <w:r w:rsidR="00737C44">
              <w:rPr>
                <w:sz w:val="24"/>
              </w:rPr>
              <w:t xml:space="preserve">pproximately 1 hour </w:t>
            </w:r>
            <w:r w:rsidR="00737C44" w:rsidRPr="00AF7C5A">
              <w:rPr>
                <w:szCs w:val="20"/>
              </w:rPr>
              <w:t>(</w:t>
            </w:r>
            <w:r w:rsidR="00737C44">
              <w:rPr>
                <w:szCs w:val="20"/>
              </w:rPr>
              <w:t>15</w:t>
            </w:r>
            <w:r w:rsidR="00737C44" w:rsidRPr="00AF7C5A">
              <w:rPr>
                <w:szCs w:val="20"/>
              </w:rPr>
              <w:t xml:space="preserve"> min/report + </w:t>
            </w:r>
            <w:r w:rsidR="00737C44">
              <w:rPr>
                <w:szCs w:val="20"/>
              </w:rPr>
              <w:t>45</w:t>
            </w:r>
            <w:r w:rsidR="00737C44" w:rsidRPr="00AF7C5A">
              <w:rPr>
                <w:szCs w:val="20"/>
              </w:rPr>
              <w:t xml:space="preserve"> min/interview)</w:t>
            </w:r>
          </w:p>
        </w:tc>
      </w:tr>
      <w:tr w:rsidR="00C2601B" w:rsidTr="00737C44">
        <w:trPr>
          <w:jc w:val="center"/>
        </w:trPr>
        <w:tc>
          <w:tcPr>
            <w:tcW w:w="0" w:type="auto"/>
          </w:tcPr>
          <w:p w:rsidR="00C2601B" w:rsidRDefault="00737C44">
            <w:pPr>
              <w:rPr>
                <w:sz w:val="24"/>
              </w:rPr>
            </w:pPr>
            <w:r w:rsidRPr="007529FE">
              <w:rPr>
                <w:sz w:val="24"/>
              </w:rPr>
              <w:t xml:space="preserve">Annual burden hours        </w:t>
            </w:r>
          </w:p>
        </w:tc>
        <w:tc>
          <w:tcPr>
            <w:tcW w:w="0" w:type="auto"/>
          </w:tcPr>
          <w:p w:rsidR="00C2601B" w:rsidRDefault="00691421">
            <w:pPr>
              <w:rPr>
                <w:sz w:val="24"/>
              </w:rPr>
            </w:pPr>
            <w:r>
              <w:rPr>
                <w:sz w:val="24"/>
              </w:rPr>
              <w:t>730</w:t>
            </w:r>
            <w:r w:rsidR="00737C44">
              <w:rPr>
                <w:sz w:val="24"/>
              </w:rPr>
              <w:t xml:space="preserve"> hours</w:t>
            </w:r>
          </w:p>
        </w:tc>
      </w:tr>
    </w:tbl>
    <w:p w:rsidR="00DD297B" w:rsidRPr="007529FE" w:rsidRDefault="004D6FCF" w:rsidP="00737C44">
      <w:pPr>
        <w:ind w:firstLine="720"/>
        <w:rPr>
          <w:sz w:val="24"/>
        </w:rPr>
      </w:pPr>
      <w:r>
        <w:rPr>
          <w:sz w:val="24"/>
        </w:rPr>
        <w:tab/>
      </w:r>
      <w:r>
        <w:rPr>
          <w:sz w:val="24"/>
        </w:rPr>
        <w:tab/>
      </w:r>
      <w:r>
        <w:rPr>
          <w:sz w:val="24"/>
        </w:rPr>
        <w:tab/>
      </w:r>
      <w:r w:rsidR="007B3A70" w:rsidRPr="007529FE">
        <w:rPr>
          <w:sz w:val="24"/>
        </w:rPr>
        <w:t xml:space="preserve">          </w:t>
      </w:r>
    </w:p>
    <w:p w:rsidR="00DD297B" w:rsidRPr="007529FE" w:rsidRDefault="00DD297B" w:rsidP="00202E91">
      <w:pPr>
        <w:ind w:firstLine="720"/>
        <w:rPr>
          <w:sz w:val="24"/>
        </w:rPr>
      </w:pPr>
    </w:p>
    <w:p w:rsidR="00DD297B" w:rsidRPr="007529FE" w:rsidRDefault="00C650EE" w:rsidP="00DD297B">
      <w:pPr>
        <w:rPr>
          <w:sz w:val="24"/>
        </w:rPr>
      </w:pPr>
      <w:r>
        <w:rPr>
          <w:sz w:val="24"/>
        </w:rPr>
        <w:t>BTS estimates</w:t>
      </w:r>
      <w:r w:rsidR="00DD297B" w:rsidRPr="007529FE">
        <w:rPr>
          <w:sz w:val="24"/>
        </w:rPr>
        <w:t xml:space="preserve"> the </w:t>
      </w:r>
      <w:r w:rsidR="00DE7392">
        <w:rPr>
          <w:sz w:val="24"/>
        </w:rPr>
        <w:t>average</w:t>
      </w:r>
      <w:r w:rsidR="00DD297B" w:rsidRPr="007529FE">
        <w:rPr>
          <w:sz w:val="24"/>
        </w:rPr>
        <w:t xml:space="preserve"> burden time will be no more than</w:t>
      </w:r>
      <w:r>
        <w:rPr>
          <w:sz w:val="24"/>
        </w:rPr>
        <w:t xml:space="preserve"> 6</w:t>
      </w:r>
      <w:r w:rsidR="00DD297B" w:rsidRPr="007529FE">
        <w:rPr>
          <w:sz w:val="24"/>
        </w:rPr>
        <w:t>0 minutes</w:t>
      </w:r>
      <w:r>
        <w:rPr>
          <w:sz w:val="24"/>
        </w:rPr>
        <w:t xml:space="preserve"> per reported event</w:t>
      </w:r>
      <w:r w:rsidR="00DD297B" w:rsidRPr="007529FE">
        <w:rPr>
          <w:sz w:val="24"/>
        </w:rPr>
        <w:t xml:space="preserve">.  </w:t>
      </w:r>
    </w:p>
    <w:p w:rsidR="00DD297B" w:rsidRPr="007529FE" w:rsidRDefault="00DD297B" w:rsidP="00DD297B">
      <w:pPr>
        <w:rPr>
          <w:sz w:val="24"/>
        </w:rPr>
      </w:pPr>
    </w:p>
    <w:p w:rsidR="00202E91" w:rsidRDefault="004A0A66" w:rsidP="00924239">
      <w:pPr>
        <w:rPr>
          <w:sz w:val="24"/>
        </w:rPr>
      </w:pPr>
      <w:r>
        <w:rPr>
          <w:sz w:val="24"/>
        </w:rPr>
        <w:t>The a</w:t>
      </w:r>
      <w:r w:rsidR="00DD297B" w:rsidRPr="007529FE">
        <w:rPr>
          <w:sz w:val="24"/>
        </w:rPr>
        <w:t>nn</w:t>
      </w:r>
      <w:r>
        <w:rPr>
          <w:sz w:val="24"/>
        </w:rPr>
        <w:t xml:space="preserve">ualized cost is estimated to be </w:t>
      </w:r>
      <w:r w:rsidR="00DD297B" w:rsidRPr="007529FE">
        <w:rPr>
          <w:b/>
          <w:sz w:val="24"/>
        </w:rPr>
        <w:t>$</w:t>
      </w:r>
      <w:r w:rsidR="005F75C6">
        <w:rPr>
          <w:b/>
          <w:sz w:val="24"/>
        </w:rPr>
        <w:t>1</w:t>
      </w:r>
      <w:r w:rsidR="00603FE1">
        <w:rPr>
          <w:b/>
          <w:sz w:val="24"/>
        </w:rPr>
        <w:t>9,</w:t>
      </w:r>
      <w:r w:rsidR="005F75C6">
        <w:rPr>
          <w:b/>
          <w:sz w:val="24"/>
        </w:rPr>
        <w:t>480</w:t>
      </w:r>
      <w:r w:rsidR="001073CC">
        <w:rPr>
          <w:sz w:val="24"/>
        </w:rPr>
        <w:t>.</w:t>
      </w:r>
      <w:r w:rsidR="00603FE1">
        <w:rPr>
          <w:sz w:val="24"/>
        </w:rPr>
        <w:t xml:space="preserve"> </w:t>
      </w:r>
      <w:r w:rsidR="00850AD6">
        <w:rPr>
          <w:sz w:val="24"/>
        </w:rPr>
        <w:t>As shown below, t</w:t>
      </w:r>
      <w:r w:rsidR="003D197D" w:rsidRPr="003D197D">
        <w:rPr>
          <w:sz w:val="24"/>
        </w:rPr>
        <w:t xml:space="preserve">he annualized cost is estimated based on </w:t>
      </w:r>
      <w:r w:rsidR="006530EF">
        <w:rPr>
          <w:sz w:val="24"/>
        </w:rPr>
        <w:t xml:space="preserve">the average hourly rates of employees in the Construction and Extraction Occupations (47-000) </w:t>
      </w:r>
      <w:r w:rsidR="003D197D" w:rsidRPr="003D197D">
        <w:rPr>
          <w:sz w:val="24"/>
        </w:rPr>
        <w:t xml:space="preserve">and </w:t>
      </w:r>
      <w:r w:rsidR="00EC71F5">
        <w:rPr>
          <w:sz w:val="24"/>
        </w:rPr>
        <w:t>Installation, M</w:t>
      </w:r>
      <w:r w:rsidR="003C41F6">
        <w:rPr>
          <w:sz w:val="24"/>
        </w:rPr>
        <w:t>aintenance</w:t>
      </w:r>
      <w:r w:rsidR="00EC71F5">
        <w:rPr>
          <w:sz w:val="24"/>
        </w:rPr>
        <w:t>, and Repair O</w:t>
      </w:r>
      <w:r w:rsidR="0090604F">
        <w:rPr>
          <w:sz w:val="24"/>
        </w:rPr>
        <w:t>ccupations</w:t>
      </w:r>
      <w:r w:rsidR="009B1A18">
        <w:rPr>
          <w:sz w:val="24"/>
        </w:rPr>
        <w:t xml:space="preserve"> (49-000)</w:t>
      </w:r>
      <w:r w:rsidR="0090604F">
        <w:rPr>
          <w:sz w:val="24"/>
        </w:rPr>
        <w:t xml:space="preserve"> </w:t>
      </w:r>
      <w:r w:rsidR="00FA07E0">
        <w:rPr>
          <w:sz w:val="24"/>
        </w:rPr>
        <w:t xml:space="preserve">in </w:t>
      </w:r>
      <w:r w:rsidR="00EC71F5">
        <w:rPr>
          <w:sz w:val="24"/>
        </w:rPr>
        <w:t>the Oil and Gas Extraction I</w:t>
      </w:r>
      <w:r w:rsidR="00695D52">
        <w:rPr>
          <w:sz w:val="24"/>
        </w:rPr>
        <w:t>ndustry (</w:t>
      </w:r>
      <w:r w:rsidR="00924239">
        <w:rPr>
          <w:sz w:val="24"/>
        </w:rPr>
        <w:t>North American Industry Classification System (NAICS) 211100</w:t>
      </w:r>
      <w:r w:rsidR="009B1A18">
        <w:rPr>
          <w:sz w:val="24"/>
        </w:rPr>
        <w:t>)</w:t>
      </w:r>
      <w:r w:rsidR="00924239" w:rsidRPr="009B1A18">
        <w:rPr>
          <w:sz w:val="24"/>
        </w:rPr>
        <w:t xml:space="preserve">. </w:t>
      </w:r>
    </w:p>
    <w:p w:rsidR="002F56B1" w:rsidRDefault="002F56B1" w:rsidP="004B4451">
      <w:pPr>
        <w:rPr>
          <w:sz w:val="24"/>
        </w:rPr>
      </w:pPr>
    </w:p>
    <w:tbl>
      <w:tblPr>
        <w:tblStyle w:val="TableGrid"/>
        <w:tblW w:w="9918" w:type="dxa"/>
        <w:tblLook w:val="04A0" w:firstRow="1" w:lastRow="0" w:firstColumn="1" w:lastColumn="0" w:noHBand="0" w:noVBand="1"/>
      </w:tblPr>
      <w:tblGrid>
        <w:gridCol w:w="2394"/>
        <w:gridCol w:w="2394"/>
        <w:gridCol w:w="2394"/>
        <w:gridCol w:w="2736"/>
      </w:tblGrid>
      <w:tr w:rsidR="001823D5" w:rsidTr="00486B29">
        <w:tc>
          <w:tcPr>
            <w:tcW w:w="2394" w:type="dxa"/>
          </w:tcPr>
          <w:p w:rsidR="001823D5" w:rsidRDefault="000C4FDF" w:rsidP="00486B29">
            <w:pPr>
              <w:jc w:val="center"/>
              <w:rPr>
                <w:sz w:val="24"/>
              </w:rPr>
            </w:pPr>
            <w:r>
              <w:rPr>
                <w:sz w:val="24"/>
              </w:rPr>
              <w:t>Occupation</w:t>
            </w:r>
          </w:p>
        </w:tc>
        <w:tc>
          <w:tcPr>
            <w:tcW w:w="2394" w:type="dxa"/>
          </w:tcPr>
          <w:p w:rsidR="001823D5" w:rsidRDefault="000C4FDF" w:rsidP="005F75C6">
            <w:pPr>
              <w:jc w:val="center"/>
              <w:rPr>
                <w:sz w:val="24"/>
              </w:rPr>
            </w:pPr>
            <w:r>
              <w:rPr>
                <w:sz w:val="24"/>
              </w:rPr>
              <w:t>Estimated Respon</w:t>
            </w:r>
            <w:r w:rsidR="005F75C6">
              <w:rPr>
                <w:sz w:val="24"/>
              </w:rPr>
              <w:t>se</w:t>
            </w:r>
            <w:r>
              <w:rPr>
                <w:sz w:val="24"/>
              </w:rPr>
              <w:t>s</w:t>
            </w:r>
          </w:p>
        </w:tc>
        <w:tc>
          <w:tcPr>
            <w:tcW w:w="2394" w:type="dxa"/>
          </w:tcPr>
          <w:p w:rsidR="001823D5" w:rsidRDefault="000C4FDF" w:rsidP="00486B29">
            <w:pPr>
              <w:jc w:val="center"/>
              <w:rPr>
                <w:sz w:val="24"/>
              </w:rPr>
            </w:pPr>
            <w:r>
              <w:rPr>
                <w:sz w:val="24"/>
              </w:rPr>
              <w:t>Average Hourly Rate*</w:t>
            </w:r>
          </w:p>
        </w:tc>
        <w:tc>
          <w:tcPr>
            <w:tcW w:w="2736" w:type="dxa"/>
          </w:tcPr>
          <w:p w:rsidR="001823D5" w:rsidRDefault="000C4FDF" w:rsidP="00486B29">
            <w:pPr>
              <w:jc w:val="center"/>
              <w:rPr>
                <w:sz w:val="24"/>
              </w:rPr>
            </w:pPr>
            <w:r>
              <w:rPr>
                <w:sz w:val="24"/>
              </w:rPr>
              <w:t>Total Annual Cost</w:t>
            </w:r>
          </w:p>
          <w:p w:rsidR="004F47D8" w:rsidRDefault="004F47D8" w:rsidP="00486B29">
            <w:pPr>
              <w:jc w:val="center"/>
              <w:rPr>
                <w:sz w:val="24"/>
              </w:rPr>
            </w:pPr>
            <w:r>
              <w:rPr>
                <w:sz w:val="24"/>
              </w:rPr>
              <w:t>(# of respondents</w:t>
            </w:r>
            <w:r w:rsidR="00486B29">
              <w:rPr>
                <w:sz w:val="24"/>
              </w:rPr>
              <w:t xml:space="preserve"> x </w:t>
            </w:r>
            <w:r>
              <w:rPr>
                <w:sz w:val="24"/>
              </w:rPr>
              <w:t>average burden time)</w:t>
            </w:r>
            <w:r w:rsidR="00486B29">
              <w:rPr>
                <w:sz w:val="24"/>
              </w:rPr>
              <w:t xml:space="preserve"> x </w:t>
            </w:r>
            <w:r>
              <w:rPr>
                <w:sz w:val="24"/>
              </w:rPr>
              <w:t>hourly rate</w:t>
            </w:r>
          </w:p>
        </w:tc>
      </w:tr>
      <w:tr w:rsidR="001823D5" w:rsidTr="00486B29">
        <w:tc>
          <w:tcPr>
            <w:tcW w:w="2394" w:type="dxa"/>
          </w:tcPr>
          <w:p w:rsidR="001823D5" w:rsidRDefault="00495220" w:rsidP="00850AD6">
            <w:pPr>
              <w:rPr>
                <w:sz w:val="24"/>
              </w:rPr>
            </w:pPr>
            <w:r>
              <w:rPr>
                <w:sz w:val="24"/>
              </w:rPr>
              <w:t>Construction and Extraction</w:t>
            </w:r>
          </w:p>
        </w:tc>
        <w:tc>
          <w:tcPr>
            <w:tcW w:w="2394" w:type="dxa"/>
          </w:tcPr>
          <w:p w:rsidR="001823D5" w:rsidRDefault="005F75C6" w:rsidP="005F75C6">
            <w:pPr>
              <w:jc w:val="right"/>
              <w:rPr>
                <w:sz w:val="24"/>
              </w:rPr>
            </w:pPr>
            <w:r>
              <w:rPr>
                <w:sz w:val="24"/>
              </w:rPr>
              <w:t>365</w:t>
            </w:r>
          </w:p>
        </w:tc>
        <w:tc>
          <w:tcPr>
            <w:tcW w:w="2394" w:type="dxa"/>
          </w:tcPr>
          <w:p w:rsidR="001823D5" w:rsidRDefault="00BC222D" w:rsidP="001F4308">
            <w:pPr>
              <w:jc w:val="right"/>
              <w:rPr>
                <w:sz w:val="24"/>
              </w:rPr>
            </w:pPr>
            <w:r>
              <w:rPr>
                <w:sz w:val="24"/>
              </w:rPr>
              <w:t>$25.72</w:t>
            </w:r>
          </w:p>
        </w:tc>
        <w:tc>
          <w:tcPr>
            <w:tcW w:w="2736" w:type="dxa"/>
          </w:tcPr>
          <w:p w:rsidR="001823D5" w:rsidRDefault="002D57CE" w:rsidP="005F75C6">
            <w:pPr>
              <w:jc w:val="right"/>
              <w:rPr>
                <w:sz w:val="24"/>
              </w:rPr>
            </w:pPr>
            <w:r w:rsidRPr="002D57CE">
              <w:rPr>
                <w:sz w:val="24"/>
              </w:rPr>
              <w:t>$</w:t>
            </w:r>
            <w:r w:rsidR="005F75C6">
              <w:rPr>
                <w:sz w:val="24"/>
              </w:rPr>
              <w:t>9,387</w:t>
            </w:r>
            <w:r w:rsidRPr="002D57CE">
              <w:rPr>
                <w:sz w:val="24"/>
              </w:rPr>
              <w:t>.</w:t>
            </w:r>
            <w:r w:rsidR="005F75C6">
              <w:rPr>
                <w:sz w:val="24"/>
              </w:rPr>
              <w:t>80</w:t>
            </w:r>
          </w:p>
        </w:tc>
      </w:tr>
      <w:tr w:rsidR="001823D5" w:rsidTr="00486B29">
        <w:tc>
          <w:tcPr>
            <w:tcW w:w="2394" w:type="dxa"/>
          </w:tcPr>
          <w:p w:rsidR="001823D5" w:rsidRDefault="00495220" w:rsidP="00850AD6">
            <w:pPr>
              <w:rPr>
                <w:sz w:val="24"/>
              </w:rPr>
            </w:pPr>
            <w:r>
              <w:rPr>
                <w:sz w:val="24"/>
              </w:rPr>
              <w:lastRenderedPageBreak/>
              <w:t>Installation, Maintenance, and Repair</w:t>
            </w:r>
          </w:p>
        </w:tc>
        <w:tc>
          <w:tcPr>
            <w:tcW w:w="2394" w:type="dxa"/>
          </w:tcPr>
          <w:p w:rsidR="001823D5" w:rsidRDefault="005F75C6" w:rsidP="001F4308">
            <w:pPr>
              <w:jc w:val="right"/>
              <w:rPr>
                <w:sz w:val="24"/>
              </w:rPr>
            </w:pPr>
            <w:r>
              <w:rPr>
                <w:sz w:val="24"/>
              </w:rPr>
              <w:t>365</w:t>
            </w:r>
          </w:p>
        </w:tc>
        <w:tc>
          <w:tcPr>
            <w:tcW w:w="2394" w:type="dxa"/>
          </w:tcPr>
          <w:p w:rsidR="001823D5" w:rsidRDefault="00BC222D" w:rsidP="001F4308">
            <w:pPr>
              <w:jc w:val="right"/>
              <w:rPr>
                <w:sz w:val="24"/>
              </w:rPr>
            </w:pPr>
            <w:r>
              <w:rPr>
                <w:sz w:val="24"/>
              </w:rPr>
              <w:t>$27.65</w:t>
            </w:r>
          </w:p>
        </w:tc>
        <w:tc>
          <w:tcPr>
            <w:tcW w:w="2736" w:type="dxa"/>
          </w:tcPr>
          <w:p w:rsidR="001823D5" w:rsidRDefault="002D57CE" w:rsidP="005F75C6">
            <w:pPr>
              <w:jc w:val="right"/>
              <w:rPr>
                <w:sz w:val="24"/>
              </w:rPr>
            </w:pPr>
            <w:r w:rsidRPr="002D57CE">
              <w:rPr>
                <w:sz w:val="24"/>
              </w:rPr>
              <w:t>$</w:t>
            </w:r>
            <w:r w:rsidR="005F75C6">
              <w:rPr>
                <w:sz w:val="24"/>
              </w:rPr>
              <w:t>10,092.25</w:t>
            </w:r>
          </w:p>
        </w:tc>
      </w:tr>
      <w:tr w:rsidR="001823D5" w:rsidTr="00486B29">
        <w:tc>
          <w:tcPr>
            <w:tcW w:w="2394" w:type="dxa"/>
          </w:tcPr>
          <w:p w:rsidR="001823D5" w:rsidRPr="00A02A71" w:rsidRDefault="00495220" w:rsidP="00850AD6">
            <w:pPr>
              <w:rPr>
                <w:b/>
                <w:sz w:val="24"/>
              </w:rPr>
            </w:pPr>
            <w:r w:rsidRPr="00A02A71">
              <w:rPr>
                <w:b/>
                <w:sz w:val="24"/>
              </w:rPr>
              <w:t>Totals</w:t>
            </w:r>
          </w:p>
        </w:tc>
        <w:tc>
          <w:tcPr>
            <w:tcW w:w="2394" w:type="dxa"/>
          </w:tcPr>
          <w:p w:rsidR="001823D5" w:rsidRPr="00A02A71" w:rsidRDefault="005F75C6" w:rsidP="001F4308">
            <w:pPr>
              <w:jc w:val="right"/>
              <w:rPr>
                <w:b/>
                <w:sz w:val="24"/>
              </w:rPr>
            </w:pPr>
            <w:r>
              <w:rPr>
                <w:b/>
                <w:sz w:val="24"/>
              </w:rPr>
              <w:t>730</w:t>
            </w:r>
          </w:p>
        </w:tc>
        <w:tc>
          <w:tcPr>
            <w:tcW w:w="2394" w:type="dxa"/>
          </w:tcPr>
          <w:p w:rsidR="001823D5" w:rsidRPr="00A02A71" w:rsidRDefault="001823D5" w:rsidP="001F4308">
            <w:pPr>
              <w:jc w:val="right"/>
              <w:rPr>
                <w:b/>
                <w:sz w:val="24"/>
              </w:rPr>
            </w:pPr>
          </w:p>
        </w:tc>
        <w:tc>
          <w:tcPr>
            <w:tcW w:w="2736" w:type="dxa"/>
          </w:tcPr>
          <w:p w:rsidR="001823D5" w:rsidRPr="00A02A71" w:rsidRDefault="005F75C6" w:rsidP="001F4308">
            <w:pPr>
              <w:jc w:val="right"/>
              <w:rPr>
                <w:b/>
                <w:sz w:val="24"/>
              </w:rPr>
            </w:pPr>
            <w:r>
              <w:rPr>
                <w:b/>
                <w:sz w:val="24"/>
              </w:rPr>
              <w:t>$19,480</w:t>
            </w:r>
            <w:r w:rsidR="00A02A71" w:rsidRPr="00A02A71">
              <w:rPr>
                <w:b/>
                <w:sz w:val="24"/>
              </w:rPr>
              <w:t>.0</w:t>
            </w:r>
            <w:r>
              <w:rPr>
                <w:b/>
                <w:sz w:val="24"/>
              </w:rPr>
              <w:t>5</w:t>
            </w:r>
          </w:p>
        </w:tc>
      </w:tr>
    </w:tbl>
    <w:p w:rsidR="00850AD6" w:rsidRPr="00E446D6" w:rsidRDefault="00E446D6" w:rsidP="00850AD6">
      <w:pPr>
        <w:rPr>
          <w:szCs w:val="20"/>
        </w:rPr>
      </w:pPr>
      <w:r w:rsidRPr="00E446D6">
        <w:rPr>
          <w:szCs w:val="20"/>
        </w:rPr>
        <w:t>*Source: Bureau of Labor Statistics, National Industry-Specific Occupational Employment and Wage Estimates, May 2013.</w:t>
      </w:r>
    </w:p>
    <w:p w:rsidR="00850AD6" w:rsidRDefault="00850AD6" w:rsidP="00850AD6">
      <w:pPr>
        <w:rPr>
          <w:sz w:val="26"/>
          <w:szCs w:val="26"/>
        </w:rPr>
      </w:pPr>
    </w:p>
    <w:p w:rsidR="007B3A70" w:rsidRDefault="007B3A70">
      <w:pPr>
        <w:rPr>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007B3A70" w:rsidRDefault="007B3A70">
      <w:pPr>
        <w:rPr>
          <w:sz w:val="26"/>
          <w:szCs w:val="26"/>
        </w:rPr>
      </w:pPr>
    </w:p>
    <w:p w:rsidR="007B3A70" w:rsidRPr="002156F1" w:rsidRDefault="00BA3F27">
      <w:pPr>
        <w:rPr>
          <w:sz w:val="24"/>
        </w:rPr>
      </w:pPr>
      <w:r w:rsidRPr="002156F1">
        <w:rPr>
          <w:sz w:val="24"/>
        </w:rPr>
        <w:t>T</w:t>
      </w:r>
      <w:r w:rsidR="007B3A70" w:rsidRPr="002156F1">
        <w:rPr>
          <w:sz w:val="24"/>
        </w:rPr>
        <w:t>he</w:t>
      </w:r>
      <w:r w:rsidRPr="002156F1">
        <w:rPr>
          <w:sz w:val="24"/>
        </w:rPr>
        <w:t xml:space="preserve"> entire</w:t>
      </w:r>
      <w:r w:rsidR="007B3A70" w:rsidRPr="002156F1">
        <w:rPr>
          <w:sz w:val="24"/>
        </w:rPr>
        <w:t xml:space="preserve"> cost of this data collection </w:t>
      </w:r>
      <w:r w:rsidRPr="002156F1">
        <w:rPr>
          <w:sz w:val="24"/>
        </w:rPr>
        <w:t>is</w:t>
      </w:r>
      <w:r w:rsidR="007B3A70" w:rsidRPr="002156F1">
        <w:rPr>
          <w:sz w:val="24"/>
        </w:rPr>
        <w:t xml:space="preserve"> imbedded in the hourly burden.  </w:t>
      </w:r>
      <w:r w:rsidRPr="002156F1">
        <w:rPr>
          <w:sz w:val="24"/>
        </w:rPr>
        <w:t>There is no additional cost to the respondent.</w:t>
      </w:r>
    </w:p>
    <w:p w:rsidR="00BA3F27" w:rsidRDefault="00BA3F27">
      <w:pPr>
        <w:rPr>
          <w:b/>
          <w:bCs/>
          <w:sz w:val="26"/>
          <w:szCs w:val="26"/>
        </w:rPr>
      </w:pPr>
    </w:p>
    <w:p w:rsidR="007B3A70" w:rsidRDefault="007B3A70">
      <w:pPr>
        <w:rPr>
          <w:b/>
          <w:bCs/>
          <w:sz w:val="26"/>
          <w:szCs w:val="26"/>
        </w:rPr>
      </w:pPr>
      <w:r>
        <w:rPr>
          <w:b/>
          <w:bCs/>
          <w:sz w:val="26"/>
          <w:szCs w:val="26"/>
        </w:rPr>
        <w:t>14.  Provide estimates of annualized cost to the Federal Government.</w:t>
      </w:r>
    </w:p>
    <w:p w:rsidR="007B3A70" w:rsidRDefault="007B3A70">
      <w:pPr>
        <w:rPr>
          <w:sz w:val="26"/>
          <w:szCs w:val="26"/>
        </w:rPr>
      </w:pPr>
    </w:p>
    <w:p w:rsidR="007B3A70" w:rsidRDefault="007B3A70">
      <w:pPr>
        <w:rPr>
          <w:sz w:val="24"/>
          <w:u w:val="single"/>
        </w:rPr>
      </w:pPr>
      <w:r w:rsidRPr="005579FF">
        <w:rPr>
          <w:sz w:val="24"/>
          <w:u w:val="single"/>
        </w:rPr>
        <w:t>Federal Costs</w:t>
      </w:r>
    </w:p>
    <w:p w:rsidR="00681697" w:rsidRPr="005579FF" w:rsidRDefault="00681697">
      <w:pPr>
        <w:rPr>
          <w:sz w:val="24"/>
        </w:rPr>
      </w:pPr>
    </w:p>
    <w:p w:rsidR="007B3A70" w:rsidRPr="00E0358A" w:rsidRDefault="00681697">
      <w:pPr>
        <w:rPr>
          <w:sz w:val="24"/>
        </w:rPr>
      </w:pPr>
      <w:r w:rsidRPr="00E0358A">
        <w:rPr>
          <w:sz w:val="24"/>
        </w:rPr>
        <w:t xml:space="preserve">This project is funded by </w:t>
      </w:r>
      <w:r w:rsidR="00487787">
        <w:rPr>
          <w:sz w:val="24"/>
        </w:rPr>
        <w:t>BSEE</w:t>
      </w:r>
      <w:r w:rsidRPr="00E0358A">
        <w:rPr>
          <w:sz w:val="24"/>
        </w:rPr>
        <w:t xml:space="preserve"> on a reimbursable basis to BTS.</w:t>
      </w:r>
    </w:p>
    <w:p w:rsidR="00681697" w:rsidRDefault="00681697">
      <w:pPr>
        <w:rPr>
          <w:sz w:val="26"/>
          <w:szCs w:val="26"/>
        </w:rPr>
      </w:pPr>
    </w:p>
    <w:p w:rsidR="00681697" w:rsidRDefault="00681697">
      <w:pPr>
        <w:rPr>
          <w:sz w:val="26"/>
          <w:szCs w:val="26"/>
        </w:rPr>
      </w:pPr>
    </w:p>
    <w:p w:rsidR="007B3A70" w:rsidRDefault="007B3A70">
      <w:pPr>
        <w:rPr>
          <w:sz w:val="26"/>
          <w:szCs w:val="26"/>
        </w:rPr>
      </w:pPr>
      <w:r>
        <w:rPr>
          <w:b/>
          <w:bCs/>
          <w:sz w:val="26"/>
          <w:szCs w:val="26"/>
        </w:rPr>
        <w:t>15. Explain the reasons for any program changes or adjustments in Items 13 or 14 of OMB 83-I</w:t>
      </w:r>
      <w:r>
        <w:rPr>
          <w:sz w:val="26"/>
          <w:szCs w:val="26"/>
        </w:rPr>
        <w:t>.</w:t>
      </w:r>
    </w:p>
    <w:p w:rsidR="007B3A70" w:rsidRDefault="007B3A70">
      <w:pPr>
        <w:ind w:firstLine="6480"/>
        <w:rPr>
          <w:sz w:val="26"/>
          <w:szCs w:val="26"/>
        </w:rPr>
      </w:pPr>
    </w:p>
    <w:p w:rsidR="007B3A70" w:rsidRPr="005579FF" w:rsidRDefault="005F75C6">
      <w:pPr>
        <w:rPr>
          <w:sz w:val="24"/>
        </w:rPr>
      </w:pPr>
      <w:r>
        <w:rPr>
          <w:sz w:val="24"/>
        </w:rPr>
        <w:t>NA (this is a new data collection)</w:t>
      </w:r>
    </w:p>
    <w:p w:rsidR="004B4451" w:rsidRDefault="004B4451">
      <w:pPr>
        <w:rPr>
          <w:b/>
          <w:bCs/>
          <w:sz w:val="26"/>
          <w:szCs w:val="26"/>
        </w:rPr>
      </w:pPr>
    </w:p>
    <w:p w:rsidR="007B3A70" w:rsidRDefault="007B3A70">
      <w:pPr>
        <w:rPr>
          <w:sz w:val="26"/>
          <w:szCs w:val="26"/>
        </w:rPr>
      </w:pPr>
      <w:r>
        <w:rPr>
          <w:b/>
          <w:bCs/>
          <w:sz w:val="26"/>
          <w:szCs w:val="26"/>
        </w:rPr>
        <w:t>16.  Is the information received published?</w:t>
      </w:r>
    </w:p>
    <w:p w:rsidR="007B3A70" w:rsidRDefault="007B3A70">
      <w:pPr>
        <w:rPr>
          <w:sz w:val="26"/>
          <w:szCs w:val="26"/>
        </w:rPr>
      </w:pPr>
    </w:p>
    <w:p w:rsidR="000A0BF8" w:rsidRPr="005579FF" w:rsidRDefault="00681697">
      <w:pPr>
        <w:rPr>
          <w:sz w:val="24"/>
        </w:rPr>
      </w:pPr>
      <w:r>
        <w:rPr>
          <w:sz w:val="24"/>
        </w:rPr>
        <w:t>Micro-data received through this data collection will not be made public.</w:t>
      </w:r>
      <w:r w:rsidR="000A0BF8" w:rsidRPr="005579FF">
        <w:rPr>
          <w:sz w:val="24"/>
        </w:rPr>
        <w:t xml:space="preserve">  The information received through this data collection will be used</w:t>
      </w:r>
      <w:r>
        <w:rPr>
          <w:sz w:val="24"/>
        </w:rPr>
        <w:t xml:space="preserve"> to</w:t>
      </w:r>
      <w:r w:rsidR="00003EBD">
        <w:rPr>
          <w:sz w:val="24"/>
        </w:rPr>
        <w:t xml:space="preserve"> </w:t>
      </w:r>
      <w:r>
        <w:rPr>
          <w:sz w:val="24"/>
        </w:rPr>
        <w:t>identify</w:t>
      </w:r>
      <w:r w:rsidR="00024874">
        <w:rPr>
          <w:sz w:val="24"/>
        </w:rPr>
        <w:t xml:space="preserve"> accident precursors</w:t>
      </w:r>
      <w:r w:rsidR="005F75C6">
        <w:rPr>
          <w:sz w:val="24"/>
        </w:rPr>
        <w:t>, risk in process safety,</w:t>
      </w:r>
      <w:r w:rsidR="00024874">
        <w:rPr>
          <w:sz w:val="24"/>
        </w:rPr>
        <w:t xml:space="preserve"> and</w:t>
      </w:r>
      <w:r>
        <w:rPr>
          <w:sz w:val="24"/>
        </w:rPr>
        <w:t xml:space="preserve"> trends </w:t>
      </w:r>
      <w:r w:rsidR="00024874">
        <w:rPr>
          <w:sz w:val="24"/>
        </w:rPr>
        <w:t>in</w:t>
      </w:r>
      <w:r>
        <w:rPr>
          <w:sz w:val="24"/>
        </w:rPr>
        <w:t xml:space="preserve"> unsafe </w:t>
      </w:r>
      <w:r w:rsidR="005F75C6">
        <w:rPr>
          <w:sz w:val="24"/>
        </w:rPr>
        <w:t>work practices</w:t>
      </w:r>
      <w:r>
        <w:rPr>
          <w:sz w:val="24"/>
        </w:rPr>
        <w:t xml:space="preserve"> through multiple cause incident analysis conducted by a limited number of BTS staff and </w:t>
      </w:r>
      <w:r w:rsidR="00053373">
        <w:rPr>
          <w:sz w:val="24"/>
        </w:rPr>
        <w:t>SMEs serving as BTS A</w:t>
      </w:r>
      <w:r>
        <w:rPr>
          <w:sz w:val="24"/>
        </w:rPr>
        <w:t xml:space="preserve">gents.  Results of such analyses in aggregate format will be published in annual progress reports. </w:t>
      </w:r>
      <w:r w:rsidR="00D94D93">
        <w:rPr>
          <w:sz w:val="24"/>
        </w:rPr>
        <w:t xml:space="preserve"> </w:t>
      </w:r>
      <w:r w:rsidR="00084C26">
        <w:rPr>
          <w:sz w:val="24"/>
        </w:rPr>
        <w:t>A</w:t>
      </w:r>
      <w:r w:rsidR="005579FF" w:rsidRPr="005579FF">
        <w:rPr>
          <w:sz w:val="24"/>
        </w:rPr>
        <w:t xml:space="preserve">ll </w:t>
      </w:r>
      <w:r w:rsidR="00053373">
        <w:rPr>
          <w:sz w:val="24"/>
        </w:rPr>
        <w:t>SMEs</w:t>
      </w:r>
      <w:r w:rsidR="005579FF" w:rsidRPr="005579FF">
        <w:rPr>
          <w:sz w:val="24"/>
        </w:rPr>
        <w:t xml:space="preserve"> will </w:t>
      </w:r>
      <w:r w:rsidR="00084C26">
        <w:rPr>
          <w:sz w:val="24"/>
        </w:rPr>
        <w:t>participate in confidentiality training, sign non-disclosure agreements</w:t>
      </w:r>
      <w:r w:rsidR="00053373">
        <w:rPr>
          <w:sz w:val="24"/>
        </w:rPr>
        <w:t>,</w:t>
      </w:r>
      <w:r w:rsidR="00084C26">
        <w:rPr>
          <w:sz w:val="24"/>
        </w:rPr>
        <w:t xml:space="preserve"> </w:t>
      </w:r>
      <w:r w:rsidR="005579FF" w:rsidRPr="005579FF">
        <w:rPr>
          <w:sz w:val="24"/>
        </w:rPr>
        <w:t>and be consider</w:t>
      </w:r>
      <w:r w:rsidR="006F20C0">
        <w:rPr>
          <w:sz w:val="24"/>
        </w:rPr>
        <w:t>ed</w:t>
      </w:r>
      <w:r w:rsidR="00053373">
        <w:rPr>
          <w:sz w:val="24"/>
        </w:rPr>
        <w:t xml:space="preserve"> BTS </w:t>
      </w:r>
      <w:r w:rsidR="00084C26">
        <w:rPr>
          <w:sz w:val="24"/>
        </w:rPr>
        <w:t>A</w:t>
      </w:r>
      <w:r w:rsidR="005579FF" w:rsidRPr="005579FF">
        <w:rPr>
          <w:sz w:val="24"/>
        </w:rPr>
        <w:t>gents</w:t>
      </w:r>
      <w:r w:rsidR="006F20C0">
        <w:rPr>
          <w:sz w:val="24"/>
        </w:rPr>
        <w:t xml:space="preserve"> under CIPSEA</w:t>
      </w:r>
      <w:r w:rsidR="005579FF" w:rsidRPr="005579FF">
        <w:rPr>
          <w:sz w:val="24"/>
        </w:rPr>
        <w:t>.</w:t>
      </w:r>
    </w:p>
    <w:p w:rsidR="004B4451" w:rsidRDefault="004B4451">
      <w:pPr>
        <w:rPr>
          <w:sz w:val="26"/>
          <w:szCs w:val="26"/>
        </w:rPr>
      </w:pPr>
    </w:p>
    <w:p w:rsidR="004B4451" w:rsidRDefault="004B4451">
      <w:pPr>
        <w:rPr>
          <w:sz w:val="26"/>
          <w:szCs w:val="26"/>
        </w:rPr>
      </w:pPr>
    </w:p>
    <w:p w:rsidR="007B3A70" w:rsidRDefault="007B3A70">
      <w:pPr>
        <w:numPr>
          <w:ilvl w:val="0"/>
          <w:numId w:val="6"/>
        </w:numPr>
        <w:rPr>
          <w:sz w:val="26"/>
          <w:szCs w:val="26"/>
        </w:rPr>
      </w:pPr>
      <w:r w:rsidRPr="00D87D4C">
        <w:rPr>
          <w:b/>
          <w:sz w:val="26"/>
          <w:szCs w:val="26"/>
        </w:rPr>
        <w:t>Is the agency seeking approval not to display the e</w:t>
      </w:r>
      <w:r w:rsidR="00D87D4C">
        <w:rPr>
          <w:b/>
          <w:sz w:val="26"/>
          <w:szCs w:val="26"/>
        </w:rPr>
        <w:t>xpiration date for OMB approval</w:t>
      </w:r>
      <w:r w:rsidR="00D87D4C" w:rsidRPr="00D87D4C">
        <w:rPr>
          <w:b/>
          <w:sz w:val="26"/>
          <w:szCs w:val="26"/>
        </w:rPr>
        <w:t>?</w:t>
      </w:r>
      <w:r w:rsidR="000A0BF8">
        <w:rPr>
          <w:b/>
          <w:sz w:val="26"/>
          <w:szCs w:val="26"/>
        </w:rPr>
        <w:t xml:space="preserve">  </w:t>
      </w:r>
    </w:p>
    <w:p w:rsidR="007B3A70" w:rsidRPr="00D751DD" w:rsidRDefault="00857AB4">
      <w:pPr>
        <w:rPr>
          <w:sz w:val="24"/>
        </w:rPr>
      </w:pPr>
      <w:r w:rsidRPr="00D751DD">
        <w:rPr>
          <w:sz w:val="24"/>
        </w:rPr>
        <w:t>No.</w:t>
      </w:r>
    </w:p>
    <w:p w:rsidR="00521812" w:rsidRDefault="00521812">
      <w:pPr>
        <w:rPr>
          <w:sz w:val="26"/>
          <w:szCs w:val="26"/>
        </w:rPr>
      </w:pPr>
    </w:p>
    <w:p w:rsidR="00521812" w:rsidRPr="00D751DD" w:rsidRDefault="00521812" w:rsidP="00521812">
      <w:pPr>
        <w:pStyle w:val="ListParagraph"/>
        <w:numPr>
          <w:ilvl w:val="0"/>
          <w:numId w:val="6"/>
        </w:numPr>
        <w:rPr>
          <w:b/>
          <w:sz w:val="26"/>
          <w:szCs w:val="26"/>
        </w:rPr>
      </w:pPr>
      <w:r>
        <w:rPr>
          <w:sz w:val="26"/>
          <w:szCs w:val="26"/>
        </w:rPr>
        <w:lastRenderedPageBreak/>
        <w:t xml:space="preserve"> </w:t>
      </w:r>
      <w:r w:rsidRPr="00D751DD">
        <w:rPr>
          <w:b/>
          <w:sz w:val="26"/>
          <w:szCs w:val="26"/>
        </w:rPr>
        <w:t xml:space="preserve">Explain each exception to the certification statement identified in Item 19, “Certification for paperwork reduction act submissions” of OMB Form </w:t>
      </w:r>
      <w:r w:rsidR="00D751DD">
        <w:rPr>
          <w:b/>
          <w:sz w:val="26"/>
          <w:szCs w:val="26"/>
        </w:rPr>
        <w:br/>
      </w:r>
      <w:r w:rsidRPr="00D751DD">
        <w:rPr>
          <w:b/>
          <w:sz w:val="26"/>
          <w:szCs w:val="26"/>
        </w:rPr>
        <w:t>83-I.</w:t>
      </w:r>
    </w:p>
    <w:p w:rsidR="00521812" w:rsidRDefault="00521812" w:rsidP="00521812">
      <w:pPr>
        <w:pStyle w:val="ListParagraph"/>
        <w:ind w:left="450"/>
        <w:rPr>
          <w:sz w:val="26"/>
          <w:szCs w:val="26"/>
        </w:rPr>
      </w:pPr>
    </w:p>
    <w:p w:rsidR="00521812" w:rsidRPr="00D751DD" w:rsidRDefault="00F265A9" w:rsidP="00521812">
      <w:pPr>
        <w:pStyle w:val="ListParagraph"/>
        <w:ind w:left="450"/>
        <w:rPr>
          <w:rFonts w:ascii="Times New Roman" w:hAnsi="Times New Roman"/>
          <w:sz w:val="24"/>
          <w:szCs w:val="24"/>
        </w:rPr>
      </w:pPr>
      <w:proofErr w:type="gramStart"/>
      <w:r w:rsidRPr="00D751DD">
        <w:rPr>
          <w:rFonts w:ascii="Times New Roman" w:hAnsi="Times New Roman"/>
          <w:sz w:val="24"/>
          <w:szCs w:val="24"/>
        </w:rPr>
        <w:t>None</w:t>
      </w:r>
      <w:r w:rsidR="00D751DD">
        <w:rPr>
          <w:rFonts w:ascii="Times New Roman" w:hAnsi="Times New Roman"/>
          <w:sz w:val="24"/>
          <w:szCs w:val="24"/>
        </w:rPr>
        <w:t>.</w:t>
      </w:r>
      <w:proofErr w:type="gramEnd"/>
    </w:p>
    <w:p w:rsidR="00857AB4" w:rsidRDefault="00857AB4">
      <w:pPr>
        <w:rPr>
          <w:sz w:val="26"/>
          <w:szCs w:val="26"/>
        </w:rPr>
      </w:pPr>
    </w:p>
    <w:p w:rsidR="00370662" w:rsidRDefault="00370662">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954B25" w:rsidRDefault="00954B25">
      <w:pPr>
        <w:rPr>
          <w:sz w:val="26"/>
          <w:szCs w:val="26"/>
        </w:rPr>
      </w:pPr>
    </w:p>
    <w:sectPr w:rsidR="00954B25" w:rsidSect="008253F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5BC" w:rsidRDefault="004E15BC" w:rsidP="002C3010">
      <w:r>
        <w:separator/>
      </w:r>
    </w:p>
  </w:endnote>
  <w:endnote w:type="continuationSeparator" w:id="0">
    <w:p w:rsidR="004E15BC" w:rsidRDefault="004E15BC" w:rsidP="002C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24" w:rsidRDefault="003A0E24">
    <w:pPr>
      <w:spacing w:line="240" w:lineRule="exact"/>
    </w:pPr>
  </w:p>
  <w:p w:rsidR="003A0E24" w:rsidRDefault="00C12443">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6134D5">
      <w:rPr>
        <w:noProof/>
        <w:sz w:val="24"/>
      </w:rPr>
      <w:t>1</w:t>
    </w:r>
    <w:r>
      <w:rPr>
        <w:sz w:val="24"/>
      </w:rPr>
      <w:fldChar w:fldCharType="end"/>
    </w:r>
  </w:p>
  <w:p w:rsidR="003A0E24" w:rsidRDefault="003A0E2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5BC" w:rsidRDefault="004E15BC" w:rsidP="002C3010">
      <w:r>
        <w:separator/>
      </w:r>
    </w:p>
  </w:footnote>
  <w:footnote w:type="continuationSeparator" w:id="0">
    <w:p w:rsidR="004E15BC" w:rsidRDefault="004E15BC" w:rsidP="002C3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F03A40"/>
    <w:lvl w:ilvl="0">
      <w:numFmt w:val="decimal"/>
      <w:lvlText w:val="*"/>
      <w:lvlJc w:val="left"/>
    </w:lvl>
  </w:abstractNum>
  <w:abstractNum w:abstractNumId="1">
    <w:nsid w:val="0948420A"/>
    <w:multiLevelType w:val="hybridMultilevel"/>
    <w:tmpl w:val="B6CC1E78"/>
    <w:lvl w:ilvl="0" w:tplc="04090015">
      <w:start w:val="1"/>
      <w:numFmt w:val="upperLetter"/>
      <w:lvlText w:val="%1."/>
      <w:lvlJc w:val="left"/>
      <w:pPr>
        <w:ind w:left="720" w:hanging="360"/>
      </w:pPr>
      <w:rPr>
        <w:rFonts w:hint="default"/>
      </w:rPr>
    </w:lvl>
    <w:lvl w:ilvl="1" w:tplc="6026FEC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235094"/>
    <w:multiLevelType w:val="hybridMultilevel"/>
    <w:tmpl w:val="DB56FD32"/>
    <w:lvl w:ilvl="0" w:tplc="D1C05444">
      <w:start w:val="1"/>
      <w:numFmt w:val="upperRoman"/>
      <w:lvlText w:val="%1."/>
      <w:lvlJc w:val="right"/>
      <w:pPr>
        <w:ind w:left="720" w:hanging="360"/>
      </w:pPr>
      <w:rPr>
        <w:b/>
      </w:rPr>
    </w:lvl>
    <w:lvl w:ilvl="1" w:tplc="C564463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1E66D9"/>
    <w:multiLevelType w:val="hybridMultilevel"/>
    <w:tmpl w:val="270C40A0"/>
    <w:lvl w:ilvl="0" w:tplc="B0B00640">
      <w:start w:val="17"/>
      <w:numFmt w:val="decimal"/>
      <w:lvlText w:val="%1."/>
      <w:lvlJc w:val="left"/>
      <w:pPr>
        <w:tabs>
          <w:tab w:val="num" w:pos="450"/>
        </w:tabs>
        <w:ind w:left="450" w:hanging="450"/>
      </w:pPr>
      <w:rPr>
        <w:rFonts w:hint="default"/>
        <w:b/>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5"/>
  </w:num>
  <w:num w:numId="3">
    <w:abstractNumId w:val="2"/>
  </w:num>
  <w:num w:numId="4">
    <w:abstractNumId w:val="3"/>
  </w:num>
  <w:num w:numId="5">
    <w:abstractNumId w:val="8"/>
  </w:num>
  <w:num w:numId="6">
    <w:abstractNumId w:val="9"/>
  </w:num>
  <w:num w:numId="7">
    <w:abstractNumId w:val="6"/>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1"/>
    <w:rsid w:val="00000021"/>
    <w:rsid w:val="00000A5F"/>
    <w:rsid w:val="00003EBD"/>
    <w:rsid w:val="0000463D"/>
    <w:rsid w:val="00012656"/>
    <w:rsid w:val="00012720"/>
    <w:rsid w:val="00015EDA"/>
    <w:rsid w:val="00020DEC"/>
    <w:rsid w:val="00024874"/>
    <w:rsid w:val="000345E6"/>
    <w:rsid w:val="00036CAF"/>
    <w:rsid w:val="00040D74"/>
    <w:rsid w:val="00050D6D"/>
    <w:rsid w:val="00053373"/>
    <w:rsid w:val="00053510"/>
    <w:rsid w:val="00054739"/>
    <w:rsid w:val="00075CD6"/>
    <w:rsid w:val="00076B05"/>
    <w:rsid w:val="00077BA3"/>
    <w:rsid w:val="00077C29"/>
    <w:rsid w:val="0008137C"/>
    <w:rsid w:val="00084C26"/>
    <w:rsid w:val="00085C20"/>
    <w:rsid w:val="00092966"/>
    <w:rsid w:val="00094206"/>
    <w:rsid w:val="00094E2F"/>
    <w:rsid w:val="00096826"/>
    <w:rsid w:val="00096BAF"/>
    <w:rsid w:val="00097B33"/>
    <w:rsid w:val="000A0BF8"/>
    <w:rsid w:val="000A627F"/>
    <w:rsid w:val="000B35FD"/>
    <w:rsid w:val="000C088F"/>
    <w:rsid w:val="000C4FDF"/>
    <w:rsid w:val="000C51F2"/>
    <w:rsid w:val="000D3698"/>
    <w:rsid w:val="000D39B4"/>
    <w:rsid w:val="000D66B3"/>
    <w:rsid w:val="000E4D35"/>
    <w:rsid w:val="000F3722"/>
    <w:rsid w:val="001073CC"/>
    <w:rsid w:val="00107851"/>
    <w:rsid w:val="00113C02"/>
    <w:rsid w:val="00121D05"/>
    <w:rsid w:val="001258F6"/>
    <w:rsid w:val="001265D6"/>
    <w:rsid w:val="0014349D"/>
    <w:rsid w:val="00146A50"/>
    <w:rsid w:val="00152C28"/>
    <w:rsid w:val="00153641"/>
    <w:rsid w:val="001555AB"/>
    <w:rsid w:val="001569C0"/>
    <w:rsid w:val="001673B3"/>
    <w:rsid w:val="00167E3C"/>
    <w:rsid w:val="00172C9D"/>
    <w:rsid w:val="00180C3F"/>
    <w:rsid w:val="001810D2"/>
    <w:rsid w:val="001823D5"/>
    <w:rsid w:val="001861A7"/>
    <w:rsid w:val="00187D5C"/>
    <w:rsid w:val="00190D95"/>
    <w:rsid w:val="001A0136"/>
    <w:rsid w:val="001A4DCC"/>
    <w:rsid w:val="001B1D69"/>
    <w:rsid w:val="001B27AD"/>
    <w:rsid w:val="001B4141"/>
    <w:rsid w:val="001B56F2"/>
    <w:rsid w:val="001B5C8F"/>
    <w:rsid w:val="001D1592"/>
    <w:rsid w:val="001D1A45"/>
    <w:rsid w:val="001D202A"/>
    <w:rsid w:val="001D4DF8"/>
    <w:rsid w:val="001E30C9"/>
    <w:rsid w:val="001F4308"/>
    <w:rsid w:val="002009B5"/>
    <w:rsid w:val="00202E91"/>
    <w:rsid w:val="00207423"/>
    <w:rsid w:val="00207998"/>
    <w:rsid w:val="002156F1"/>
    <w:rsid w:val="00216F90"/>
    <w:rsid w:val="002266DB"/>
    <w:rsid w:val="0023083C"/>
    <w:rsid w:val="00230AC5"/>
    <w:rsid w:val="00246E27"/>
    <w:rsid w:val="002535C2"/>
    <w:rsid w:val="00254C54"/>
    <w:rsid w:val="00260DBC"/>
    <w:rsid w:val="00266346"/>
    <w:rsid w:val="002701BA"/>
    <w:rsid w:val="002708DC"/>
    <w:rsid w:val="00271B59"/>
    <w:rsid w:val="00272F55"/>
    <w:rsid w:val="00282926"/>
    <w:rsid w:val="0028392E"/>
    <w:rsid w:val="00284FB4"/>
    <w:rsid w:val="00287130"/>
    <w:rsid w:val="00287B3C"/>
    <w:rsid w:val="00292E53"/>
    <w:rsid w:val="00293C83"/>
    <w:rsid w:val="00296393"/>
    <w:rsid w:val="00296B08"/>
    <w:rsid w:val="00297132"/>
    <w:rsid w:val="002A2D47"/>
    <w:rsid w:val="002A4E21"/>
    <w:rsid w:val="002A7701"/>
    <w:rsid w:val="002A781F"/>
    <w:rsid w:val="002B1E1B"/>
    <w:rsid w:val="002B6508"/>
    <w:rsid w:val="002C0DF1"/>
    <w:rsid w:val="002C26F7"/>
    <w:rsid w:val="002C3010"/>
    <w:rsid w:val="002C6BEB"/>
    <w:rsid w:val="002C720B"/>
    <w:rsid w:val="002D57CE"/>
    <w:rsid w:val="002E2424"/>
    <w:rsid w:val="002F02AE"/>
    <w:rsid w:val="002F06DE"/>
    <w:rsid w:val="002F135D"/>
    <w:rsid w:val="002F4159"/>
    <w:rsid w:val="002F56B1"/>
    <w:rsid w:val="00305B79"/>
    <w:rsid w:val="00305FDA"/>
    <w:rsid w:val="00310843"/>
    <w:rsid w:val="00313D04"/>
    <w:rsid w:val="00314807"/>
    <w:rsid w:val="003202F4"/>
    <w:rsid w:val="003209DD"/>
    <w:rsid w:val="00325571"/>
    <w:rsid w:val="003255FD"/>
    <w:rsid w:val="00327199"/>
    <w:rsid w:val="00342B79"/>
    <w:rsid w:val="00345AE0"/>
    <w:rsid w:val="003521CE"/>
    <w:rsid w:val="00363589"/>
    <w:rsid w:val="003659A5"/>
    <w:rsid w:val="00370662"/>
    <w:rsid w:val="00373B55"/>
    <w:rsid w:val="00376DBE"/>
    <w:rsid w:val="003926B7"/>
    <w:rsid w:val="0039665F"/>
    <w:rsid w:val="003A06DB"/>
    <w:rsid w:val="003A0E24"/>
    <w:rsid w:val="003A4716"/>
    <w:rsid w:val="003A6150"/>
    <w:rsid w:val="003A794B"/>
    <w:rsid w:val="003B1C54"/>
    <w:rsid w:val="003B2920"/>
    <w:rsid w:val="003B3174"/>
    <w:rsid w:val="003B323A"/>
    <w:rsid w:val="003C12EE"/>
    <w:rsid w:val="003C41F6"/>
    <w:rsid w:val="003C6E58"/>
    <w:rsid w:val="003D197D"/>
    <w:rsid w:val="003E0C56"/>
    <w:rsid w:val="003E2161"/>
    <w:rsid w:val="003E5358"/>
    <w:rsid w:val="003F1AC8"/>
    <w:rsid w:val="003F5667"/>
    <w:rsid w:val="003F6279"/>
    <w:rsid w:val="00400B67"/>
    <w:rsid w:val="00414672"/>
    <w:rsid w:val="004206C4"/>
    <w:rsid w:val="00436035"/>
    <w:rsid w:val="00436CF8"/>
    <w:rsid w:val="004401C0"/>
    <w:rsid w:val="00440AA7"/>
    <w:rsid w:val="00444891"/>
    <w:rsid w:val="00455E7F"/>
    <w:rsid w:val="00464EB3"/>
    <w:rsid w:val="00465502"/>
    <w:rsid w:val="004729F0"/>
    <w:rsid w:val="00482B8F"/>
    <w:rsid w:val="00486B29"/>
    <w:rsid w:val="00487787"/>
    <w:rsid w:val="00490C8C"/>
    <w:rsid w:val="004914D0"/>
    <w:rsid w:val="00491796"/>
    <w:rsid w:val="00495220"/>
    <w:rsid w:val="004A0A66"/>
    <w:rsid w:val="004B4451"/>
    <w:rsid w:val="004C0DB8"/>
    <w:rsid w:val="004C2725"/>
    <w:rsid w:val="004C2CE3"/>
    <w:rsid w:val="004C31C0"/>
    <w:rsid w:val="004C6BC7"/>
    <w:rsid w:val="004D5266"/>
    <w:rsid w:val="004D6E76"/>
    <w:rsid w:val="004D6FCF"/>
    <w:rsid w:val="004E05E1"/>
    <w:rsid w:val="004E1392"/>
    <w:rsid w:val="004E15BC"/>
    <w:rsid w:val="004E35F8"/>
    <w:rsid w:val="004E5C70"/>
    <w:rsid w:val="004E7761"/>
    <w:rsid w:val="004E7C36"/>
    <w:rsid w:val="004F0F4E"/>
    <w:rsid w:val="004F325A"/>
    <w:rsid w:val="004F422F"/>
    <w:rsid w:val="004F47D8"/>
    <w:rsid w:val="004F523B"/>
    <w:rsid w:val="004F6BAF"/>
    <w:rsid w:val="00505B77"/>
    <w:rsid w:val="0051218D"/>
    <w:rsid w:val="0051261F"/>
    <w:rsid w:val="00521812"/>
    <w:rsid w:val="00521BBF"/>
    <w:rsid w:val="00522E9F"/>
    <w:rsid w:val="00524783"/>
    <w:rsid w:val="00531651"/>
    <w:rsid w:val="00532FC5"/>
    <w:rsid w:val="00542E09"/>
    <w:rsid w:val="00555FD7"/>
    <w:rsid w:val="005579FF"/>
    <w:rsid w:val="00572A30"/>
    <w:rsid w:val="005741AB"/>
    <w:rsid w:val="0058211A"/>
    <w:rsid w:val="00593196"/>
    <w:rsid w:val="00594BE9"/>
    <w:rsid w:val="005973EC"/>
    <w:rsid w:val="005A0D46"/>
    <w:rsid w:val="005A76C2"/>
    <w:rsid w:val="005A7CE3"/>
    <w:rsid w:val="005B74D1"/>
    <w:rsid w:val="005C2151"/>
    <w:rsid w:val="005C2556"/>
    <w:rsid w:val="005D4CE6"/>
    <w:rsid w:val="005E0E1D"/>
    <w:rsid w:val="005E0F6E"/>
    <w:rsid w:val="005E6F22"/>
    <w:rsid w:val="005E73B0"/>
    <w:rsid w:val="005F08AD"/>
    <w:rsid w:val="005F75C6"/>
    <w:rsid w:val="00603FE1"/>
    <w:rsid w:val="00605200"/>
    <w:rsid w:val="006134D5"/>
    <w:rsid w:val="006135ED"/>
    <w:rsid w:val="0061587A"/>
    <w:rsid w:val="00616E53"/>
    <w:rsid w:val="006211C6"/>
    <w:rsid w:val="0063131E"/>
    <w:rsid w:val="00643524"/>
    <w:rsid w:val="00643BC9"/>
    <w:rsid w:val="0064543C"/>
    <w:rsid w:val="00647C79"/>
    <w:rsid w:val="006530EF"/>
    <w:rsid w:val="00654BCA"/>
    <w:rsid w:val="00660188"/>
    <w:rsid w:val="00665E40"/>
    <w:rsid w:val="00681697"/>
    <w:rsid w:val="00690E90"/>
    <w:rsid w:val="00691421"/>
    <w:rsid w:val="006931BA"/>
    <w:rsid w:val="006933D0"/>
    <w:rsid w:val="00695D52"/>
    <w:rsid w:val="006969D9"/>
    <w:rsid w:val="006A02B8"/>
    <w:rsid w:val="006A0B4A"/>
    <w:rsid w:val="006A1406"/>
    <w:rsid w:val="006A5680"/>
    <w:rsid w:val="006A6372"/>
    <w:rsid w:val="006B0FFA"/>
    <w:rsid w:val="006B1BFE"/>
    <w:rsid w:val="006C5C37"/>
    <w:rsid w:val="006D1493"/>
    <w:rsid w:val="006D1B7E"/>
    <w:rsid w:val="006D299D"/>
    <w:rsid w:val="006D4B46"/>
    <w:rsid w:val="006E7E88"/>
    <w:rsid w:val="006F0E1D"/>
    <w:rsid w:val="006F20C0"/>
    <w:rsid w:val="006F3718"/>
    <w:rsid w:val="00700857"/>
    <w:rsid w:val="007213BF"/>
    <w:rsid w:val="00737C44"/>
    <w:rsid w:val="00741547"/>
    <w:rsid w:val="007438B9"/>
    <w:rsid w:val="00743A7B"/>
    <w:rsid w:val="007457D7"/>
    <w:rsid w:val="00752982"/>
    <w:rsid w:val="007529FE"/>
    <w:rsid w:val="007554A2"/>
    <w:rsid w:val="0075585D"/>
    <w:rsid w:val="00762F63"/>
    <w:rsid w:val="00765D93"/>
    <w:rsid w:val="00766D25"/>
    <w:rsid w:val="0078580A"/>
    <w:rsid w:val="0078645E"/>
    <w:rsid w:val="007865E2"/>
    <w:rsid w:val="00790226"/>
    <w:rsid w:val="007907B1"/>
    <w:rsid w:val="007944A3"/>
    <w:rsid w:val="00796EAF"/>
    <w:rsid w:val="007A05E1"/>
    <w:rsid w:val="007A53D9"/>
    <w:rsid w:val="007B1E4F"/>
    <w:rsid w:val="007B202C"/>
    <w:rsid w:val="007B3A70"/>
    <w:rsid w:val="007B6EAF"/>
    <w:rsid w:val="007C133D"/>
    <w:rsid w:val="007C138C"/>
    <w:rsid w:val="007C5D0C"/>
    <w:rsid w:val="007C7718"/>
    <w:rsid w:val="007D35EE"/>
    <w:rsid w:val="007E2659"/>
    <w:rsid w:val="007E4AF3"/>
    <w:rsid w:val="007E6948"/>
    <w:rsid w:val="007E6F45"/>
    <w:rsid w:val="007E7004"/>
    <w:rsid w:val="007E7734"/>
    <w:rsid w:val="007F6434"/>
    <w:rsid w:val="00803680"/>
    <w:rsid w:val="00803B42"/>
    <w:rsid w:val="008063D5"/>
    <w:rsid w:val="00807FBB"/>
    <w:rsid w:val="008164DB"/>
    <w:rsid w:val="008179DF"/>
    <w:rsid w:val="00821542"/>
    <w:rsid w:val="008215BD"/>
    <w:rsid w:val="008250EE"/>
    <w:rsid w:val="008253F1"/>
    <w:rsid w:val="00826CA6"/>
    <w:rsid w:val="008317A6"/>
    <w:rsid w:val="00832D2E"/>
    <w:rsid w:val="008338AD"/>
    <w:rsid w:val="00836481"/>
    <w:rsid w:val="008464B8"/>
    <w:rsid w:val="00850AD6"/>
    <w:rsid w:val="00851318"/>
    <w:rsid w:val="00852218"/>
    <w:rsid w:val="00855675"/>
    <w:rsid w:val="00855B6E"/>
    <w:rsid w:val="00857AB4"/>
    <w:rsid w:val="008607F3"/>
    <w:rsid w:val="00871CF9"/>
    <w:rsid w:val="008728A2"/>
    <w:rsid w:val="008732D5"/>
    <w:rsid w:val="008762CA"/>
    <w:rsid w:val="00896965"/>
    <w:rsid w:val="008970D7"/>
    <w:rsid w:val="00897B8C"/>
    <w:rsid w:val="008A1C85"/>
    <w:rsid w:val="008A3ECD"/>
    <w:rsid w:val="008A500B"/>
    <w:rsid w:val="008A6278"/>
    <w:rsid w:val="008B094E"/>
    <w:rsid w:val="008B575F"/>
    <w:rsid w:val="008B5A40"/>
    <w:rsid w:val="008B7947"/>
    <w:rsid w:val="008C2596"/>
    <w:rsid w:val="008C4919"/>
    <w:rsid w:val="008D49CA"/>
    <w:rsid w:val="008D5242"/>
    <w:rsid w:val="008D6993"/>
    <w:rsid w:val="008E19F1"/>
    <w:rsid w:val="008E21B5"/>
    <w:rsid w:val="008E3E0D"/>
    <w:rsid w:val="008E5CC9"/>
    <w:rsid w:val="008F194D"/>
    <w:rsid w:val="008F19EF"/>
    <w:rsid w:val="009048B9"/>
    <w:rsid w:val="0090604F"/>
    <w:rsid w:val="00915B12"/>
    <w:rsid w:val="00916169"/>
    <w:rsid w:val="0092111D"/>
    <w:rsid w:val="00924239"/>
    <w:rsid w:val="009407F5"/>
    <w:rsid w:val="00942BEB"/>
    <w:rsid w:val="009444A7"/>
    <w:rsid w:val="00944DD0"/>
    <w:rsid w:val="00954B25"/>
    <w:rsid w:val="009616C9"/>
    <w:rsid w:val="00964A1A"/>
    <w:rsid w:val="00965BE6"/>
    <w:rsid w:val="00974E79"/>
    <w:rsid w:val="00986A7B"/>
    <w:rsid w:val="00992FDD"/>
    <w:rsid w:val="009B1A18"/>
    <w:rsid w:val="009B5FBC"/>
    <w:rsid w:val="009C2FEB"/>
    <w:rsid w:val="009C497B"/>
    <w:rsid w:val="009C58FD"/>
    <w:rsid w:val="009C7314"/>
    <w:rsid w:val="009E588E"/>
    <w:rsid w:val="009F0720"/>
    <w:rsid w:val="009F0A94"/>
    <w:rsid w:val="009F367B"/>
    <w:rsid w:val="009F7962"/>
    <w:rsid w:val="00A02A71"/>
    <w:rsid w:val="00A031CE"/>
    <w:rsid w:val="00A0613E"/>
    <w:rsid w:val="00A10BF6"/>
    <w:rsid w:val="00A15EDB"/>
    <w:rsid w:val="00A24B80"/>
    <w:rsid w:val="00A26548"/>
    <w:rsid w:val="00A4113A"/>
    <w:rsid w:val="00A44494"/>
    <w:rsid w:val="00A44CC6"/>
    <w:rsid w:val="00A47D4F"/>
    <w:rsid w:val="00A539C6"/>
    <w:rsid w:val="00A57341"/>
    <w:rsid w:val="00A654EA"/>
    <w:rsid w:val="00A71994"/>
    <w:rsid w:val="00A737A8"/>
    <w:rsid w:val="00A74A6B"/>
    <w:rsid w:val="00A851D6"/>
    <w:rsid w:val="00A9034A"/>
    <w:rsid w:val="00A958DA"/>
    <w:rsid w:val="00AA035F"/>
    <w:rsid w:val="00AA436C"/>
    <w:rsid w:val="00AB3D22"/>
    <w:rsid w:val="00AB5B06"/>
    <w:rsid w:val="00AD5113"/>
    <w:rsid w:val="00AE0A81"/>
    <w:rsid w:val="00AE21C7"/>
    <w:rsid w:val="00AE35C8"/>
    <w:rsid w:val="00AF0E48"/>
    <w:rsid w:val="00AF3057"/>
    <w:rsid w:val="00AF7C5A"/>
    <w:rsid w:val="00B03EB3"/>
    <w:rsid w:val="00B10AE8"/>
    <w:rsid w:val="00B11277"/>
    <w:rsid w:val="00B22B2E"/>
    <w:rsid w:val="00B36664"/>
    <w:rsid w:val="00B502D6"/>
    <w:rsid w:val="00B54FF2"/>
    <w:rsid w:val="00B57583"/>
    <w:rsid w:val="00B714E8"/>
    <w:rsid w:val="00B71947"/>
    <w:rsid w:val="00B83E17"/>
    <w:rsid w:val="00B93F29"/>
    <w:rsid w:val="00B96243"/>
    <w:rsid w:val="00B97F70"/>
    <w:rsid w:val="00BA2AA8"/>
    <w:rsid w:val="00BA3F27"/>
    <w:rsid w:val="00BB071A"/>
    <w:rsid w:val="00BB2129"/>
    <w:rsid w:val="00BC014F"/>
    <w:rsid w:val="00BC14D6"/>
    <w:rsid w:val="00BC222D"/>
    <w:rsid w:val="00BC264D"/>
    <w:rsid w:val="00BC4019"/>
    <w:rsid w:val="00BC4FC7"/>
    <w:rsid w:val="00BC6D69"/>
    <w:rsid w:val="00BD65AE"/>
    <w:rsid w:val="00BE7DED"/>
    <w:rsid w:val="00BF4522"/>
    <w:rsid w:val="00BF63D5"/>
    <w:rsid w:val="00BF7476"/>
    <w:rsid w:val="00C04D53"/>
    <w:rsid w:val="00C12334"/>
    <w:rsid w:val="00C12443"/>
    <w:rsid w:val="00C21D3B"/>
    <w:rsid w:val="00C25E3F"/>
    <w:rsid w:val="00C2601B"/>
    <w:rsid w:val="00C27831"/>
    <w:rsid w:val="00C30E04"/>
    <w:rsid w:val="00C3316A"/>
    <w:rsid w:val="00C33898"/>
    <w:rsid w:val="00C34868"/>
    <w:rsid w:val="00C4374E"/>
    <w:rsid w:val="00C464AD"/>
    <w:rsid w:val="00C47ACD"/>
    <w:rsid w:val="00C55766"/>
    <w:rsid w:val="00C55BFC"/>
    <w:rsid w:val="00C56E43"/>
    <w:rsid w:val="00C57D75"/>
    <w:rsid w:val="00C650EE"/>
    <w:rsid w:val="00C6572C"/>
    <w:rsid w:val="00C67A60"/>
    <w:rsid w:val="00C748D7"/>
    <w:rsid w:val="00C74CEB"/>
    <w:rsid w:val="00C7734A"/>
    <w:rsid w:val="00C82D47"/>
    <w:rsid w:val="00C83116"/>
    <w:rsid w:val="00CA4D55"/>
    <w:rsid w:val="00CA6B10"/>
    <w:rsid w:val="00CB4527"/>
    <w:rsid w:val="00CB497D"/>
    <w:rsid w:val="00CB4D45"/>
    <w:rsid w:val="00CC17B2"/>
    <w:rsid w:val="00CC777E"/>
    <w:rsid w:val="00CD1916"/>
    <w:rsid w:val="00CD2D63"/>
    <w:rsid w:val="00CF1E1B"/>
    <w:rsid w:val="00CF343F"/>
    <w:rsid w:val="00D244C7"/>
    <w:rsid w:val="00D325CD"/>
    <w:rsid w:val="00D34760"/>
    <w:rsid w:val="00D40343"/>
    <w:rsid w:val="00D506D9"/>
    <w:rsid w:val="00D519D4"/>
    <w:rsid w:val="00D57C62"/>
    <w:rsid w:val="00D61797"/>
    <w:rsid w:val="00D6181F"/>
    <w:rsid w:val="00D65E36"/>
    <w:rsid w:val="00D66471"/>
    <w:rsid w:val="00D7282A"/>
    <w:rsid w:val="00D738CD"/>
    <w:rsid w:val="00D751DD"/>
    <w:rsid w:val="00D81371"/>
    <w:rsid w:val="00D840F0"/>
    <w:rsid w:val="00D87D4C"/>
    <w:rsid w:val="00D90DEE"/>
    <w:rsid w:val="00D92D83"/>
    <w:rsid w:val="00D94D93"/>
    <w:rsid w:val="00DA68C0"/>
    <w:rsid w:val="00DB3A77"/>
    <w:rsid w:val="00DB5E78"/>
    <w:rsid w:val="00DD28EF"/>
    <w:rsid w:val="00DD297B"/>
    <w:rsid w:val="00DD6F38"/>
    <w:rsid w:val="00DE1301"/>
    <w:rsid w:val="00DE7105"/>
    <w:rsid w:val="00DE7392"/>
    <w:rsid w:val="00DF355E"/>
    <w:rsid w:val="00DF633D"/>
    <w:rsid w:val="00E0358A"/>
    <w:rsid w:val="00E05C68"/>
    <w:rsid w:val="00E06035"/>
    <w:rsid w:val="00E064B1"/>
    <w:rsid w:val="00E06588"/>
    <w:rsid w:val="00E06780"/>
    <w:rsid w:val="00E16DC5"/>
    <w:rsid w:val="00E23E19"/>
    <w:rsid w:val="00E31082"/>
    <w:rsid w:val="00E32F48"/>
    <w:rsid w:val="00E35025"/>
    <w:rsid w:val="00E41C12"/>
    <w:rsid w:val="00E42AAF"/>
    <w:rsid w:val="00E446D6"/>
    <w:rsid w:val="00E4631D"/>
    <w:rsid w:val="00E46C2D"/>
    <w:rsid w:val="00E5117F"/>
    <w:rsid w:val="00E516E5"/>
    <w:rsid w:val="00E71722"/>
    <w:rsid w:val="00E7430F"/>
    <w:rsid w:val="00E9670B"/>
    <w:rsid w:val="00EA2EC5"/>
    <w:rsid w:val="00EA7D5A"/>
    <w:rsid w:val="00EB26E1"/>
    <w:rsid w:val="00EB3B90"/>
    <w:rsid w:val="00EC0211"/>
    <w:rsid w:val="00EC059E"/>
    <w:rsid w:val="00EC1E36"/>
    <w:rsid w:val="00EC5547"/>
    <w:rsid w:val="00EC71F5"/>
    <w:rsid w:val="00EE2132"/>
    <w:rsid w:val="00EE24A5"/>
    <w:rsid w:val="00EE286B"/>
    <w:rsid w:val="00EE381E"/>
    <w:rsid w:val="00EE45BD"/>
    <w:rsid w:val="00EE6AB3"/>
    <w:rsid w:val="00EF27F1"/>
    <w:rsid w:val="00EF3B31"/>
    <w:rsid w:val="00EF5C84"/>
    <w:rsid w:val="00F00E6B"/>
    <w:rsid w:val="00F05140"/>
    <w:rsid w:val="00F05326"/>
    <w:rsid w:val="00F076D1"/>
    <w:rsid w:val="00F10E3B"/>
    <w:rsid w:val="00F13211"/>
    <w:rsid w:val="00F265A9"/>
    <w:rsid w:val="00F31BC2"/>
    <w:rsid w:val="00F33595"/>
    <w:rsid w:val="00F349B2"/>
    <w:rsid w:val="00F352AF"/>
    <w:rsid w:val="00F358AE"/>
    <w:rsid w:val="00F463C2"/>
    <w:rsid w:val="00F60F6B"/>
    <w:rsid w:val="00F62B36"/>
    <w:rsid w:val="00F67582"/>
    <w:rsid w:val="00F81505"/>
    <w:rsid w:val="00F84899"/>
    <w:rsid w:val="00F90FD8"/>
    <w:rsid w:val="00F911CC"/>
    <w:rsid w:val="00F94720"/>
    <w:rsid w:val="00FA07E0"/>
    <w:rsid w:val="00FA5123"/>
    <w:rsid w:val="00FA6C4C"/>
    <w:rsid w:val="00FB2B49"/>
    <w:rsid w:val="00FB7D19"/>
    <w:rsid w:val="00FC585E"/>
    <w:rsid w:val="00FC7F66"/>
    <w:rsid w:val="00FE7614"/>
    <w:rsid w:val="00FF5EB3"/>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5716">
      <w:bodyDiv w:val="1"/>
      <w:marLeft w:val="720"/>
      <w:marRight w:val="0"/>
      <w:marTop w:val="0"/>
      <w:marBottom w:val="0"/>
      <w:divBdr>
        <w:top w:val="none" w:sz="0" w:space="0" w:color="auto"/>
        <w:left w:val="none" w:sz="0" w:space="0" w:color="auto"/>
        <w:bottom w:val="none" w:sz="0" w:space="0" w:color="auto"/>
        <w:right w:val="none" w:sz="0" w:space="0" w:color="auto"/>
      </w:divBdr>
      <w:divsChild>
        <w:div w:id="2097050466">
          <w:marLeft w:val="75"/>
          <w:marRight w:val="75"/>
          <w:marTop w:val="75"/>
          <w:marBottom w:val="75"/>
          <w:divBdr>
            <w:top w:val="none" w:sz="0" w:space="0" w:color="auto"/>
            <w:left w:val="none" w:sz="0" w:space="0" w:color="auto"/>
            <w:bottom w:val="none" w:sz="0" w:space="0" w:color="auto"/>
            <w:right w:val="none" w:sz="0" w:space="0" w:color="auto"/>
          </w:divBdr>
          <w:divsChild>
            <w:div w:id="1798909918">
              <w:marLeft w:val="0"/>
              <w:marRight w:val="0"/>
              <w:marTop w:val="0"/>
              <w:marBottom w:val="0"/>
              <w:divBdr>
                <w:top w:val="none" w:sz="0" w:space="0" w:color="auto"/>
                <w:left w:val="none" w:sz="0" w:space="0" w:color="auto"/>
                <w:bottom w:val="none" w:sz="0" w:space="0" w:color="auto"/>
                <w:right w:val="none" w:sz="0" w:space="0" w:color="auto"/>
              </w:divBdr>
              <w:divsChild>
                <w:div w:id="1524517289">
                  <w:marLeft w:val="0"/>
                  <w:marRight w:val="0"/>
                  <w:marTop w:val="0"/>
                  <w:marBottom w:val="0"/>
                  <w:divBdr>
                    <w:top w:val="none" w:sz="0" w:space="0" w:color="auto"/>
                    <w:left w:val="none" w:sz="0" w:space="0" w:color="auto"/>
                    <w:bottom w:val="none" w:sz="0" w:space="0" w:color="auto"/>
                    <w:right w:val="none" w:sz="0" w:space="0" w:color="auto"/>
                  </w:divBdr>
                  <w:divsChild>
                    <w:div w:id="1584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19329">
      <w:bodyDiv w:val="1"/>
      <w:marLeft w:val="0"/>
      <w:marRight w:val="0"/>
      <w:marTop w:val="0"/>
      <w:marBottom w:val="0"/>
      <w:divBdr>
        <w:top w:val="none" w:sz="0" w:space="0" w:color="auto"/>
        <w:left w:val="none" w:sz="0" w:space="0" w:color="auto"/>
        <w:bottom w:val="none" w:sz="0" w:space="0" w:color="auto"/>
        <w:right w:val="none" w:sz="0" w:space="0" w:color="auto"/>
      </w:divBdr>
    </w:div>
    <w:div w:id="1514419705">
      <w:bodyDiv w:val="1"/>
      <w:marLeft w:val="0"/>
      <w:marRight w:val="0"/>
      <w:marTop w:val="0"/>
      <w:marBottom w:val="0"/>
      <w:divBdr>
        <w:top w:val="none" w:sz="0" w:space="0" w:color="auto"/>
        <w:left w:val="none" w:sz="0" w:space="0" w:color="auto"/>
        <w:bottom w:val="none" w:sz="0" w:space="0" w:color="auto"/>
        <w:right w:val="none" w:sz="0" w:space="0" w:color="auto"/>
      </w:divBdr>
    </w:div>
    <w:div w:id="1777868679">
      <w:bodyDiv w:val="1"/>
      <w:marLeft w:val="0"/>
      <w:marRight w:val="0"/>
      <w:marTop w:val="0"/>
      <w:marBottom w:val="0"/>
      <w:divBdr>
        <w:top w:val="none" w:sz="0" w:space="0" w:color="auto"/>
        <w:left w:val="none" w:sz="0" w:space="0" w:color="auto"/>
        <w:bottom w:val="none" w:sz="0" w:space="0" w:color="auto"/>
        <w:right w:val="none" w:sz="0" w:space="0" w:color="auto"/>
      </w:divBdr>
    </w:div>
    <w:div w:id="1817599189">
      <w:bodyDiv w:val="1"/>
      <w:marLeft w:val="0"/>
      <w:marRight w:val="0"/>
      <w:marTop w:val="0"/>
      <w:marBottom w:val="0"/>
      <w:divBdr>
        <w:top w:val="none" w:sz="0" w:space="0" w:color="auto"/>
        <w:left w:val="none" w:sz="0" w:space="0" w:color="auto"/>
        <w:bottom w:val="none" w:sz="0" w:space="0" w:color="auto"/>
        <w:right w:val="none" w:sz="0" w:space="0" w:color="auto"/>
      </w:divBdr>
    </w:div>
    <w:div w:id="1888182182">
      <w:bodyDiv w:val="1"/>
      <w:marLeft w:val="720"/>
      <w:marRight w:val="0"/>
      <w:marTop w:val="0"/>
      <w:marBottom w:val="0"/>
      <w:divBdr>
        <w:top w:val="none" w:sz="0" w:space="0" w:color="auto"/>
        <w:left w:val="none" w:sz="0" w:space="0" w:color="auto"/>
        <w:bottom w:val="none" w:sz="0" w:space="0" w:color="auto"/>
        <w:right w:val="none" w:sz="0" w:space="0" w:color="auto"/>
      </w:divBdr>
      <w:divsChild>
        <w:div w:id="882525402">
          <w:marLeft w:val="75"/>
          <w:marRight w:val="75"/>
          <w:marTop w:val="75"/>
          <w:marBottom w:val="75"/>
          <w:divBdr>
            <w:top w:val="none" w:sz="0" w:space="0" w:color="auto"/>
            <w:left w:val="none" w:sz="0" w:space="0" w:color="auto"/>
            <w:bottom w:val="none" w:sz="0" w:space="0" w:color="auto"/>
            <w:right w:val="none" w:sz="0" w:space="0" w:color="auto"/>
          </w:divBdr>
          <w:divsChild>
            <w:div w:id="1602256359">
              <w:marLeft w:val="0"/>
              <w:marRight w:val="0"/>
              <w:marTop w:val="0"/>
              <w:marBottom w:val="0"/>
              <w:divBdr>
                <w:top w:val="none" w:sz="0" w:space="0" w:color="auto"/>
                <w:left w:val="none" w:sz="0" w:space="0" w:color="auto"/>
                <w:bottom w:val="none" w:sz="0" w:space="0" w:color="auto"/>
                <w:right w:val="none" w:sz="0" w:space="0" w:color="auto"/>
              </w:divBdr>
              <w:divsChild>
                <w:div w:id="288360865">
                  <w:marLeft w:val="0"/>
                  <w:marRight w:val="0"/>
                  <w:marTop w:val="0"/>
                  <w:marBottom w:val="0"/>
                  <w:divBdr>
                    <w:top w:val="none" w:sz="0" w:space="0" w:color="auto"/>
                    <w:left w:val="none" w:sz="0" w:space="0" w:color="auto"/>
                    <w:bottom w:val="none" w:sz="0" w:space="0" w:color="auto"/>
                    <w:right w:val="none" w:sz="0" w:space="0" w:color="auto"/>
                  </w:divBdr>
                  <w:divsChild>
                    <w:div w:id="2219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4815</Words>
  <Characters>27251</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32002</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USDOT_User</cp:lastModifiedBy>
  <cp:revision>2</cp:revision>
  <cp:lastPrinted>2015-06-02T23:42:00Z</cp:lastPrinted>
  <dcterms:created xsi:type="dcterms:W3CDTF">2015-09-28T13:02:00Z</dcterms:created>
  <dcterms:modified xsi:type="dcterms:W3CDTF">2015-09-28T13:02:00Z</dcterms:modified>
</cp:coreProperties>
</file>