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63" w:rsidRPr="00B36F4D" w:rsidRDefault="00A61863" w:rsidP="00A61863">
      <w:pPr>
        <w:pStyle w:val="L1-FlLSp12"/>
        <w:jc w:val="center"/>
        <w:rPr>
          <w:b/>
        </w:rPr>
      </w:pPr>
      <w:r w:rsidRPr="00B36F4D">
        <w:rPr>
          <w:b/>
        </w:rPr>
        <w:t>SUPPORTING STATEMENT</w:t>
      </w:r>
    </w:p>
    <w:p w:rsidR="00A61863" w:rsidRPr="00B36F4D" w:rsidRDefault="00721871" w:rsidP="00A61863">
      <w:pPr>
        <w:pStyle w:val="L1-FlLSp12"/>
        <w:jc w:val="center"/>
        <w:rPr>
          <w:b/>
        </w:rPr>
      </w:pPr>
      <w:r>
        <w:rPr>
          <w:b/>
        </w:rPr>
        <w:t xml:space="preserve">2015 </w:t>
      </w:r>
      <w:r w:rsidR="00A61863" w:rsidRPr="00B36F4D">
        <w:rPr>
          <w:b/>
        </w:rPr>
        <w:t>National Household Travel Survey</w:t>
      </w:r>
    </w:p>
    <w:p w:rsidR="00A61863" w:rsidRPr="00B36F4D" w:rsidRDefault="00A61863" w:rsidP="00DB16DE">
      <w:pPr>
        <w:pStyle w:val="L1-FlLSp12"/>
      </w:pPr>
    </w:p>
    <w:p w:rsidR="00A61863" w:rsidRPr="00B36F4D" w:rsidRDefault="00A61863" w:rsidP="00DB16DE">
      <w:pPr>
        <w:pStyle w:val="L1-FlLSp12"/>
      </w:pPr>
      <w:r w:rsidRPr="00B36F4D">
        <w:t xml:space="preserve">This is </w:t>
      </w:r>
      <w:r w:rsidR="008D4BC0">
        <w:t>a</w:t>
      </w:r>
      <w:r w:rsidRPr="00B36F4D">
        <w:t xml:space="preserve"> request</w:t>
      </w:r>
      <w:r w:rsidR="008D4BC0">
        <w:t xml:space="preserve"> for</w:t>
      </w:r>
      <w:r w:rsidRPr="00B36F4D">
        <w:t xml:space="preserve"> </w:t>
      </w:r>
      <w:r w:rsidR="008D4BC0">
        <w:t xml:space="preserve">an </w:t>
      </w:r>
      <w:r w:rsidRPr="00B36F4D">
        <w:t xml:space="preserve">Office of Management and Budget (OMB) approved clearance for the </w:t>
      </w:r>
      <w:r w:rsidR="00721871">
        <w:t xml:space="preserve">reinstatement of a </w:t>
      </w:r>
      <w:r w:rsidR="009B0DA3">
        <w:t>periodic</w:t>
      </w:r>
      <w:r w:rsidRPr="00B36F4D">
        <w:t xml:space="preserve"> information collection entitled “National Household Travel Survey”</w:t>
      </w:r>
      <w:r w:rsidR="00846A0D">
        <w:t xml:space="preserve"> (NHTS)</w:t>
      </w:r>
      <w:r w:rsidRPr="00B36F4D">
        <w:t>.</w:t>
      </w:r>
    </w:p>
    <w:p w:rsidR="00A61863" w:rsidRPr="00B36F4D" w:rsidRDefault="00A61863" w:rsidP="00DB16DE">
      <w:pPr>
        <w:pStyle w:val="L1-FlLSp12"/>
      </w:pPr>
    </w:p>
    <w:p w:rsidR="00716643" w:rsidRPr="007F17F7" w:rsidRDefault="00716643" w:rsidP="00716643">
      <w:pPr>
        <w:pStyle w:val="L1-FlLSp12"/>
        <w:rPr>
          <w:u w:val="single"/>
        </w:rPr>
      </w:pPr>
      <w:r w:rsidRPr="007F17F7">
        <w:rPr>
          <w:u w:val="single"/>
        </w:rPr>
        <w:t>Part B. Statistical Methods</w:t>
      </w:r>
    </w:p>
    <w:p w:rsidR="00716643" w:rsidRPr="007F17F7" w:rsidRDefault="00716643" w:rsidP="00716643">
      <w:pPr>
        <w:pStyle w:val="L1-FlLSp12"/>
        <w:rPr>
          <w:u w:val="single"/>
        </w:rPr>
      </w:pPr>
    </w:p>
    <w:p w:rsidR="00716643" w:rsidRPr="007F17F7" w:rsidRDefault="00716643" w:rsidP="00716643">
      <w:pPr>
        <w:pStyle w:val="L1-FlLSp12"/>
        <w:numPr>
          <w:ilvl w:val="0"/>
          <w:numId w:val="8"/>
        </w:numPr>
        <w:rPr>
          <w:i/>
        </w:rPr>
      </w:pPr>
      <w:r w:rsidRPr="007F17F7">
        <w:rPr>
          <w:i/>
        </w:rPr>
        <w:t>Describe potential respondent universe and any sampling selection method to be used:</w:t>
      </w:r>
    </w:p>
    <w:p w:rsidR="00716643" w:rsidRPr="007F17F7" w:rsidRDefault="00716643" w:rsidP="00716643">
      <w:pPr>
        <w:pStyle w:val="BodyText"/>
        <w:spacing w:line="276" w:lineRule="auto"/>
        <w:rPr>
          <w:bCs/>
          <w:sz w:val="22"/>
          <w:szCs w:val="22"/>
          <w:u w:val="single"/>
          <w:vertAlign w:val="subscript"/>
        </w:rPr>
      </w:pPr>
    </w:p>
    <w:p w:rsidR="00716643" w:rsidRPr="007F17F7" w:rsidRDefault="00716643" w:rsidP="00716643">
      <w:pPr>
        <w:pStyle w:val="BodyText"/>
        <w:spacing w:line="276" w:lineRule="auto"/>
        <w:rPr>
          <w:bCs/>
          <w:sz w:val="22"/>
          <w:szCs w:val="22"/>
          <w:u w:val="single"/>
        </w:rPr>
      </w:pPr>
      <w:r w:rsidRPr="007F17F7">
        <w:rPr>
          <w:bCs/>
          <w:sz w:val="22"/>
          <w:szCs w:val="22"/>
          <w:u w:val="single"/>
        </w:rPr>
        <w:t>Part B.  Information Collection by Statistical Methods:</w:t>
      </w:r>
    </w:p>
    <w:p w:rsidR="00716643" w:rsidRPr="007F17F7" w:rsidRDefault="00716643" w:rsidP="00716643">
      <w:pPr>
        <w:pStyle w:val="BodyText"/>
        <w:spacing w:line="276" w:lineRule="auto"/>
        <w:rPr>
          <w:sz w:val="22"/>
          <w:szCs w:val="22"/>
          <w:vertAlign w:val="subscript"/>
        </w:rPr>
      </w:pPr>
      <w:r w:rsidRPr="007F17F7">
        <w:rPr>
          <w:sz w:val="22"/>
          <w:szCs w:val="22"/>
        </w:rPr>
        <w:t>While many elements of the survey design for the 2015 NHTS are based on the design utilized in the 2009, 2001, and 1995 surveys, the sample design for the 2015 NHTS uses address based sampling (ABS). Given the continuing decline in landline telephone use and a resulting RDD sampling frame that covers less than 60 percent of households</w:t>
      </w:r>
      <w:r w:rsidRPr="007F17F7">
        <w:rPr>
          <w:rStyle w:val="FootnoteReference"/>
          <w:sz w:val="22"/>
          <w:szCs w:val="22"/>
        </w:rPr>
        <w:footnoteReference w:id="2"/>
      </w:r>
      <w:r w:rsidRPr="007F17F7">
        <w:rPr>
          <w:sz w:val="22"/>
          <w:szCs w:val="22"/>
        </w:rPr>
        <w:t xml:space="preserve"> (down from 75 percent in 2009), the change to an ABS design will provide improvement in attaining both higher coverage, using a frame that c</w:t>
      </w:r>
      <w:r w:rsidR="00A92F0B">
        <w:rPr>
          <w:sz w:val="22"/>
          <w:szCs w:val="22"/>
        </w:rPr>
        <w:t>overs virtually all households,.</w:t>
      </w:r>
      <w:r w:rsidRPr="007F17F7">
        <w:rPr>
          <w:sz w:val="22"/>
          <w:szCs w:val="22"/>
        </w:rPr>
        <w:t xml:space="preserve">  Although these changes may affect trend analysis, it is imperative to address overall declining response rates, with significant focus placed on the respondent experience.  </w:t>
      </w:r>
      <w:proofErr w:type="gramStart"/>
      <w:r w:rsidRPr="007F17F7">
        <w:rPr>
          <w:sz w:val="22"/>
          <w:szCs w:val="22"/>
        </w:rPr>
        <w:t xml:space="preserve">For further information about the survey design contact Adella Santos at FHWA, 202-366- 5021, </w:t>
      </w:r>
      <w:hyperlink r:id="rId12" w:history="1">
        <w:r w:rsidRPr="007F17F7">
          <w:rPr>
            <w:rStyle w:val="Hyperlink"/>
            <w:sz w:val="22"/>
            <w:szCs w:val="22"/>
          </w:rPr>
          <w:t>Adella.Santos@dot.gov</w:t>
        </w:r>
      </w:hyperlink>
      <w:r w:rsidR="00A92F0B">
        <w:rPr>
          <w:rStyle w:val="Hyperlink"/>
          <w:sz w:val="22"/>
          <w:szCs w:val="22"/>
        </w:rPr>
        <w:t>.</w:t>
      </w:r>
      <w:proofErr w:type="gramEnd"/>
    </w:p>
    <w:p w:rsidR="00716643" w:rsidRPr="007F17F7" w:rsidRDefault="00716643" w:rsidP="00716643">
      <w:pPr>
        <w:pStyle w:val="BodyText"/>
        <w:spacing w:line="276" w:lineRule="auto"/>
        <w:rPr>
          <w:sz w:val="22"/>
          <w:szCs w:val="22"/>
          <w:vertAlign w:val="subscript"/>
        </w:rPr>
      </w:pPr>
    </w:p>
    <w:p w:rsidR="00716643" w:rsidRPr="007F17F7" w:rsidRDefault="00716643" w:rsidP="00716643">
      <w:pPr>
        <w:pStyle w:val="BodyText"/>
        <w:widowControl/>
        <w:numPr>
          <w:ilvl w:val="0"/>
          <w:numId w:val="22"/>
        </w:numPr>
        <w:adjustRightInd/>
        <w:spacing w:line="276" w:lineRule="auto"/>
        <w:ind w:left="0"/>
        <w:rPr>
          <w:iCs/>
          <w:sz w:val="22"/>
          <w:szCs w:val="22"/>
          <w:u w:val="single"/>
        </w:rPr>
      </w:pPr>
      <w:r w:rsidRPr="007F17F7">
        <w:rPr>
          <w:iCs/>
          <w:sz w:val="22"/>
          <w:szCs w:val="22"/>
          <w:u w:val="single"/>
        </w:rPr>
        <w:t>Describe potential respondent universe and any sampling selection method to be used:</w:t>
      </w:r>
    </w:p>
    <w:p w:rsidR="00716643" w:rsidRPr="007F17F7" w:rsidRDefault="00716643" w:rsidP="00716643">
      <w:pPr>
        <w:pStyle w:val="BodyText"/>
        <w:spacing w:line="276" w:lineRule="auto"/>
        <w:rPr>
          <w:sz w:val="22"/>
          <w:szCs w:val="22"/>
        </w:rPr>
      </w:pPr>
      <w:r w:rsidRPr="007F17F7">
        <w:rPr>
          <w:sz w:val="22"/>
          <w:szCs w:val="22"/>
        </w:rPr>
        <w:t xml:space="preserve">The NHTS is a study conducted by the U.S. Department of Transportation (DOT) Federal Highway Administration (FHWA) that obtains data on key aspects of travel by the American public. The survey is focused on the household as the basic unit of observation.  </w:t>
      </w:r>
    </w:p>
    <w:p w:rsidR="00716643" w:rsidRPr="007F17F7" w:rsidRDefault="00716643" w:rsidP="00716643">
      <w:pPr>
        <w:pStyle w:val="BodyText"/>
        <w:spacing w:line="276" w:lineRule="auto"/>
        <w:rPr>
          <w:sz w:val="22"/>
          <w:szCs w:val="22"/>
        </w:rPr>
      </w:pPr>
    </w:p>
    <w:p w:rsidR="00716643" w:rsidRPr="007F17F7" w:rsidRDefault="00716643" w:rsidP="00716643">
      <w:pPr>
        <w:pStyle w:val="BodyText"/>
        <w:spacing w:line="276" w:lineRule="auto"/>
        <w:rPr>
          <w:sz w:val="22"/>
          <w:szCs w:val="22"/>
          <w:u w:val="single"/>
        </w:rPr>
      </w:pPr>
      <w:r w:rsidRPr="007F17F7">
        <w:rPr>
          <w:sz w:val="22"/>
          <w:szCs w:val="22"/>
          <w:u w:val="single"/>
        </w:rPr>
        <w:t>Respondent Universe</w:t>
      </w:r>
    </w:p>
    <w:p w:rsidR="00716643" w:rsidRPr="007F17F7" w:rsidRDefault="00716643" w:rsidP="00716643">
      <w:pPr>
        <w:pStyle w:val="BodyText"/>
        <w:spacing w:line="276" w:lineRule="auto"/>
        <w:rPr>
          <w:sz w:val="22"/>
          <w:szCs w:val="22"/>
        </w:rPr>
      </w:pPr>
      <w:r w:rsidRPr="007F17F7">
        <w:rPr>
          <w:sz w:val="22"/>
          <w:szCs w:val="22"/>
        </w:rPr>
        <w:t xml:space="preserve">The population of inferential interest for the 2015 NHTS is defined as households living in the U.S, excluding group quarters, during the </w:t>
      </w:r>
      <w:r w:rsidR="0055053D">
        <w:rPr>
          <w:sz w:val="22"/>
          <w:szCs w:val="22"/>
        </w:rPr>
        <w:t xml:space="preserve">post-pretest </w:t>
      </w:r>
      <w:r w:rsidRPr="007F17F7">
        <w:rPr>
          <w:sz w:val="22"/>
          <w:szCs w:val="22"/>
        </w:rPr>
        <w:t>data collection period (November</w:t>
      </w:r>
      <w:r w:rsidR="00827FC9">
        <w:rPr>
          <w:sz w:val="22"/>
          <w:szCs w:val="22"/>
        </w:rPr>
        <w:t>,</w:t>
      </w:r>
      <w:r w:rsidRPr="007F17F7">
        <w:rPr>
          <w:sz w:val="22"/>
          <w:szCs w:val="22"/>
        </w:rPr>
        <w:t xml:space="preserve"> 2015 – December 2016).  The universe for sample selection is households within the 50 states and the District of Columbia.  </w:t>
      </w:r>
    </w:p>
    <w:p w:rsidR="00716643" w:rsidRPr="007F17F7" w:rsidRDefault="00716643" w:rsidP="00716643">
      <w:pPr>
        <w:pStyle w:val="BodyText"/>
        <w:spacing w:line="276" w:lineRule="auto"/>
        <w:rPr>
          <w:sz w:val="22"/>
          <w:szCs w:val="22"/>
        </w:rPr>
      </w:pPr>
    </w:p>
    <w:p w:rsidR="00716643" w:rsidRPr="007F17F7" w:rsidRDefault="00716643" w:rsidP="00716643">
      <w:pPr>
        <w:pStyle w:val="BodyText"/>
        <w:spacing w:line="276" w:lineRule="auto"/>
        <w:rPr>
          <w:sz w:val="22"/>
          <w:szCs w:val="22"/>
        </w:rPr>
      </w:pPr>
      <w:r w:rsidRPr="007F17F7">
        <w:rPr>
          <w:sz w:val="22"/>
          <w:szCs w:val="22"/>
        </w:rPr>
        <w:t>The National 2015 NHTS will comprise a sample of addresses that will be selected from the ABS frame maintained by Marketing Systems Group (MSG)</w:t>
      </w:r>
      <w:r w:rsidR="003D1F4B">
        <w:rPr>
          <w:sz w:val="22"/>
          <w:szCs w:val="22"/>
        </w:rPr>
        <w:t xml:space="preserve"> using stratified systematic sampling</w:t>
      </w:r>
      <w:r w:rsidRPr="007F17F7">
        <w:rPr>
          <w:sz w:val="22"/>
          <w:szCs w:val="22"/>
        </w:rPr>
        <w:t>.  MSG’s ABS frame originates from the U.S. Postal Service (USPS) Computerized Delivery Sequence file (CDS), and is updated on a monthly basis.</w:t>
      </w:r>
      <w:r w:rsidR="00827FC9">
        <w:rPr>
          <w:sz w:val="22"/>
          <w:szCs w:val="22"/>
        </w:rPr>
        <w:t xml:space="preserve"> The vendor used, MSG, has taken great strides to evaluate and enhance the standard CDS-based list. For example, MSG has augmented simplified addresses with no specific street address to provide an ability to match auxiliary variables to a set of sampled addresses. In addition, use of this ABS frame can associate characteristics such as Hispanic surnames that can be matched to about 90 percent of addresses. Other characteristics of addresses (e.g., race/ethnicity, education, household income) may also be matched to some addresses. However, all of these items are subject to error (see Roth, Han </w:t>
      </w:r>
      <w:r w:rsidR="00827FC9">
        <w:rPr>
          <w:sz w:val="22"/>
          <w:szCs w:val="22"/>
        </w:rPr>
        <w:lastRenderedPageBreak/>
        <w:t>&amp;</w:t>
      </w:r>
      <w:proofErr w:type="spellStart"/>
      <w:r w:rsidR="00827FC9">
        <w:rPr>
          <w:sz w:val="22"/>
          <w:szCs w:val="22"/>
        </w:rPr>
        <w:t>Montaquila</w:t>
      </w:r>
      <w:proofErr w:type="spellEnd"/>
      <w:r w:rsidR="00827FC9">
        <w:rPr>
          <w:sz w:val="22"/>
          <w:szCs w:val="22"/>
        </w:rPr>
        <w:t>, 2013</w:t>
      </w:r>
      <w:r w:rsidR="00827FC9">
        <w:rPr>
          <w:rStyle w:val="FootnoteReference"/>
          <w:sz w:val="22"/>
          <w:szCs w:val="22"/>
        </w:rPr>
        <w:footnoteReference w:id="3"/>
      </w:r>
      <w:r w:rsidR="00827FC9">
        <w:rPr>
          <w:sz w:val="22"/>
          <w:szCs w:val="22"/>
        </w:rPr>
        <w:t>), but may still prove useful for data collection purposes. Another benefit to MSG addresses is that their addresses are geocoded which can be appended to the Decennial Census and the American Community Survey characteristics of block, block group, and track level, which is very useful for sampling and/or data collection purposes.</w:t>
      </w:r>
    </w:p>
    <w:p w:rsidR="00716643" w:rsidRPr="007F17F7" w:rsidRDefault="00716643" w:rsidP="00716643">
      <w:pPr>
        <w:pStyle w:val="BodyText"/>
        <w:spacing w:line="276" w:lineRule="auto"/>
        <w:rPr>
          <w:sz w:val="22"/>
          <w:szCs w:val="22"/>
        </w:rPr>
      </w:pPr>
    </w:p>
    <w:p w:rsidR="00716643" w:rsidRPr="007F17F7" w:rsidRDefault="00716643" w:rsidP="00716643">
      <w:pPr>
        <w:spacing w:line="276" w:lineRule="auto"/>
      </w:pPr>
      <w:r w:rsidRPr="007F17F7">
        <w:t xml:space="preserve">Most studies of coverage of ABS frames have focused on in-person surveys that require locating the physical address in a specific geography (giving rise to problems with rural route addresses and PO boxes, as well as coverage issues resulting from geocoding errors). For a mail survey the household coverage rates are much higher, since the USPS delivers mail to almost all households, and households with mailing addresses that do not correspond to a physical location are covered.  As reported by </w:t>
      </w:r>
      <w:proofErr w:type="spellStart"/>
      <w:r w:rsidRPr="007F17F7">
        <w:t>Iannacchione</w:t>
      </w:r>
      <w:proofErr w:type="spellEnd"/>
      <w:r w:rsidRPr="007F17F7">
        <w:t xml:space="preserve"> (2011)</w:t>
      </w:r>
      <w:r w:rsidRPr="007F17F7">
        <w:rPr>
          <w:rStyle w:val="FootnoteReference"/>
        </w:rPr>
        <w:t xml:space="preserve"> </w:t>
      </w:r>
      <w:r w:rsidRPr="007F17F7">
        <w:rPr>
          <w:rStyle w:val="FootnoteReference"/>
        </w:rPr>
        <w:footnoteReference w:id="4"/>
      </w:r>
      <w:r w:rsidRPr="007F17F7">
        <w:t>, ABS frames that are derived from the USPS CDS file and its associated No-Stat file offer nearly complete coverage of households</w:t>
      </w:r>
      <w:r w:rsidR="00D72EBF">
        <w:t>.</w:t>
      </w:r>
      <w:r w:rsidR="00102AB7">
        <w:rPr>
          <w:rStyle w:val="FootnoteReference"/>
        </w:rPr>
        <w:footnoteReference w:id="5"/>
      </w:r>
      <w:r w:rsidR="00D72EBF">
        <w:t xml:space="preserve"> </w:t>
      </w:r>
      <w:r w:rsidR="003D21E8" w:rsidRPr="003D21E8">
        <w:t xml:space="preserve"> </w:t>
      </w:r>
      <w:r w:rsidR="003D21E8">
        <w:t>T</w:t>
      </w:r>
      <w:r w:rsidR="003D21E8" w:rsidRPr="007F17F7">
        <w:t>he sampling frame for the 2015 NHTS will be d</w:t>
      </w:r>
      <w:r w:rsidR="00EC4AB2">
        <w:t>erived from only the CDS file, s</w:t>
      </w:r>
      <w:r w:rsidRPr="007F17F7">
        <w:t>ince including the No-Stat file (a file of mostly inactive addresses) is estimated to increase the coverage by less than one percentage point (Shook-Sa et al.</w:t>
      </w:r>
      <w:r w:rsidRPr="007F17F7">
        <w:rPr>
          <w:rStyle w:val="FootnoteReference"/>
        </w:rPr>
        <w:footnoteReference w:id="6"/>
      </w:r>
      <w:r w:rsidRPr="007F17F7">
        <w:t>)</w:t>
      </w:r>
      <w:r w:rsidR="003D21E8">
        <w:t>.</w:t>
      </w:r>
      <w:r w:rsidRPr="007F17F7">
        <w:t xml:space="preserve"> Thus, the ABS sample used for the 2015 NHTS is expected to have substantially higher coverage than the 2009 NHTS landline RDD sample. (In 2009, about one-fourth of households did not have landline telephones, and it has been estimated that an additional 5 to 20 percent of landline households were excluded from landline RDD frames; see Blumberg and Luke (2009)</w:t>
      </w:r>
      <w:r w:rsidRPr="007F17F7">
        <w:rPr>
          <w:rStyle w:val="FootnoteReference"/>
        </w:rPr>
        <w:t xml:space="preserve"> </w:t>
      </w:r>
      <w:r w:rsidRPr="007F17F7">
        <w:rPr>
          <w:rStyle w:val="FootnoteReference"/>
        </w:rPr>
        <w:footnoteReference w:id="7"/>
      </w:r>
      <w:r w:rsidRPr="007F17F7">
        <w:t xml:space="preserve"> for telephone service statistics, and Boyle et al. (2009)</w:t>
      </w:r>
      <w:r w:rsidRPr="007F17F7">
        <w:rPr>
          <w:rStyle w:val="FootnoteReference"/>
        </w:rPr>
        <w:t xml:space="preserve"> </w:t>
      </w:r>
      <w:r w:rsidRPr="007F17F7">
        <w:rPr>
          <w:rStyle w:val="FootnoteReference"/>
        </w:rPr>
        <w:footnoteReference w:id="8"/>
      </w:r>
      <w:r w:rsidRPr="007F17F7">
        <w:t xml:space="preserve">, </w:t>
      </w:r>
      <w:proofErr w:type="spellStart"/>
      <w:r w:rsidRPr="007F17F7">
        <w:t>Fahimi</w:t>
      </w:r>
      <w:proofErr w:type="spellEnd"/>
      <w:r w:rsidRPr="007F17F7">
        <w:t xml:space="preserve">, </w:t>
      </w:r>
      <w:proofErr w:type="spellStart"/>
      <w:r w:rsidRPr="007F17F7">
        <w:t>Kulp</w:t>
      </w:r>
      <w:proofErr w:type="spellEnd"/>
      <w:r w:rsidRPr="007F17F7">
        <w:t>, and Brick (2009)</w:t>
      </w:r>
      <w:r w:rsidRPr="007F17F7">
        <w:rPr>
          <w:rStyle w:val="FootnoteReference"/>
        </w:rPr>
        <w:t xml:space="preserve"> </w:t>
      </w:r>
      <w:r w:rsidRPr="007F17F7">
        <w:rPr>
          <w:rStyle w:val="FootnoteReference"/>
        </w:rPr>
        <w:footnoteReference w:id="9"/>
      </w:r>
      <w:r w:rsidRPr="007F17F7">
        <w:t>, Barron and Zhao (2010)</w:t>
      </w:r>
      <w:r w:rsidRPr="007F17F7">
        <w:rPr>
          <w:rStyle w:val="FootnoteReference"/>
        </w:rPr>
        <w:t xml:space="preserve"> </w:t>
      </w:r>
      <w:r w:rsidRPr="007F17F7">
        <w:rPr>
          <w:rStyle w:val="FootnoteReference"/>
        </w:rPr>
        <w:footnoteReference w:id="10"/>
      </w:r>
      <w:r w:rsidRPr="007F17F7">
        <w:t>, and Barron et al. (2013)</w:t>
      </w:r>
      <w:r w:rsidRPr="007F17F7">
        <w:rPr>
          <w:rStyle w:val="FootnoteReference"/>
        </w:rPr>
        <w:t xml:space="preserve"> </w:t>
      </w:r>
      <w:r w:rsidRPr="007F17F7">
        <w:rPr>
          <w:rStyle w:val="FootnoteReference"/>
        </w:rPr>
        <w:footnoteReference w:id="11"/>
      </w:r>
      <w:r w:rsidRPr="007F17F7">
        <w:t xml:space="preserve"> for discussion of landline RDD frame coverage of landline households.)</w:t>
      </w:r>
    </w:p>
    <w:p w:rsidR="00716643" w:rsidRPr="007F17F7" w:rsidRDefault="00716643" w:rsidP="00716643">
      <w:pPr>
        <w:pStyle w:val="BodyText"/>
        <w:spacing w:line="276" w:lineRule="auto"/>
        <w:rPr>
          <w:sz w:val="22"/>
          <w:szCs w:val="22"/>
          <w:u w:val="single"/>
        </w:rPr>
      </w:pPr>
    </w:p>
    <w:p w:rsidR="00250AF0" w:rsidRDefault="00250AF0" w:rsidP="00716643">
      <w:pPr>
        <w:pStyle w:val="BodyText"/>
        <w:spacing w:line="276" w:lineRule="auto"/>
        <w:rPr>
          <w:sz w:val="22"/>
          <w:szCs w:val="22"/>
          <w:u w:val="single"/>
        </w:rPr>
      </w:pPr>
    </w:p>
    <w:p w:rsidR="00716643" w:rsidRPr="007F17F7" w:rsidRDefault="00716643" w:rsidP="00716643">
      <w:pPr>
        <w:pStyle w:val="BodyText"/>
        <w:spacing w:line="276" w:lineRule="auto"/>
        <w:rPr>
          <w:sz w:val="22"/>
          <w:szCs w:val="22"/>
          <w:u w:val="single"/>
        </w:rPr>
      </w:pPr>
      <w:r w:rsidRPr="007F17F7">
        <w:rPr>
          <w:sz w:val="22"/>
          <w:szCs w:val="22"/>
          <w:u w:val="single"/>
        </w:rPr>
        <w:t>Sample Selection</w:t>
      </w:r>
    </w:p>
    <w:p w:rsidR="00716643" w:rsidRPr="007F17F7" w:rsidRDefault="00EC4AB2" w:rsidP="00716643">
      <w:pPr>
        <w:pStyle w:val="P1-StandPara"/>
        <w:spacing w:line="276" w:lineRule="auto"/>
        <w:ind w:firstLine="0"/>
      </w:pPr>
      <w:r>
        <w:t xml:space="preserve">The 2015 NHTS will be conducted using an Address Based Sampling frame as discussed above. </w:t>
      </w:r>
      <w:r w:rsidR="00716643" w:rsidRPr="007F17F7">
        <w:t xml:space="preserve">There will be a </w:t>
      </w:r>
      <w:r w:rsidR="00143D2E">
        <w:t xml:space="preserve">nationwide </w:t>
      </w:r>
      <w:r w:rsidR="00716643" w:rsidRPr="007F17F7">
        <w:t xml:space="preserve">sample with a target of 26,000 responding households. Because of the need to produce </w:t>
      </w:r>
      <w:r w:rsidR="002167C6" w:rsidRPr="00FD79BE">
        <w:t xml:space="preserve">some </w:t>
      </w:r>
      <w:r w:rsidR="00716643" w:rsidRPr="000403FD">
        <w:t>state-level estimates with adequate precision</w:t>
      </w:r>
      <w:r w:rsidR="00716643" w:rsidRPr="00FD79BE">
        <w:t>, state will be used for stratification.  Additionally, the fol</w:t>
      </w:r>
      <w:r w:rsidR="00716643" w:rsidRPr="007F17F7">
        <w:t>lowing four groups will be used to sub-stratify within each primary stratum:</w:t>
      </w:r>
    </w:p>
    <w:p w:rsidR="00716643" w:rsidRPr="007F17F7" w:rsidRDefault="00716643" w:rsidP="00716643">
      <w:pPr>
        <w:pStyle w:val="P1-StandPara"/>
        <w:tabs>
          <w:tab w:val="left" w:pos="720"/>
        </w:tabs>
        <w:spacing w:line="276" w:lineRule="auto"/>
        <w:ind w:firstLine="0"/>
      </w:pPr>
    </w:p>
    <w:p w:rsidR="00716643" w:rsidRPr="007F17F7" w:rsidRDefault="00716643" w:rsidP="00716643">
      <w:pPr>
        <w:pStyle w:val="P1-StandPara"/>
        <w:numPr>
          <w:ilvl w:val="0"/>
          <w:numId w:val="23"/>
        </w:numPr>
        <w:tabs>
          <w:tab w:val="clear" w:pos="1152"/>
          <w:tab w:val="left" w:pos="720"/>
        </w:tabs>
        <w:spacing w:line="276" w:lineRule="auto"/>
        <w:ind w:left="648"/>
      </w:pPr>
      <w:r w:rsidRPr="007F17F7">
        <w:lastRenderedPageBreak/>
        <w:t>Counties in Metropolitan Statistical Areas (MSAs) of at least1 million people and containing heavy rail for transit use (14 such MSAs exist in the U.S.);</w:t>
      </w:r>
    </w:p>
    <w:p w:rsidR="00716643" w:rsidRPr="007F17F7" w:rsidRDefault="00716643" w:rsidP="00716643">
      <w:pPr>
        <w:pStyle w:val="P1-StandPara"/>
        <w:numPr>
          <w:ilvl w:val="0"/>
          <w:numId w:val="23"/>
        </w:numPr>
        <w:tabs>
          <w:tab w:val="clear" w:pos="1152"/>
          <w:tab w:val="left" w:pos="720"/>
        </w:tabs>
        <w:spacing w:line="276" w:lineRule="auto"/>
        <w:ind w:left="648"/>
      </w:pPr>
      <w:r w:rsidRPr="007F17F7">
        <w:t>Counties in MSAs of at least1 million people and not containing heavy rail for transit use;</w:t>
      </w:r>
    </w:p>
    <w:p w:rsidR="00716643" w:rsidRPr="007F17F7" w:rsidRDefault="00716643" w:rsidP="00716643">
      <w:pPr>
        <w:pStyle w:val="P1-StandPara"/>
        <w:numPr>
          <w:ilvl w:val="0"/>
          <w:numId w:val="23"/>
        </w:numPr>
        <w:tabs>
          <w:tab w:val="clear" w:pos="1152"/>
          <w:tab w:val="left" w:pos="720"/>
        </w:tabs>
        <w:spacing w:line="276" w:lineRule="auto"/>
        <w:ind w:left="648"/>
      </w:pPr>
      <w:r w:rsidRPr="007F17F7">
        <w:t>Counties in MSAs of less than 1 million people; and</w:t>
      </w:r>
    </w:p>
    <w:p w:rsidR="00716643" w:rsidRPr="007F17F7" w:rsidRDefault="00716643" w:rsidP="00716643">
      <w:pPr>
        <w:pStyle w:val="P1-StandPara"/>
        <w:numPr>
          <w:ilvl w:val="0"/>
          <w:numId w:val="23"/>
        </w:numPr>
        <w:tabs>
          <w:tab w:val="clear" w:pos="1152"/>
          <w:tab w:val="left" w:pos="720"/>
        </w:tabs>
        <w:spacing w:line="276" w:lineRule="auto"/>
        <w:ind w:left="648"/>
      </w:pPr>
      <w:r w:rsidRPr="007F17F7">
        <w:t>Counties not in MSAs.</w:t>
      </w:r>
    </w:p>
    <w:p w:rsidR="00716643" w:rsidRPr="007F17F7" w:rsidRDefault="00716643" w:rsidP="00716643">
      <w:pPr>
        <w:pStyle w:val="P1-StandPara"/>
        <w:tabs>
          <w:tab w:val="left" w:pos="720"/>
        </w:tabs>
        <w:spacing w:line="276" w:lineRule="auto"/>
        <w:ind w:firstLine="0"/>
      </w:pPr>
    </w:p>
    <w:p w:rsidR="00716643" w:rsidRPr="007F17F7" w:rsidRDefault="00716643" w:rsidP="00716643">
      <w:pPr>
        <w:pStyle w:val="P1-StandPara"/>
        <w:tabs>
          <w:tab w:val="left" w:pos="-2610"/>
        </w:tabs>
        <w:spacing w:line="276" w:lineRule="auto"/>
        <w:ind w:firstLine="0"/>
      </w:pPr>
      <w:r w:rsidRPr="007F17F7">
        <w:t>The sample size (specified in terms of responding households) will then be initially allocated among the strata according to the proportion of addresses falling in the stratum (</w:t>
      </w:r>
      <w:r w:rsidR="007F432D">
        <w:t xml:space="preserve">i.e., proportional to stratum size, as </w:t>
      </w:r>
      <w:r w:rsidRPr="007F17F7">
        <w:t xml:space="preserve">determined by the counts of addresses from the ABS frame).  A minimum allocation of 250 responding households per state will be used; states with initial allocations of fewer than 250 households will be increased to 250, and the remainder of the National sample will be re-allocated proportionally to the strata associated with the remaining states.  </w:t>
      </w:r>
    </w:p>
    <w:p w:rsidR="00716643" w:rsidRPr="007F17F7" w:rsidRDefault="00716643" w:rsidP="00716643">
      <w:pPr>
        <w:pStyle w:val="P1-StandPara"/>
        <w:tabs>
          <w:tab w:val="left" w:pos="720"/>
        </w:tabs>
        <w:spacing w:line="276" w:lineRule="auto"/>
        <w:ind w:firstLine="0"/>
      </w:pPr>
    </w:p>
    <w:p w:rsidR="00716643" w:rsidRPr="007F17F7" w:rsidRDefault="00716643" w:rsidP="00716643">
      <w:pPr>
        <w:pStyle w:val="P1-StandPara"/>
        <w:tabs>
          <w:tab w:val="left" w:pos="-180"/>
        </w:tabs>
        <w:spacing w:line="276" w:lineRule="auto"/>
        <w:ind w:firstLine="0"/>
      </w:pPr>
      <w:r w:rsidRPr="007F17F7">
        <w:t>Once the sample of responding households has been allocated in the manner described above, these sample sizes will be inflated to account for expected losses due to ineligible addresses</w:t>
      </w:r>
      <w:r w:rsidR="00EC4AB2">
        <w:t>, i.e., Postmaster non-deliverable mail</w:t>
      </w:r>
      <w:r w:rsidRPr="007F17F7">
        <w:t xml:space="preserve"> (an assumed rate of 11 percent of addresses, based on other National ABS mail studies conducted by </w:t>
      </w:r>
      <w:proofErr w:type="spellStart"/>
      <w:r w:rsidRPr="007F17F7">
        <w:t>Westat</w:t>
      </w:r>
      <w:proofErr w:type="spellEnd"/>
      <w:r w:rsidRPr="007F17F7">
        <w:t>), non-response to the recruitment effort (an assumed non-response rate of 70 percent of eligible addresses), and non-response to the retrieval effort (an assumed non-response rate of 35 percent of recruited households).  The departures from proportional allocation of responding households in the National sample will result in a sample of addresses selected with variable sampling rates. These variations in sampling rates will be properly accounted for in the computation of the survey weights.</w:t>
      </w:r>
    </w:p>
    <w:p w:rsidR="00716643" w:rsidRPr="007F17F7" w:rsidRDefault="00716643" w:rsidP="00716643">
      <w:pPr>
        <w:pStyle w:val="P1-StandPara"/>
        <w:tabs>
          <w:tab w:val="left" w:pos="-180"/>
        </w:tabs>
        <w:spacing w:line="276" w:lineRule="auto"/>
        <w:ind w:firstLine="720"/>
      </w:pPr>
    </w:p>
    <w:p w:rsidR="00716643" w:rsidRPr="007F17F7" w:rsidRDefault="00716643" w:rsidP="00716643">
      <w:pPr>
        <w:pStyle w:val="P1-StandPara"/>
        <w:tabs>
          <w:tab w:val="left" w:pos="720"/>
        </w:tabs>
        <w:spacing w:line="276" w:lineRule="auto"/>
        <w:ind w:firstLine="0"/>
      </w:pPr>
      <w:r w:rsidRPr="007F17F7">
        <w:t>Within each substratum, the ABS frame will be sorted in a prescribed manner prior to sample selection.  The sort used by MSG is geographic in nature</w:t>
      </w:r>
      <w:r w:rsidR="00A0337E">
        <w:t xml:space="preserve"> (within each state, the file is sorted by ZIP+4)</w:t>
      </w:r>
      <w:r w:rsidRPr="007F17F7">
        <w:t xml:space="preserve">, and addresses are sampled systematically using the geographic sort.  </w:t>
      </w:r>
      <w:r w:rsidR="00EC4AB2">
        <w:t>Thus, no important issues arise in the definition of areas with an ABS sample design that relies on mail for data collection.</w:t>
      </w:r>
    </w:p>
    <w:p w:rsidR="00716643" w:rsidRPr="007F17F7" w:rsidRDefault="00716643" w:rsidP="00716643">
      <w:pPr>
        <w:pStyle w:val="P1-StandPara"/>
        <w:tabs>
          <w:tab w:val="left" w:pos="720"/>
        </w:tabs>
        <w:spacing w:line="276" w:lineRule="auto"/>
        <w:ind w:firstLine="0"/>
      </w:pPr>
    </w:p>
    <w:p w:rsidR="00716643" w:rsidRPr="007F17F7" w:rsidRDefault="00716643" w:rsidP="00716643">
      <w:pPr>
        <w:pStyle w:val="P1-StandPara"/>
        <w:spacing w:line="276" w:lineRule="auto"/>
        <w:ind w:firstLine="0"/>
      </w:pPr>
      <w:r w:rsidRPr="007F17F7">
        <w:t xml:space="preserve">Table B-1 below presents the estimated sample sizes needed by stratum for the </w:t>
      </w:r>
      <w:r w:rsidR="003C0C0A">
        <w:t>n</w:t>
      </w:r>
      <w:r w:rsidRPr="007F17F7">
        <w:t xml:space="preserve">ational sample to yield 26,000 completed household interviews using the allocation described above. </w:t>
      </w:r>
    </w:p>
    <w:p w:rsidR="00716643" w:rsidRPr="007F17F7" w:rsidRDefault="00716643" w:rsidP="00716643">
      <w:pPr>
        <w:pStyle w:val="P1-StandPara"/>
        <w:spacing w:line="276" w:lineRule="auto"/>
        <w:ind w:firstLine="0"/>
      </w:pPr>
    </w:p>
    <w:p w:rsidR="00716643" w:rsidRPr="007F17F7" w:rsidRDefault="00716643" w:rsidP="00716643">
      <w:pPr>
        <w:pStyle w:val="P1-StandPara"/>
        <w:spacing w:line="276" w:lineRule="auto"/>
        <w:ind w:firstLine="0"/>
      </w:pPr>
      <w:r w:rsidRPr="007F17F7">
        <w:t>Table B-2 presents the estimated sample sizes aggregated over the sub-strata described above.</w:t>
      </w:r>
    </w:p>
    <w:p w:rsidR="00716643" w:rsidRPr="007F17F7" w:rsidRDefault="00716643" w:rsidP="00716643">
      <w:pPr>
        <w:pStyle w:val="BodyText"/>
        <w:spacing w:line="276" w:lineRule="auto"/>
        <w:rPr>
          <w:sz w:val="22"/>
          <w:szCs w:val="22"/>
          <w:u w:val="single"/>
        </w:rPr>
      </w:pPr>
    </w:p>
    <w:p w:rsidR="00716643" w:rsidRPr="007F17F7" w:rsidRDefault="00716643" w:rsidP="00716643">
      <w:pPr>
        <w:keepNext/>
        <w:spacing w:line="276" w:lineRule="auto"/>
      </w:pPr>
      <w:proofErr w:type="gramStart"/>
      <w:r w:rsidRPr="007F17F7">
        <w:t>Table B-1.</w:t>
      </w:r>
      <w:proofErr w:type="gramEnd"/>
      <w:r w:rsidRPr="007F17F7">
        <w:t xml:space="preserve"> Expected Sample Sizes for the National Sample by State</w:t>
      </w:r>
    </w:p>
    <w:tbl>
      <w:tblPr>
        <w:tblW w:w="8800" w:type="dxa"/>
        <w:tblInd w:w="93" w:type="dxa"/>
        <w:tblLook w:val="04A0" w:firstRow="1" w:lastRow="0" w:firstColumn="1" w:lastColumn="0" w:noHBand="0" w:noVBand="1"/>
      </w:tblPr>
      <w:tblGrid>
        <w:gridCol w:w="2160"/>
        <w:gridCol w:w="1360"/>
        <w:gridCol w:w="1760"/>
        <w:gridCol w:w="1760"/>
        <w:gridCol w:w="1760"/>
      </w:tblGrid>
      <w:tr w:rsidR="003C0C0A" w:rsidRPr="007F17F7" w:rsidTr="003C0C0A">
        <w:trPr>
          <w:trHeight w:val="1155"/>
          <w:tblHeader/>
        </w:trPr>
        <w:tc>
          <w:tcPr>
            <w:tcW w:w="2160" w:type="dxa"/>
            <w:tcBorders>
              <w:top w:val="single" w:sz="4" w:space="0" w:color="auto"/>
              <w:left w:val="nil"/>
              <w:bottom w:val="nil"/>
              <w:right w:val="single" w:sz="4" w:space="0" w:color="auto"/>
            </w:tcBorders>
            <w:shd w:val="clear" w:color="auto" w:fill="auto"/>
            <w:noWrap/>
            <w:vAlign w:val="bottom"/>
            <w:hideMark/>
          </w:tcPr>
          <w:p w:rsidR="003C0C0A" w:rsidRPr="007F17F7" w:rsidRDefault="003C0C0A" w:rsidP="002D17D2">
            <w:pPr>
              <w:spacing w:line="276" w:lineRule="auto"/>
              <w:rPr>
                <w:bCs/>
                <w:color w:val="000000"/>
              </w:rPr>
            </w:pPr>
            <w:r w:rsidRPr="007F17F7">
              <w:rPr>
                <w:bCs/>
                <w:color w:val="000000"/>
              </w:rPr>
              <w:t>STATE</w:t>
            </w:r>
          </w:p>
        </w:tc>
        <w:tc>
          <w:tcPr>
            <w:tcW w:w="1360" w:type="dxa"/>
            <w:tcBorders>
              <w:top w:val="single" w:sz="4" w:space="0" w:color="auto"/>
              <w:left w:val="nil"/>
              <w:bottom w:val="nil"/>
              <w:right w:val="single" w:sz="4" w:space="0" w:color="auto"/>
            </w:tcBorders>
            <w:shd w:val="clear" w:color="auto" w:fill="auto"/>
            <w:vAlign w:val="bottom"/>
            <w:hideMark/>
          </w:tcPr>
          <w:p w:rsidR="003C0C0A" w:rsidRPr="007F17F7" w:rsidRDefault="003C0C0A" w:rsidP="002D17D2">
            <w:pPr>
              <w:spacing w:line="276" w:lineRule="auto"/>
              <w:jc w:val="right"/>
              <w:rPr>
                <w:bCs/>
                <w:color w:val="000000"/>
              </w:rPr>
            </w:pPr>
            <w:r w:rsidRPr="007F17F7">
              <w:rPr>
                <w:bCs/>
                <w:color w:val="000000"/>
              </w:rPr>
              <w:t>ABS 12/14 occupied housing units*</w:t>
            </w:r>
          </w:p>
        </w:tc>
        <w:tc>
          <w:tcPr>
            <w:tcW w:w="1760" w:type="dxa"/>
            <w:tcBorders>
              <w:top w:val="single" w:sz="4" w:space="0" w:color="auto"/>
              <w:left w:val="single" w:sz="12" w:space="0" w:color="auto"/>
              <w:bottom w:val="nil"/>
              <w:right w:val="single" w:sz="12" w:space="0" w:color="auto"/>
            </w:tcBorders>
            <w:vAlign w:val="bottom"/>
          </w:tcPr>
          <w:p w:rsidR="003C0C0A" w:rsidRPr="007F17F7" w:rsidRDefault="003C0C0A" w:rsidP="002D17D2">
            <w:pPr>
              <w:spacing w:line="276" w:lineRule="auto"/>
              <w:jc w:val="right"/>
              <w:rPr>
                <w:bCs/>
                <w:color w:val="000000"/>
              </w:rPr>
            </w:pPr>
            <w:r w:rsidRPr="007F17F7">
              <w:rPr>
                <w:bCs/>
                <w:color w:val="000000"/>
              </w:rPr>
              <w:t>ABS address sample needed assuming 89% residency rate</w:t>
            </w:r>
          </w:p>
        </w:tc>
        <w:tc>
          <w:tcPr>
            <w:tcW w:w="1760" w:type="dxa"/>
            <w:tcBorders>
              <w:top w:val="single" w:sz="4" w:space="0" w:color="auto"/>
              <w:left w:val="single" w:sz="12" w:space="0" w:color="auto"/>
              <w:bottom w:val="nil"/>
              <w:right w:val="single" w:sz="12" w:space="0" w:color="auto"/>
            </w:tcBorders>
            <w:vAlign w:val="bottom"/>
          </w:tcPr>
          <w:p w:rsidR="003C0C0A" w:rsidRPr="007F17F7" w:rsidRDefault="003C0C0A" w:rsidP="002D17D2">
            <w:pPr>
              <w:spacing w:line="276" w:lineRule="auto"/>
              <w:jc w:val="right"/>
              <w:rPr>
                <w:bCs/>
                <w:color w:val="000000"/>
              </w:rPr>
            </w:pPr>
            <w:r w:rsidRPr="007F17F7">
              <w:rPr>
                <w:bCs/>
                <w:color w:val="000000"/>
              </w:rPr>
              <w:t>Recruitment completes assuming 30% response</w:t>
            </w:r>
          </w:p>
        </w:tc>
        <w:tc>
          <w:tcPr>
            <w:tcW w:w="1760" w:type="dxa"/>
            <w:tcBorders>
              <w:top w:val="single" w:sz="4" w:space="0" w:color="auto"/>
              <w:left w:val="single" w:sz="12" w:space="0" w:color="auto"/>
              <w:bottom w:val="nil"/>
              <w:right w:val="nil"/>
            </w:tcBorders>
            <w:shd w:val="clear" w:color="auto" w:fill="auto"/>
            <w:vAlign w:val="bottom"/>
            <w:hideMark/>
          </w:tcPr>
          <w:p w:rsidR="003C0C0A" w:rsidRPr="007F17F7" w:rsidRDefault="003C0C0A" w:rsidP="002D17D2">
            <w:pPr>
              <w:spacing w:line="276" w:lineRule="auto"/>
              <w:jc w:val="right"/>
              <w:rPr>
                <w:bCs/>
                <w:color w:val="000000"/>
              </w:rPr>
            </w:pPr>
            <w:r w:rsidRPr="007F17F7">
              <w:rPr>
                <w:bCs/>
                <w:color w:val="000000"/>
              </w:rPr>
              <w:t>Retrieval completes assuming 65% response</w:t>
            </w:r>
          </w:p>
        </w:tc>
      </w:tr>
      <w:tr w:rsidR="003C0C0A" w:rsidRPr="007F17F7" w:rsidTr="003C0C0A">
        <w:trPr>
          <w:trHeight w:val="300"/>
        </w:trPr>
        <w:tc>
          <w:tcPr>
            <w:tcW w:w="2160" w:type="dxa"/>
            <w:tcBorders>
              <w:top w:val="single" w:sz="4" w:space="0" w:color="auto"/>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Alabama</w:t>
            </w:r>
          </w:p>
        </w:tc>
        <w:tc>
          <w:tcPr>
            <w:tcW w:w="1360" w:type="dxa"/>
            <w:tcBorders>
              <w:top w:val="single" w:sz="4" w:space="0" w:color="auto"/>
              <w:left w:val="nil"/>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2,099,930</w:t>
            </w:r>
          </w:p>
        </w:tc>
        <w:tc>
          <w:tcPr>
            <w:tcW w:w="1760" w:type="dxa"/>
            <w:tcBorders>
              <w:top w:val="single" w:sz="4" w:space="0" w:color="auto"/>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2,198</w:t>
            </w:r>
          </w:p>
        </w:tc>
        <w:tc>
          <w:tcPr>
            <w:tcW w:w="1760" w:type="dxa"/>
            <w:tcBorders>
              <w:top w:val="single" w:sz="4" w:space="0" w:color="auto"/>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587</w:t>
            </w:r>
          </w:p>
        </w:tc>
        <w:tc>
          <w:tcPr>
            <w:tcW w:w="1760" w:type="dxa"/>
            <w:tcBorders>
              <w:top w:val="single" w:sz="4" w:space="0" w:color="auto"/>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382</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Alaska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245,754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Arizona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2,704,563</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2,831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756</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491</w:t>
            </w:r>
          </w:p>
        </w:tc>
      </w:tr>
      <w:tr w:rsidR="003C0C0A" w:rsidRPr="007F17F7" w:rsidTr="003C0C0A">
        <w:trPr>
          <w:trHeight w:val="387"/>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Arkansas</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1,235,085</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California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13,315,204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13,939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3,722</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2,419</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lastRenderedPageBreak/>
              <w:t>Colorado</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2,104,380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2,203</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588</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382</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Connecticut</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1,459,660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1,528</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408</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265</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Delaware</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387,757</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District of Columbia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301,320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Florida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8,797,039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9,209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2,459</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1,598</w:t>
            </w:r>
          </w:p>
        </w:tc>
      </w:tr>
      <w:tr w:rsidR="003C0C0A" w:rsidRPr="007F17F7" w:rsidTr="003C0C0A">
        <w:trPr>
          <w:trHeight w:val="300"/>
        </w:trPr>
        <w:tc>
          <w:tcPr>
            <w:tcW w:w="2160" w:type="dxa"/>
            <w:tcBorders>
              <w:top w:val="nil"/>
              <w:left w:val="nil"/>
              <w:bottom w:val="single" w:sz="12" w:space="0" w:color="auto"/>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Georgia</w:t>
            </w:r>
          </w:p>
        </w:tc>
        <w:tc>
          <w:tcPr>
            <w:tcW w:w="1360" w:type="dxa"/>
            <w:tcBorders>
              <w:top w:val="nil"/>
              <w:left w:val="single" w:sz="4" w:space="0" w:color="auto"/>
              <w:bottom w:val="single" w:sz="12" w:space="0" w:color="auto"/>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3,959,849</w:t>
            </w:r>
          </w:p>
        </w:tc>
        <w:tc>
          <w:tcPr>
            <w:tcW w:w="1760" w:type="dxa"/>
            <w:tcBorders>
              <w:top w:val="nil"/>
              <w:left w:val="single" w:sz="12" w:space="0" w:color="auto"/>
              <w:bottom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4,145</w:t>
            </w:r>
          </w:p>
        </w:tc>
        <w:tc>
          <w:tcPr>
            <w:tcW w:w="1760" w:type="dxa"/>
            <w:tcBorders>
              <w:top w:val="nil"/>
              <w:left w:val="single" w:sz="12" w:space="0" w:color="auto"/>
              <w:bottom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1,107</w:t>
            </w:r>
          </w:p>
        </w:tc>
        <w:tc>
          <w:tcPr>
            <w:tcW w:w="1760" w:type="dxa"/>
            <w:tcBorders>
              <w:top w:val="nil"/>
              <w:left w:val="single" w:sz="12" w:space="0" w:color="auto"/>
              <w:bottom w:val="single" w:sz="12" w:space="0" w:color="auto"/>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719</w:t>
            </w:r>
          </w:p>
        </w:tc>
      </w:tr>
      <w:tr w:rsidR="003C0C0A" w:rsidRPr="007F17F7" w:rsidTr="003C0C0A">
        <w:trPr>
          <w:trHeight w:val="300"/>
        </w:trPr>
        <w:tc>
          <w:tcPr>
            <w:tcW w:w="2160" w:type="dxa"/>
            <w:tcBorders>
              <w:top w:val="single" w:sz="12" w:space="0" w:color="auto"/>
              <w:left w:val="nil"/>
              <w:bottom w:val="nil"/>
              <w:right w:val="single" w:sz="12"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Hawaii</w:t>
            </w:r>
          </w:p>
        </w:tc>
        <w:tc>
          <w:tcPr>
            <w:tcW w:w="1360" w:type="dxa"/>
            <w:tcBorders>
              <w:top w:val="single" w:sz="12" w:space="0" w:color="auto"/>
              <w:left w:val="single" w:sz="12" w:space="0" w:color="auto"/>
              <w:bottom w:val="nil"/>
              <w:right w:val="single" w:sz="12"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466,121</w:t>
            </w:r>
          </w:p>
        </w:tc>
        <w:tc>
          <w:tcPr>
            <w:tcW w:w="1760" w:type="dxa"/>
            <w:tcBorders>
              <w:top w:val="single" w:sz="12" w:space="0" w:color="auto"/>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single" w:sz="12" w:space="0" w:color="auto"/>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single" w:sz="12" w:space="0" w:color="auto"/>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Idaho</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598,298</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Illinois</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5,176,017</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5,419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1,447</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940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Indiana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2,761,832</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2,891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772</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502</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Iowa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1,252,609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Kansas</w:t>
            </w:r>
          </w:p>
        </w:tc>
        <w:tc>
          <w:tcPr>
            <w:tcW w:w="1360" w:type="dxa"/>
            <w:tcBorders>
              <w:top w:val="nil"/>
              <w:left w:val="single" w:sz="4" w:space="0" w:color="auto"/>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1,175,772</w:t>
            </w:r>
          </w:p>
        </w:tc>
        <w:tc>
          <w:tcPr>
            <w:tcW w:w="1760" w:type="dxa"/>
            <w:tcBorders>
              <w:top w:val="nil"/>
              <w:left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Kentucky</w:t>
            </w:r>
          </w:p>
        </w:tc>
        <w:tc>
          <w:tcPr>
            <w:tcW w:w="1360" w:type="dxa"/>
            <w:tcBorders>
              <w:top w:val="nil"/>
              <w:left w:val="single" w:sz="4" w:space="0" w:color="auto"/>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1,843,639</w:t>
            </w:r>
          </w:p>
        </w:tc>
        <w:tc>
          <w:tcPr>
            <w:tcW w:w="1760" w:type="dxa"/>
            <w:tcBorders>
              <w:top w:val="nil"/>
              <w:left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1,930</w:t>
            </w:r>
          </w:p>
        </w:tc>
        <w:tc>
          <w:tcPr>
            <w:tcW w:w="1760" w:type="dxa"/>
            <w:tcBorders>
              <w:top w:val="nil"/>
              <w:left w:val="single" w:sz="12"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515</w:t>
            </w:r>
          </w:p>
        </w:tc>
        <w:tc>
          <w:tcPr>
            <w:tcW w:w="1760" w:type="dxa"/>
            <w:tcBorders>
              <w:top w:val="nil"/>
              <w:left w:val="single" w:sz="12" w:space="0" w:color="auto"/>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335</w:t>
            </w:r>
          </w:p>
        </w:tc>
      </w:tr>
      <w:tr w:rsidR="003C0C0A" w:rsidRPr="007F17F7" w:rsidTr="003C0C0A">
        <w:trPr>
          <w:trHeight w:val="300"/>
        </w:trPr>
        <w:tc>
          <w:tcPr>
            <w:tcW w:w="2160" w:type="dxa"/>
            <w:tcBorders>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Louisiana</w:t>
            </w:r>
          </w:p>
        </w:tc>
        <w:tc>
          <w:tcPr>
            <w:tcW w:w="1360" w:type="dxa"/>
            <w:tcBorders>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1,931,525</w:t>
            </w:r>
          </w:p>
        </w:tc>
        <w:tc>
          <w:tcPr>
            <w:tcW w:w="1760" w:type="dxa"/>
            <w:tcBorders>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2,022</w:t>
            </w:r>
          </w:p>
        </w:tc>
        <w:tc>
          <w:tcPr>
            <w:tcW w:w="1760" w:type="dxa"/>
            <w:tcBorders>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540</w:t>
            </w:r>
          </w:p>
        </w:tc>
        <w:tc>
          <w:tcPr>
            <w:tcW w:w="1760" w:type="dxa"/>
            <w:tcBorders>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351</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Maine</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575,676</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Maryland</w:t>
            </w:r>
          </w:p>
        </w:tc>
        <w:tc>
          <w:tcPr>
            <w:tcW w:w="1360" w:type="dxa"/>
            <w:tcBorders>
              <w:top w:val="nil"/>
              <w:left w:val="nil"/>
              <w:bottom w:val="nil"/>
              <w:right w:val="single" w:sz="12"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2,349,233</w:t>
            </w:r>
          </w:p>
        </w:tc>
        <w:tc>
          <w:tcPr>
            <w:tcW w:w="1760" w:type="dxa"/>
            <w:tcBorders>
              <w:top w:val="nil"/>
              <w:left w:val="nil"/>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2,459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657</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427</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Massachusetts</w:t>
            </w:r>
          </w:p>
        </w:tc>
        <w:tc>
          <w:tcPr>
            <w:tcW w:w="1360" w:type="dxa"/>
            <w:tcBorders>
              <w:top w:val="nil"/>
              <w:left w:val="nil"/>
              <w:bottom w:val="nil"/>
              <w:right w:val="single" w:sz="12"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2,774,255</w:t>
            </w:r>
          </w:p>
        </w:tc>
        <w:tc>
          <w:tcPr>
            <w:tcW w:w="1760" w:type="dxa"/>
            <w:tcBorders>
              <w:top w:val="nil"/>
              <w:left w:val="nil"/>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2,904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775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504</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Michigan</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4,263,440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4,463</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1,192</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775</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Minnesota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2,210,703</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2,314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618</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402</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Mississippi</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1,236,148</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Missouri</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2,575,052</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2,696</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720</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468</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Montana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389,691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Nebraska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743,212</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Nevada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1,115,129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New Hampshire</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530,210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New Jersey</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3,514,537</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3,679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982</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639</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New Mexico</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775,084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New York</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7,798,454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8,164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2,180</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1,417</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North Carolina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4,130,585</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4,324</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1,155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North Dakota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286,886</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Ohio</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5,082,240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5,320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1,421</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923</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Oklahoma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1,579,355</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1,653</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441</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287</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Oregon</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1,576,258</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1,650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441</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286</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Pennsylvania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5,425,758</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5,680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1,517</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986</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Rhode Island</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458,760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South Carolina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2,044,349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2,140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571</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371</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South Dakota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316,742</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Tennessee</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2,769,775</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2,900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774</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503</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Texas</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10,058,020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10,529</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2,811</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1,827</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lastRenderedPageBreak/>
              <w:t>Utah</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945,196</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Vermont</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250,552</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Virginia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3,286,115</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3,440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919</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597</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Washington</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2,785,131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2,916</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778</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506</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West Virginia</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780,380</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nil"/>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Wisconsin</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2,457,776</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2,573</w:t>
            </w:r>
          </w:p>
        </w:tc>
        <w:tc>
          <w:tcPr>
            <w:tcW w:w="1760" w:type="dxa"/>
            <w:tcBorders>
              <w:top w:val="nil"/>
              <w:left w:val="single" w:sz="12" w:space="0" w:color="auto"/>
              <w:bottom w:val="nil"/>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687</w:t>
            </w:r>
          </w:p>
        </w:tc>
        <w:tc>
          <w:tcPr>
            <w:tcW w:w="1760" w:type="dxa"/>
            <w:tcBorders>
              <w:top w:val="nil"/>
              <w:left w:val="single" w:sz="12" w:space="0" w:color="auto"/>
              <w:bottom w:val="nil"/>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447</w:t>
            </w:r>
          </w:p>
        </w:tc>
      </w:tr>
      <w:tr w:rsidR="003C0C0A" w:rsidRPr="007F17F7" w:rsidTr="003C0C0A">
        <w:trPr>
          <w:trHeight w:val="300"/>
        </w:trPr>
        <w:tc>
          <w:tcPr>
            <w:tcW w:w="2160" w:type="dxa"/>
            <w:tcBorders>
              <w:top w:val="nil"/>
              <w:left w:val="nil"/>
              <w:bottom w:val="single" w:sz="4" w:space="0" w:color="auto"/>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Wyoming</w:t>
            </w:r>
          </w:p>
        </w:tc>
        <w:tc>
          <w:tcPr>
            <w:tcW w:w="1360" w:type="dxa"/>
            <w:tcBorders>
              <w:top w:val="nil"/>
              <w:left w:val="single" w:sz="4" w:space="0" w:color="auto"/>
              <w:bottom w:val="nil"/>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214,990</w:t>
            </w:r>
          </w:p>
        </w:tc>
        <w:tc>
          <w:tcPr>
            <w:tcW w:w="1760" w:type="dxa"/>
            <w:tcBorders>
              <w:top w:val="nil"/>
              <w:left w:val="single" w:sz="12" w:space="0" w:color="auto"/>
              <w:bottom w:val="single" w:sz="4"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1,441</w:t>
            </w:r>
          </w:p>
        </w:tc>
        <w:tc>
          <w:tcPr>
            <w:tcW w:w="1760" w:type="dxa"/>
            <w:tcBorders>
              <w:top w:val="nil"/>
              <w:left w:val="single" w:sz="12" w:space="0" w:color="auto"/>
              <w:bottom w:val="single" w:sz="4"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385</w:t>
            </w:r>
          </w:p>
        </w:tc>
        <w:tc>
          <w:tcPr>
            <w:tcW w:w="1760" w:type="dxa"/>
            <w:tcBorders>
              <w:top w:val="nil"/>
              <w:left w:val="single" w:sz="12" w:space="0" w:color="auto"/>
              <w:bottom w:val="single" w:sz="4" w:space="0" w:color="auto"/>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250</w:t>
            </w:r>
          </w:p>
        </w:tc>
      </w:tr>
      <w:tr w:rsidR="003C0C0A" w:rsidRPr="007F17F7" w:rsidTr="003C0C0A">
        <w:trPr>
          <w:trHeight w:val="300"/>
        </w:trPr>
        <w:tc>
          <w:tcPr>
            <w:tcW w:w="2160" w:type="dxa"/>
            <w:tcBorders>
              <w:top w:val="nil"/>
              <w:left w:val="nil"/>
              <w:bottom w:val="single" w:sz="4" w:space="0" w:color="auto"/>
              <w:right w:val="single" w:sz="4" w:space="0" w:color="auto"/>
            </w:tcBorders>
            <w:shd w:val="clear" w:color="auto" w:fill="auto"/>
            <w:noWrap/>
            <w:vAlign w:val="bottom"/>
            <w:hideMark/>
          </w:tcPr>
          <w:p w:rsidR="003C0C0A" w:rsidRPr="007F17F7" w:rsidRDefault="003C0C0A" w:rsidP="002D17D2">
            <w:pPr>
              <w:spacing w:line="276" w:lineRule="auto"/>
              <w:rPr>
                <w:color w:val="000000"/>
              </w:rPr>
            </w:pPr>
            <w:r w:rsidRPr="007F17F7">
              <w:rPr>
                <w:color w:val="000000"/>
              </w:rPr>
              <w:t>TOTAL</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127,116,046</w:t>
            </w:r>
          </w:p>
        </w:tc>
        <w:tc>
          <w:tcPr>
            <w:tcW w:w="1760" w:type="dxa"/>
            <w:tcBorders>
              <w:top w:val="nil"/>
              <w:left w:val="single" w:sz="12" w:space="0" w:color="auto"/>
              <w:bottom w:val="single" w:sz="4"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149,821</w:t>
            </w:r>
          </w:p>
        </w:tc>
        <w:tc>
          <w:tcPr>
            <w:tcW w:w="1760" w:type="dxa"/>
            <w:tcBorders>
              <w:top w:val="nil"/>
              <w:left w:val="single" w:sz="12" w:space="0" w:color="auto"/>
              <w:bottom w:val="single" w:sz="4" w:space="0" w:color="auto"/>
              <w:right w:val="single" w:sz="12" w:space="0" w:color="auto"/>
            </w:tcBorders>
            <w:vAlign w:val="bottom"/>
          </w:tcPr>
          <w:p w:rsidR="003C0C0A" w:rsidRPr="007F17F7" w:rsidRDefault="003C0C0A" w:rsidP="002D17D2">
            <w:pPr>
              <w:spacing w:line="276" w:lineRule="auto"/>
              <w:jc w:val="right"/>
              <w:rPr>
                <w:color w:val="000000"/>
              </w:rPr>
            </w:pPr>
            <w:r w:rsidRPr="007F17F7">
              <w:rPr>
                <w:color w:val="000000"/>
              </w:rPr>
              <w:t>40,000</w:t>
            </w:r>
          </w:p>
        </w:tc>
        <w:tc>
          <w:tcPr>
            <w:tcW w:w="1760" w:type="dxa"/>
            <w:tcBorders>
              <w:top w:val="nil"/>
              <w:left w:val="single" w:sz="12" w:space="0" w:color="auto"/>
              <w:bottom w:val="single" w:sz="4" w:space="0" w:color="auto"/>
              <w:right w:val="nil"/>
            </w:tcBorders>
            <w:shd w:val="clear" w:color="auto" w:fill="auto"/>
            <w:noWrap/>
            <w:vAlign w:val="bottom"/>
            <w:hideMark/>
          </w:tcPr>
          <w:p w:rsidR="003C0C0A" w:rsidRPr="007F17F7" w:rsidRDefault="003C0C0A" w:rsidP="002D17D2">
            <w:pPr>
              <w:spacing w:line="276" w:lineRule="auto"/>
              <w:jc w:val="right"/>
              <w:rPr>
                <w:color w:val="000000"/>
              </w:rPr>
            </w:pPr>
            <w:r w:rsidRPr="007F17F7">
              <w:rPr>
                <w:color w:val="000000"/>
              </w:rPr>
              <w:t>26,000</w:t>
            </w:r>
          </w:p>
        </w:tc>
      </w:tr>
    </w:tbl>
    <w:p w:rsidR="00737E12" w:rsidRDefault="00737E12" w:rsidP="00737E12"/>
    <w:p w:rsidR="00716643" w:rsidRPr="007F17F7" w:rsidRDefault="00716643" w:rsidP="00716643">
      <w:pPr>
        <w:keepNext/>
        <w:spacing w:line="276" w:lineRule="auto"/>
      </w:pPr>
      <w:proofErr w:type="gramStart"/>
      <w:r w:rsidRPr="007F17F7">
        <w:t>Table B-2.</w:t>
      </w:r>
      <w:proofErr w:type="gramEnd"/>
      <w:r w:rsidRPr="007F17F7">
        <w:t xml:space="preserve"> Expected Sample Sizes for the National Sample by Primary Stratum</w:t>
      </w:r>
    </w:p>
    <w:tbl>
      <w:tblPr>
        <w:tblW w:w="9020" w:type="dxa"/>
        <w:tblInd w:w="93" w:type="dxa"/>
        <w:tblLayout w:type="fixed"/>
        <w:tblLook w:val="04A0" w:firstRow="1" w:lastRow="0" w:firstColumn="1" w:lastColumn="0" w:noHBand="0" w:noVBand="1"/>
      </w:tblPr>
      <w:tblGrid>
        <w:gridCol w:w="4965"/>
        <w:gridCol w:w="1620"/>
        <w:gridCol w:w="1260"/>
        <w:gridCol w:w="1175"/>
      </w:tblGrid>
      <w:tr w:rsidR="00716643" w:rsidRPr="007F17F7" w:rsidTr="00134748">
        <w:trPr>
          <w:trHeight w:val="855"/>
        </w:trPr>
        <w:tc>
          <w:tcPr>
            <w:tcW w:w="4965" w:type="dxa"/>
            <w:tcBorders>
              <w:top w:val="single" w:sz="4" w:space="0" w:color="auto"/>
              <w:left w:val="nil"/>
              <w:bottom w:val="single" w:sz="4" w:space="0" w:color="auto"/>
              <w:right w:val="nil"/>
            </w:tcBorders>
            <w:shd w:val="clear" w:color="auto" w:fill="auto"/>
            <w:vAlign w:val="bottom"/>
            <w:hideMark/>
          </w:tcPr>
          <w:p w:rsidR="00716643" w:rsidRPr="007F17F7" w:rsidRDefault="00716643" w:rsidP="00134748">
            <w:pPr>
              <w:spacing w:line="276" w:lineRule="auto"/>
              <w:rPr>
                <w:bCs/>
                <w:color w:val="000000"/>
              </w:rPr>
            </w:pPr>
            <w:r w:rsidRPr="007F17F7">
              <w:rPr>
                <w:bCs/>
                <w:color w:val="000000"/>
              </w:rPr>
              <w:t>National sample stratum</w:t>
            </w:r>
          </w:p>
        </w:tc>
        <w:tc>
          <w:tcPr>
            <w:tcW w:w="1620" w:type="dxa"/>
            <w:tcBorders>
              <w:top w:val="single" w:sz="4" w:space="0" w:color="auto"/>
              <w:left w:val="nil"/>
              <w:bottom w:val="single" w:sz="4" w:space="0" w:color="auto"/>
              <w:right w:val="nil"/>
            </w:tcBorders>
            <w:shd w:val="clear" w:color="auto" w:fill="auto"/>
            <w:vAlign w:val="center"/>
            <w:hideMark/>
          </w:tcPr>
          <w:p w:rsidR="00716643" w:rsidRPr="007F17F7" w:rsidRDefault="00716643" w:rsidP="00134748">
            <w:pPr>
              <w:spacing w:line="276" w:lineRule="auto"/>
              <w:jc w:val="right"/>
              <w:rPr>
                <w:bCs/>
                <w:color w:val="000000"/>
              </w:rPr>
            </w:pPr>
            <w:r w:rsidRPr="007F17F7">
              <w:rPr>
                <w:bCs/>
                <w:color w:val="000000"/>
              </w:rPr>
              <w:t>ABS 12/14 occupied housing units</w:t>
            </w:r>
          </w:p>
        </w:tc>
        <w:tc>
          <w:tcPr>
            <w:tcW w:w="1260" w:type="dxa"/>
            <w:tcBorders>
              <w:top w:val="single" w:sz="4" w:space="0" w:color="auto"/>
              <w:left w:val="nil"/>
              <w:bottom w:val="single" w:sz="4" w:space="0" w:color="auto"/>
              <w:right w:val="nil"/>
            </w:tcBorders>
            <w:shd w:val="clear" w:color="auto" w:fill="auto"/>
            <w:vAlign w:val="bottom"/>
            <w:hideMark/>
          </w:tcPr>
          <w:p w:rsidR="00716643" w:rsidRPr="007F17F7" w:rsidRDefault="00716643" w:rsidP="00134748">
            <w:pPr>
              <w:spacing w:line="276" w:lineRule="auto"/>
              <w:jc w:val="right"/>
              <w:rPr>
                <w:bCs/>
                <w:color w:val="000000"/>
              </w:rPr>
            </w:pPr>
            <w:r w:rsidRPr="007F17F7">
              <w:rPr>
                <w:bCs/>
                <w:color w:val="000000"/>
              </w:rPr>
              <w:t xml:space="preserve">Proportion </w:t>
            </w:r>
          </w:p>
        </w:tc>
        <w:tc>
          <w:tcPr>
            <w:tcW w:w="1175" w:type="dxa"/>
            <w:tcBorders>
              <w:top w:val="single" w:sz="4" w:space="0" w:color="auto"/>
              <w:left w:val="nil"/>
              <w:bottom w:val="single" w:sz="4" w:space="0" w:color="auto"/>
              <w:right w:val="nil"/>
            </w:tcBorders>
            <w:shd w:val="clear" w:color="auto" w:fill="auto"/>
            <w:vAlign w:val="bottom"/>
            <w:hideMark/>
          </w:tcPr>
          <w:p w:rsidR="00716643" w:rsidRPr="007F17F7" w:rsidRDefault="00716643" w:rsidP="00134748">
            <w:pPr>
              <w:spacing w:line="276" w:lineRule="auto"/>
              <w:jc w:val="right"/>
              <w:rPr>
                <w:bCs/>
                <w:color w:val="000000"/>
              </w:rPr>
            </w:pPr>
            <w:r w:rsidRPr="007F17F7">
              <w:rPr>
                <w:bCs/>
                <w:color w:val="000000"/>
              </w:rPr>
              <w:t>Stratum sample size</w:t>
            </w:r>
          </w:p>
        </w:tc>
      </w:tr>
      <w:tr w:rsidR="00716643" w:rsidRPr="007F17F7" w:rsidTr="00134748">
        <w:trPr>
          <w:trHeight w:val="300"/>
        </w:trPr>
        <w:tc>
          <w:tcPr>
            <w:tcW w:w="4965" w:type="dxa"/>
            <w:tcBorders>
              <w:top w:val="nil"/>
              <w:left w:val="nil"/>
              <w:bottom w:val="nil"/>
              <w:right w:val="nil"/>
            </w:tcBorders>
            <w:shd w:val="clear" w:color="auto" w:fill="auto"/>
            <w:vAlign w:val="center"/>
            <w:hideMark/>
          </w:tcPr>
          <w:p w:rsidR="00716643" w:rsidRPr="007F17F7" w:rsidRDefault="00716643" w:rsidP="00134748">
            <w:pPr>
              <w:spacing w:line="276" w:lineRule="auto"/>
              <w:rPr>
                <w:color w:val="000000"/>
              </w:rPr>
            </w:pPr>
            <w:r w:rsidRPr="007F17F7">
              <w:rPr>
                <w:color w:val="000000"/>
              </w:rPr>
              <w:t>Counties within MSAs &gt; 1 million and heavy rail</w:t>
            </w:r>
          </w:p>
        </w:tc>
        <w:tc>
          <w:tcPr>
            <w:tcW w:w="1620"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31,070,705</w:t>
            </w:r>
          </w:p>
        </w:tc>
        <w:tc>
          <w:tcPr>
            <w:tcW w:w="1260"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24.4%</w:t>
            </w:r>
          </w:p>
        </w:tc>
        <w:tc>
          <w:tcPr>
            <w:tcW w:w="1175"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5,996</w:t>
            </w:r>
          </w:p>
        </w:tc>
      </w:tr>
      <w:tr w:rsidR="00716643" w:rsidRPr="007F17F7" w:rsidTr="00134748">
        <w:trPr>
          <w:trHeight w:val="300"/>
        </w:trPr>
        <w:tc>
          <w:tcPr>
            <w:tcW w:w="4965" w:type="dxa"/>
            <w:tcBorders>
              <w:top w:val="nil"/>
              <w:left w:val="nil"/>
              <w:bottom w:val="nil"/>
              <w:right w:val="nil"/>
            </w:tcBorders>
            <w:shd w:val="clear" w:color="auto" w:fill="auto"/>
            <w:vAlign w:val="center"/>
            <w:hideMark/>
          </w:tcPr>
          <w:p w:rsidR="00716643" w:rsidRPr="007F17F7" w:rsidRDefault="00716643" w:rsidP="00134748">
            <w:pPr>
              <w:spacing w:line="276" w:lineRule="auto"/>
              <w:rPr>
                <w:color w:val="000000"/>
              </w:rPr>
            </w:pPr>
            <w:r w:rsidRPr="007F17F7">
              <w:rPr>
                <w:color w:val="000000"/>
              </w:rPr>
              <w:t>Counties within MSAs &gt; 1 million and not heavy rail</w:t>
            </w:r>
          </w:p>
        </w:tc>
        <w:tc>
          <w:tcPr>
            <w:tcW w:w="1620"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38,036,786</w:t>
            </w:r>
          </w:p>
        </w:tc>
        <w:tc>
          <w:tcPr>
            <w:tcW w:w="1260"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29.9%</w:t>
            </w:r>
          </w:p>
        </w:tc>
        <w:tc>
          <w:tcPr>
            <w:tcW w:w="1175"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7,157</w:t>
            </w:r>
          </w:p>
        </w:tc>
      </w:tr>
      <w:tr w:rsidR="00716643" w:rsidRPr="007F17F7" w:rsidTr="00134748">
        <w:trPr>
          <w:trHeight w:val="300"/>
        </w:trPr>
        <w:tc>
          <w:tcPr>
            <w:tcW w:w="4965" w:type="dxa"/>
            <w:tcBorders>
              <w:top w:val="nil"/>
              <w:left w:val="nil"/>
              <w:bottom w:val="nil"/>
              <w:right w:val="nil"/>
            </w:tcBorders>
            <w:shd w:val="clear" w:color="auto" w:fill="auto"/>
            <w:vAlign w:val="center"/>
            <w:hideMark/>
          </w:tcPr>
          <w:p w:rsidR="00716643" w:rsidRPr="007F17F7" w:rsidRDefault="00716643" w:rsidP="00134748">
            <w:pPr>
              <w:spacing w:line="276" w:lineRule="auto"/>
              <w:rPr>
                <w:color w:val="000000"/>
              </w:rPr>
            </w:pPr>
            <w:r w:rsidRPr="007F17F7">
              <w:rPr>
                <w:color w:val="000000"/>
              </w:rPr>
              <w:t>Counties within MSAs &lt; 1 million</w:t>
            </w:r>
          </w:p>
        </w:tc>
        <w:tc>
          <w:tcPr>
            <w:tcW w:w="1620"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39,573,540</w:t>
            </w:r>
          </w:p>
        </w:tc>
        <w:tc>
          <w:tcPr>
            <w:tcW w:w="1260"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31.1%</w:t>
            </w:r>
          </w:p>
        </w:tc>
        <w:tc>
          <w:tcPr>
            <w:tcW w:w="1175" w:type="dxa"/>
            <w:tcBorders>
              <w:top w:val="nil"/>
              <w:left w:val="nil"/>
              <w:bottom w:val="nil"/>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8,509</w:t>
            </w:r>
          </w:p>
        </w:tc>
      </w:tr>
      <w:tr w:rsidR="00716643" w:rsidRPr="007F17F7" w:rsidTr="00134748">
        <w:trPr>
          <w:trHeight w:val="300"/>
        </w:trPr>
        <w:tc>
          <w:tcPr>
            <w:tcW w:w="4965" w:type="dxa"/>
            <w:tcBorders>
              <w:top w:val="nil"/>
              <w:left w:val="nil"/>
              <w:bottom w:val="single" w:sz="4" w:space="0" w:color="auto"/>
              <w:right w:val="nil"/>
            </w:tcBorders>
            <w:shd w:val="clear" w:color="auto" w:fill="auto"/>
            <w:vAlign w:val="bottom"/>
            <w:hideMark/>
          </w:tcPr>
          <w:p w:rsidR="00716643" w:rsidRPr="007F17F7" w:rsidRDefault="00716643" w:rsidP="00134748">
            <w:pPr>
              <w:spacing w:line="276" w:lineRule="auto"/>
              <w:rPr>
                <w:color w:val="000000"/>
              </w:rPr>
            </w:pPr>
            <w:r w:rsidRPr="007F17F7">
              <w:rPr>
                <w:color w:val="000000"/>
              </w:rPr>
              <w:t>Not in an MSA</w:t>
            </w:r>
          </w:p>
        </w:tc>
        <w:tc>
          <w:tcPr>
            <w:tcW w:w="1620" w:type="dxa"/>
            <w:tcBorders>
              <w:top w:val="nil"/>
              <w:left w:val="nil"/>
              <w:bottom w:val="single" w:sz="4" w:space="0" w:color="auto"/>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18,435,015</w:t>
            </w:r>
          </w:p>
        </w:tc>
        <w:tc>
          <w:tcPr>
            <w:tcW w:w="1260" w:type="dxa"/>
            <w:tcBorders>
              <w:top w:val="nil"/>
              <w:left w:val="nil"/>
              <w:bottom w:val="single" w:sz="4" w:space="0" w:color="auto"/>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14.5%</w:t>
            </w:r>
          </w:p>
        </w:tc>
        <w:tc>
          <w:tcPr>
            <w:tcW w:w="1175" w:type="dxa"/>
            <w:tcBorders>
              <w:top w:val="nil"/>
              <w:left w:val="nil"/>
              <w:bottom w:val="single" w:sz="4" w:space="0" w:color="auto"/>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4,338</w:t>
            </w:r>
          </w:p>
        </w:tc>
      </w:tr>
      <w:tr w:rsidR="00716643" w:rsidRPr="007F17F7" w:rsidTr="00134748">
        <w:trPr>
          <w:trHeight w:val="300"/>
        </w:trPr>
        <w:tc>
          <w:tcPr>
            <w:tcW w:w="4965" w:type="dxa"/>
            <w:tcBorders>
              <w:top w:val="single" w:sz="4" w:space="0" w:color="auto"/>
              <w:left w:val="nil"/>
              <w:bottom w:val="single" w:sz="4" w:space="0" w:color="auto"/>
              <w:right w:val="nil"/>
            </w:tcBorders>
            <w:shd w:val="clear" w:color="auto" w:fill="auto"/>
            <w:noWrap/>
            <w:vAlign w:val="bottom"/>
            <w:hideMark/>
          </w:tcPr>
          <w:p w:rsidR="00716643" w:rsidRPr="007F17F7" w:rsidRDefault="00716643" w:rsidP="00134748">
            <w:pPr>
              <w:spacing w:line="276" w:lineRule="auto"/>
              <w:rPr>
                <w:bCs/>
                <w:color w:val="000000"/>
              </w:rPr>
            </w:pPr>
            <w:r w:rsidRPr="007F17F7">
              <w:rPr>
                <w:bCs/>
                <w:color w:val="000000"/>
              </w:rPr>
              <w:t>TOTAL</w:t>
            </w:r>
          </w:p>
        </w:tc>
        <w:tc>
          <w:tcPr>
            <w:tcW w:w="1620" w:type="dxa"/>
            <w:tcBorders>
              <w:top w:val="single" w:sz="4" w:space="0" w:color="auto"/>
              <w:left w:val="nil"/>
              <w:bottom w:val="single" w:sz="4" w:space="0" w:color="auto"/>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127,116,046</w:t>
            </w:r>
          </w:p>
        </w:tc>
        <w:tc>
          <w:tcPr>
            <w:tcW w:w="1260" w:type="dxa"/>
            <w:tcBorders>
              <w:top w:val="single" w:sz="4" w:space="0" w:color="auto"/>
              <w:left w:val="nil"/>
              <w:bottom w:val="single" w:sz="4" w:space="0" w:color="auto"/>
              <w:right w:val="nil"/>
            </w:tcBorders>
            <w:shd w:val="clear" w:color="auto" w:fill="auto"/>
            <w:noWrap/>
            <w:vAlign w:val="bottom"/>
            <w:hideMark/>
          </w:tcPr>
          <w:p w:rsidR="00716643" w:rsidRPr="007F17F7" w:rsidRDefault="00716643" w:rsidP="00134748">
            <w:pPr>
              <w:spacing w:line="276" w:lineRule="auto"/>
              <w:rPr>
                <w:color w:val="000000"/>
              </w:rPr>
            </w:pPr>
            <w:r w:rsidRPr="007F17F7">
              <w:rPr>
                <w:color w:val="000000"/>
              </w:rPr>
              <w:t> </w:t>
            </w:r>
          </w:p>
        </w:tc>
        <w:tc>
          <w:tcPr>
            <w:tcW w:w="1175" w:type="dxa"/>
            <w:tcBorders>
              <w:top w:val="single" w:sz="4" w:space="0" w:color="auto"/>
              <w:left w:val="nil"/>
              <w:bottom w:val="single" w:sz="4" w:space="0" w:color="auto"/>
              <w:right w:val="nil"/>
            </w:tcBorders>
            <w:shd w:val="clear" w:color="auto" w:fill="auto"/>
            <w:noWrap/>
            <w:vAlign w:val="bottom"/>
            <w:hideMark/>
          </w:tcPr>
          <w:p w:rsidR="00716643" w:rsidRPr="007F17F7" w:rsidRDefault="00716643" w:rsidP="00134748">
            <w:pPr>
              <w:spacing w:line="276" w:lineRule="auto"/>
              <w:jc w:val="right"/>
              <w:rPr>
                <w:color w:val="000000"/>
              </w:rPr>
            </w:pPr>
            <w:r w:rsidRPr="007F17F7">
              <w:rPr>
                <w:color w:val="000000"/>
              </w:rPr>
              <w:t>26,000</w:t>
            </w:r>
          </w:p>
        </w:tc>
      </w:tr>
    </w:tbl>
    <w:p w:rsidR="00716643" w:rsidRPr="003115FF" w:rsidRDefault="00716643" w:rsidP="00716643">
      <w:pPr>
        <w:spacing w:line="276" w:lineRule="auto"/>
        <w:rPr>
          <w:i/>
          <w:sz w:val="18"/>
          <w:szCs w:val="18"/>
        </w:rPr>
      </w:pPr>
      <w:r w:rsidRPr="003115FF">
        <w:rPr>
          <w:i/>
          <w:sz w:val="18"/>
          <w:szCs w:val="18"/>
        </w:rPr>
        <w:t>NOTE: The stratum sample size column indicates the expected number of completed household surveys.</w:t>
      </w:r>
    </w:p>
    <w:p w:rsidR="00716643" w:rsidRPr="007F17F7" w:rsidRDefault="00716643" w:rsidP="00716643">
      <w:pPr>
        <w:pStyle w:val="P1-StandPara"/>
        <w:tabs>
          <w:tab w:val="left" w:pos="720"/>
        </w:tabs>
        <w:spacing w:line="276" w:lineRule="auto"/>
        <w:ind w:firstLine="0"/>
      </w:pPr>
    </w:p>
    <w:p w:rsidR="00716643" w:rsidRDefault="00716643" w:rsidP="00AE455E">
      <w:pPr>
        <w:pStyle w:val="P1-StandPara"/>
        <w:tabs>
          <w:tab w:val="left" w:pos="720"/>
        </w:tabs>
        <w:spacing w:line="276" w:lineRule="auto"/>
        <w:ind w:firstLine="0"/>
      </w:pPr>
      <w:r w:rsidRPr="007F17F7">
        <w:t xml:space="preserve">The </w:t>
      </w:r>
      <w:r w:rsidRPr="000403FD">
        <w:t>sample release process will control the balance of travel days by month</w:t>
      </w:r>
      <w:r w:rsidR="0044703A">
        <w:t>.</w:t>
      </w:r>
      <w:r w:rsidR="00597318">
        <w:t xml:space="preserve"> </w:t>
      </w:r>
      <w:r w:rsidR="0044703A">
        <w:t>S</w:t>
      </w:r>
      <w:r w:rsidRPr="007F17F7">
        <w:t xml:space="preserve">ampled addresses will be assigned a day of the week equally distributed across all days to ensure a balanced day of week distribution. This is a proven approach </w:t>
      </w:r>
      <w:r>
        <w:t xml:space="preserve">to travel day assignment </w:t>
      </w:r>
      <w:r w:rsidRPr="007F17F7">
        <w:t>that has been used in all of our travel surveys.</w:t>
      </w:r>
    </w:p>
    <w:p w:rsidR="00E10F2D" w:rsidRDefault="00E10F2D" w:rsidP="00AE455E">
      <w:pPr>
        <w:pStyle w:val="P1-StandPara"/>
        <w:tabs>
          <w:tab w:val="left" w:pos="720"/>
        </w:tabs>
        <w:spacing w:line="276" w:lineRule="auto"/>
        <w:ind w:firstLine="0"/>
      </w:pPr>
    </w:p>
    <w:p w:rsidR="00E10F2D" w:rsidRPr="00EA57BB" w:rsidRDefault="00E10F2D" w:rsidP="00E10F2D">
      <w:pPr>
        <w:rPr>
          <w:u w:val="single"/>
        </w:rPr>
      </w:pPr>
      <w:r w:rsidRPr="00EA57BB">
        <w:rPr>
          <w:u w:val="single"/>
        </w:rPr>
        <w:t>Response Rates</w:t>
      </w:r>
    </w:p>
    <w:p w:rsidR="00E10F2D" w:rsidRDefault="00E10F2D" w:rsidP="00E10F2D">
      <w:r>
        <w:t>The NHTS has several unique characteristics that have historically made it difficult to achieve robust response rate targets.  These survey characteristics include:</w:t>
      </w:r>
    </w:p>
    <w:p w:rsidR="00E10F2D" w:rsidRDefault="00E10F2D" w:rsidP="00E10F2D"/>
    <w:p w:rsidR="00E10F2D" w:rsidRDefault="00E10F2D" w:rsidP="00E10F2D">
      <w:pPr>
        <w:ind w:left="360"/>
      </w:pPr>
      <w:r>
        <w:rPr>
          <w:u w:val="single"/>
        </w:rPr>
        <w:t>Two-stage data collection rather than one-stage</w:t>
      </w:r>
      <w:r>
        <w:t xml:space="preserve"> - In 1995, the NHTS series  switched from a one-stage survey to a two-stage, which greatly improved the quality of the trip data.  The trip data constitutes the heart of the survey subject matter. The proposed 2015 survey will constitute the eighth in the NPTS/NHTS series, with the first National Personal Transportation Survey (NPTS) taking place in 1969.  By the 1990 survey, the pace of our lives and the complexity of daily travel had changed so much that a one-stage retrospective survey was found to be lacking in producing a reliable </w:t>
      </w:r>
      <w:r>
        <w:lastRenderedPageBreak/>
        <w:t xml:space="preserve">account of a specific day’s travel.  Starting in 1995, the survey adopted the current two-stage approach along with a travel diary or log for recruited respondents to use as a memory jogger.   </w:t>
      </w:r>
    </w:p>
    <w:p w:rsidR="00E10F2D" w:rsidRDefault="00E10F2D" w:rsidP="00E10F2D">
      <w:pPr>
        <w:ind w:left="360"/>
        <w:rPr>
          <w:u w:val="single"/>
        </w:rPr>
      </w:pPr>
    </w:p>
    <w:p w:rsidR="00E10F2D" w:rsidRDefault="00E10F2D" w:rsidP="00E10F2D">
      <w:pPr>
        <w:ind w:left="360"/>
      </w:pPr>
      <w:r>
        <w:rPr>
          <w:u w:val="single"/>
        </w:rPr>
        <w:t xml:space="preserve">All household members interviewed rather than a randomly selected person </w:t>
      </w:r>
      <w:r>
        <w:t xml:space="preserve">- In addition to obtaining the amount, type and characteristics of daily travel, we also need to understand how the household, as a unit, functions to meet the travel needs and desires of its members.  Thus, we need to interview each household member for travel on the same designated day.  The requirement to interview all household members places an additional and significant operations burden on the survey.  To reduce respondent burden, once a previously interviewed household member reports a trip taken with a particular respondent, that trip is populated on the second respondent’s travel day record and the second respondent is only asked to verify if they were on that trip. </w:t>
      </w:r>
    </w:p>
    <w:p w:rsidR="00E10F2D" w:rsidRDefault="00E10F2D" w:rsidP="00E10F2D">
      <w:pPr>
        <w:ind w:left="360"/>
        <w:rPr>
          <w:u w:val="single"/>
        </w:rPr>
      </w:pPr>
    </w:p>
    <w:p w:rsidR="00E10F2D" w:rsidRDefault="00E10F2D" w:rsidP="00E10F2D">
      <w:pPr>
        <w:ind w:left="360"/>
      </w:pPr>
      <w:r>
        <w:rPr>
          <w:u w:val="single"/>
        </w:rPr>
        <w:t>A relatively short window of opportunity for data collection rather than extending data collection until a household is completed</w:t>
      </w:r>
      <w:r>
        <w:t xml:space="preserve"> - Because the nature of the data being collected on a typical assigned day is usually unremarkable, we have found that a time limit needs to be enforced or else one specific assigned day blends into all others.  We have resolved this issue by allowing daily trip collection within a 7-day window after the assigned day.  That guideline, while improving data quality, creates another challenge to full survey participation.     </w:t>
      </w:r>
    </w:p>
    <w:p w:rsidR="00E10F2D" w:rsidRDefault="00E10F2D" w:rsidP="00E10F2D">
      <w:pPr>
        <w:spacing w:before="74"/>
        <w:ind w:right="-20"/>
        <w:rPr>
          <w:spacing w:val="-1"/>
        </w:rPr>
      </w:pPr>
    </w:p>
    <w:p w:rsidR="002167C6" w:rsidRDefault="00E10F2D" w:rsidP="00E10F2D">
      <w:pPr>
        <w:spacing w:before="74"/>
        <w:ind w:right="-20"/>
      </w:pPr>
      <w:r>
        <w:rPr>
          <w:spacing w:val="-1"/>
        </w:rPr>
        <w:t xml:space="preserve">The </w:t>
      </w:r>
      <w:r w:rsidRPr="00817296">
        <w:t>p</w:t>
      </w:r>
      <w:r w:rsidRPr="00817296">
        <w:rPr>
          <w:spacing w:val="1"/>
        </w:rPr>
        <w:t>r</w:t>
      </w:r>
      <w:r w:rsidRPr="00817296">
        <w:t>o</w:t>
      </w:r>
      <w:r w:rsidRPr="00817296">
        <w:rPr>
          <w:spacing w:val="-2"/>
        </w:rPr>
        <w:t>p</w:t>
      </w:r>
      <w:r w:rsidRPr="00817296">
        <w:t>osed</w:t>
      </w:r>
      <w:r>
        <w:rPr>
          <w:spacing w:val="-2"/>
        </w:rPr>
        <w:t xml:space="preserve"> 2015 </w:t>
      </w:r>
      <w:r w:rsidRPr="00817296">
        <w:rPr>
          <w:spacing w:val="-1"/>
        </w:rPr>
        <w:t>NH</w:t>
      </w:r>
      <w:r w:rsidRPr="00817296">
        <w:rPr>
          <w:spacing w:val="2"/>
        </w:rPr>
        <w:t>T</w:t>
      </w:r>
      <w:r w:rsidRPr="00817296">
        <w:t xml:space="preserve">S </w:t>
      </w:r>
      <w:r w:rsidRPr="00817296">
        <w:rPr>
          <w:spacing w:val="-2"/>
        </w:rPr>
        <w:t>d</w:t>
      </w:r>
      <w:r w:rsidRPr="00817296">
        <w:t>e</w:t>
      </w:r>
      <w:r w:rsidRPr="00817296">
        <w:rPr>
          <w:spacing w:val="-2"/>
        </w:rPr>
        <w:t>s</w:t>
      </w:r>
      <w:r w:rsidRPr="00817296">
        <w:rPr>
          <w:spacing w:val="1"/>
        </w:rPr>
        <w:t>i</w:t>
      </w:r>
      <w:r w:rsidRPr="00817296">
        <w:rPr>
          <w:spacing w:val="-2"/>
        </w:rPr>
        <w:t>g</w:t>
      </w:r>
      <w:r w:rsidRPr="00817296">
        <w:t xml:space="preserve">n </w:t>
      </w:r>
      <w:r w:rsidRPr="00817296">
        <w:rPr>
          <w:spacing w:val="1"/>
        </w:rPr>
        <w:t>i</w:t>
      </w:r>
      <w:r w:rsidRPr="00817296">
        <w:t>s</w:t>
      </w:r>
      <w:r w:rsidRPr="00817296">
        <w:rPr>
          <w:spacing w:val="1"/>
        </w:rPr>
        <w:t xml:space="preserve"> </w:t>
      </w:r>
      <w:r w:rsidRPr="00817296">
        <w:t>a</w:t>
      </w:r>
      <w:r w:rsidRPr="00817296">
        <w:rPr>
          <w:spacing w:val="-2"/>
        </w:rPr>
        <w:t xml:space="preserve"> </w:t>
      </w:r>
      <w:r w:rsidRPr="00817296">
        <w:rPr>
          <w:spacing w:val="1"/>
        </w:rPr>
        <w:t>t</w:t>
      </w:r>
      <w:r w:rsidRPr="00817296">
        <w:rPr>
          <w:spacing w:val="-1"/>
        </w:rPr>
        <w:t>w</w:t>
      </w:r>
      <w:r w:rsidRPr="00817296">
        <w:t>o</w:t>
      </w:r>
      <w:r w:rsidRPr="00817296">
        <w:rPr>
          <w:spacing w:val="-4"/>
        </w:rPr>
        <w:t>-</w:t>
      </w:r>
      <w:r w:rsidRPr="00817296">
        <w:t>s</w:t>
      </w:r>
      <w:r w:rsidRPr="00817296">
        <w:rPr>
          <w:spacing w:val="1"/>
        </w:rPr>
        <w:t>t</w:t>
      </w:r>
      <w:r w:rsidRPr="00817296">
        <w:t>a</w:t>
      </w:r>
      <w:r w:rsidRPr="00817296">
        <w:rPr>
          <w:spacing w:val="-2"/>
        </w:rPr>
        <w:t>g</w:t>
      </w:r>
      <w:r w:rsidRPr="00817296">
        <w:t>e</w:t>
      </w:r>
      <w:r w:rsidRPr="00817296">
        <w:rPr>
          <w:spacing w:val="1"/>
        </w:rPr>
        <w:t xml:space="preserve"> </w:t>
      </w:r>
      <w:r w:rsidRPr="00817296">
        <w:t>su</w:t>
      </w:r>
      <w:r w:rsidRPr="00817296">
        <w:rPr>
          <w:spacing w:val="1"/>
        </w:rPr>
        <w:t>r</w:t>
      </w:r>
      <w:r w:rsidRPr="00817296">
        <w:rPr>
          <w:spacing w:val="-2"/>
        </w:rPr>
        <w:t>v</w:t>
      </w:r>
      <w:r w:rsidRPr="00817296">
        <w:t>ey</w:t>
      </w:r>
      <w:r w:rsidRPr="00817296">
        <w:rPr>
          <w:spacing w:val="-2"/>
        </w:rPr>
        <w:t xml:space="preserve"> </w:t>
      </w:r>
      <w:r w:rsidRPr="00817296">
        <w:rPr>
          <w:spacing w:val="-1"/>
        </w:rPr>
        <w:t>w</w:t>
      </w:r>
      <w:r w:rsidRPr="00817296">
        <w:rPr>
          <w:spacing w:val="1"/>
        </w:rPr>
        <w:t>i</w:t>
      </w:r>
      <w:r w:rsidRPr="00817296">
        <w:rPr>
          <w:spacing w:val="-1"/>
        </w:rPr>
        <w:t>t</w:t>
      </w:r>
      <w:r w:rsidRPr="00817296">
        <w:t xml:space="preserve">h an </w:t>
      </w:r>
      <w:r w:rsidRPr="00817296">
        <w:rPr>
          <w:spacing w:val="-1"/>
        </w:rPr>
        <w:t>AB</w:t>
      </w:r>
      <w:r w:rsidRPr="00817296">
        <w:t xml:space="preserve">S </w:t>
      </w:r>
      <w:r w:rsidRPr="00817296">
        <w:rPr>
          <w:spacing w:val="1"/>
        </w:rPr>
        <w:t>f</w:t>
      </w:r>
      <w:r w:rsidRPr="00817296">
        <w:rPr>
          <w:spacing w:val="-2"/>
        </w:rPr>
        <w:t>r</w:t>
      </w:r>
      <w:r w:rsidRPr="00817296">
        <w:t>a</w:t>
      </w:r>
      <w:r w:rsidRPr="00817296">
        <w:rPr>
          <w:spacing w:val="-4"/>
        </w:rPr>
        <w:t>m</w:t>
      </w:r>
      <w:r w:rsidRPr="00817296">
        <w:t xml:space="preserve">e, </w:t>
      </w:r>
      <w:r w:rsidRPr="00817296">
        <w:rPr>
          <w:spacing w:val="-4"/>
        </w:rPr>
        <w:t>m</w:t>
      </w:r>
      <w:r w:rsidRPr="00817296">
        <w:t>a</w:t>
      </w:r>
      <w:r w:rsidRPr="00817296">
        <w:rPr>
          <w:spacing w:val="1"/>
        </w:rPr>
        <w:t>il</w:t>
      </w:r>
      <w:r w:rsidRPr="00817296">
        <w:t xml:space="preserve"> o</w:t>
      </w:r>
      <w:r w:rsidRPr="00817296">
        <w:rPr>
          <w:spacing w:val="1"/>
        </w:rPr>
        <w:t>ut/</w:t>
      </w:r>
      <w:r w:rsidRPr="00817296">
        <w:rPr>
          <w:spacing w:val="-4"/>
        </w:rPr>
        <w:t>m</w:t>
      </w:r>
      <w:r w:rsidRPr="00817296">
        <w:t>a</w:t>
      </w:r>
      <w:r w:rsidRPr="00817296">
        <w:rPr>
          <w:spacing w:val="1"/>
        </w:rPr>
        <w:t>i</w:t>
      </w:r>
      <w:r w:rsidRPr="00817296">
        <w:t>l</w:t>
      </w:r>
      <w:r w:rsidRPr="00817296">
        <w:rPr>
          <w:spacing w:val="-2"/>
        </w:rPr>
        <w:t xml:space="preserve"> </w:t>
      </w:r>
      <w:r w:rsidRPr="00817296">
        <w:t>back</w:t>
      </w:r>
      <w:r w:rsidRPr="00817296">
        <w:rPr>
          <w:spacing w:val="-2"/>
        </w:rPr>
        <w:t xml:space="preserve"> </w:t>
      </w:r>
      <w:r w:rsidRPr="00817296">
        <w:rPr>
          <w:spacing w:val="1"/>
        </w:rPr>
        <w:t>r</w:t>
      </w:r>
      <w:r w:rsidRPr="00817296">
        <w:rPr>
          <w:spacing w:val="-2"/>
        </w:rPr>
        <w:t>e</w:t>
      </w:r>
      <w:r w:rsidRPr="00817296">
        <w:t>c</w:t>
      </w:r>
      <w:r w:rsidRPr="00817296">
        <w:rPr>
          <w:spacing w:val="1"/>
        </w:rPr>
        <w:t>r</w:t>
      </w:r>
      <w:r w:rsidRPr="00817296">
        <w:rPr>
          <w:spacing w:val="-2"/>
        </w:rPr>
        <w:t>u</w:t>
      </w:r>
      <w:r w:rsidRPr="00817296">
        <w:rPr>
          <w:spacing w:val="1"/>
        </w:rPr>
        <w:t>i</w:t>
      </w:r>
      <w:r w:rsidRPr="00817296">
        <w:t>t</w:t>
      </w:r>
      <w:r w:rsidRPr="00817296">
        <w:rPr>
          <w:spacing w:val="-1"/>
        </w:rPr>
        <w:t xml:space="preserve"> </w:t>
      </w:r>
      <w:r w:rsidRPr="00817296">
        <w:t>s</w:t>
      </w:r>
      <w:r w:rsidRPr="00817296">
        <w:rPr>
          <w:spacing w:val="-1"/>
        </w:rPr>
        <w:t>t</w:t>
      </w:r>
      <w:r w:rsidRPr="00817296">
        <w:t>a</w:t>
      </w:r>
      <w:r w:rsidRPr="00817296">
        <w:rPr>
          <w:spacing w:val="-2"/>
        </w:rPr>
        <w:t>g</w:t>
      </w:r>
      <w:r w:rsidRPr="00817296">
        <w:t>e</w:t>
      </w:r>
      <w:r w:rsidRPr="00817296">
        <w:rPr>
          <w:spacing w:val="1"/>
        </w:rPr>
        <w:t xml:space="preserve"> </w:t>
      </w:r>
      <w:r w:rsidRPr="00817296">
        <w:t xml:space="preserve">and </w:t>
      </w:r>
      <w:r w:rsidRPr="00817296">
        <w:rPr>
          <w:spacing w:val="-1"/>
        </w:rPr>
        <w:t>w</w:t>
      </w:r>
      <w:r w:rsidRPr="00817296">
        <w:t>eb</w:t>
      </w:r>
      <w:r w:rsidRPr="00817296">
        <w:rPr>
          <w:spacing w:val="-4"/>
        </w:rPr>
        <w:t>-</w:t>
      </w:r>
      <w:r w:rsidRPr="00817296">
        <w:t xml:space="preserve">based </w:t>
      </w:r>
      <w:r w:rsidRPr="00817296">
        <w:rPr>
          <w:spacing w:val="1"/>
        </w:rPr>
        <w:t>tr</w:t>
      </w:r>
      <w:r w:rsidRPr="00817296">
        <w:t>a</w:t>
      </w:r>
      <w:r w:rsidRPr="00817296">
        <w:rPr>
          <w:spacing w:val="-2"/>
        </w:rPr>
        <w:t>v</w:t>
      </w:r>
      <w:r w:rsidRPr="00817296">
        <w:t>el</w:t>
      </w:r>
      <w:r w:rsidRPr="00817296">
        <w:rPr>
          <w:spacing w:val="-1"/>
        </w:rPr>
        <w:t xml:space="preserve"> </w:t>
      </w:r>
      <w:r w:rsidRPr="00817296">
        <w:t>day</w:t>
      </w:r>
      <w:r w:rsidRPr="00817296">
        <w:rPr>
          <w:spacing w:val="-2"/>
        </w:rPr>
        <w:t xml:space="preserve"> </w:t>
      </w:r>
      <w:r w:rsidRPr="00817296">
        <w:rPr>
          <w:spacing w:val="1"/>
        </w:rPr>
        <w:t>r</w:t>
      </w:r>
      <w:r w:rsidRPr="00817296">
        <w:rPr>
          <w:spacing w:val="-2"/>
        </w:rPr>
        <w:t>e</w:t>
      </w:r>
      <w:r w:rsidRPr="00817296">
        <w:rPr>
          <w:spacing w:val="1"/>
        </w:rPr>
        <w:t>t</w:t>
      </w:r>
      <w:r w:rsidRPr="00817296">
        <w:rPr>
          <w:spacing w:val="-2"/>
        </w:rPr>
        <w:t>r</w:t>
      </w:r>
      <w:r w:rsidRPr="00817296">
        <w:rPr>
          <w:spacing w:val="1"/>
        </w:rPr>
        <w:t>i</w:t>
      </w:r>
      <w:r w:rsidRPr="00817296">
        <w:rPr>
          <w:spacing w:val="-2"/>
        </w:rPr>
        <w:t>ev</w:t>
      </w:r>
      <w:r w:rsidRPr="00817296">
        <w:t>a</w:t>
      </w:r>
      <w:r w:rsidRPr="00817296">
        <w:rPr>
          <w:spacing w:val="1"/>
        </w:rPr>
        <w:t>l</w:t>
      </w:r>
      <w:r w:rsidRPr="00817296">
        <w:t>, us</w:t>
      </w:r>
      <w:r w:rsidRPr="00817296">
        <w:rPr>
          <w:spacing w:val="1"/>
        </w:rPr>
        <w:t>i</w:t>
      </w:r>
      <w:r w:rsidRPr="00817296">
        <w:t>ng</w:t>
      </w:r>
      <w:r w:rsidRPr="00817296">
        <w:rPr>
          <w:spacing w:val="-2"/>
        </w:rPr>
        <w:t xml:space="preserve"> </w:t>
      </w:r>
      <w:r w:rsidRPr="00817296">
        <w:rPr>
          <w:spacing w:val="-4"/>
        </w:rPr>
        <w:t>m</w:t>
      </w:r>
      <w:r w:rsidRPr="00817296">
        <w:t>u</w:t>
      </w:r>
      <w:r w:rsidRPr="00817296">
        <w:rPr>
          <w:spacing w:val="1"/>
        </w:rPr>
        <w:t>lti</w:t>
      </w:r>
      <w:r w:rsidRPr="00817296">
        <w:rPr>
          <w:spacing w:val="-2"/>
        </w:rPr>
        <w:t>p</w:t>
      </w:r>
      <w:r w:rsidRPr="00817296">
        <w:rPr>
          <w:spacing w:val="1"/>
        </w:rPr>
        <w:t>l</w:t>
      </w:r>
      <w:r w:rsidRPr="00817296">
        <w:t>e</w:t>
      </w:r>
      <w:r w:rsidRPr="00817296">
        <w:rPr>
          <w:spacing w:val="1"/>
        </w:rPr>
        <w:t xml:space="preserve"> </w:t>
      </w:r>
      <w:r w:rsidRPr="00817296">
        <w:rPr>
          <w:spacing w:val="-4"/>
        </w:rPr>
        <w:t>m</w:t>
      </w:r>
      <w:r w:rsidRPr="00817296">
        <w:t>odes</w:t>
      </w:r>
      <w:r w:rsidRPr="00817296">
        <w:rPr>
          <w:spacing w:val="1"/>
        </w:rPr>
        <w:t xml:space="preserve"> </w:t>
      </w:r>
      <w:r w:rsidRPr="00817296">
        <w:rPr>
          <w:spacing w:val="-2"/>
        </w:rPr>
        <w:t>f</w:t>
      </w:r>
      <w:r w:rsidRPr="00817296">
        <w:t>or</w:t>
      </w:r>
      <w:r w:rsidRPr="00817296">
        <w:rPr>
          <w:spacing w:val="1"/>
        </w:rPr>
        <w:t xml:space="preserve"> r</w:t>
      </w:r>
      <w:r w:rsidRPr="00817296">
        <w:t>e</w:t>
      </w:r>
      <w:r w:rsidRPr="00817296">
        <w:rPr>
          <w:spacing w:val="-4"/>
        </w:rPr>
        <w:t>m</w:t>
      </w:r>
      <w:r w:rsidRPr="00817296">
        <w:rPr>
          <w:spacing w:val="1"/>
        </w:rPr>
        <w:t>i</w:t>
      </w:r>
      <w:r w:rsidRPr="00817296">
        <w:t>nd</w:t>
      </w:r>
      <w:r w:rsidRPr="00817296">
        <w:rPr>
          <w:spacing w:val="-2"/>
        </w:rPr>
        <w:t>e</w:t>
      </w:r>
      <w:r w:rsidRPr="00817296">
        <w:rPr>
          <w:spacing w:val="1"/>
        </w:rPr>
        <w:t>r</w:t>
      </w:r>
      <w:r w:rsidRPr="00817296">
        <w:t>s</w:t>
      </w:r>
      <w:r w:rsidRPr="00817296">
        <w:rPr>
          <w:spacing w:val="-2"/>
        </w:rPr>
        <w:t xml:space="preserve"> </w:t>
      </w:r>
      <w:r w:rsidRPr="00817296">
        <w:t>at</w:t>
      </w:r>
      <w:r w:rsidRPr="00817296">
        <w:rPr>
          <w:spacing w:val="1"/>
        </w:rPr>
        <w:t xml:space="preserve"> </w:t>
      </w:r>
      <w:r w:rsidRPr="00817296">
        <w:rPr>
          <w:spacing w:val="-2"/>
        </w:rPr>
        <w:t>k</w:t>
      </w:r>
      <w:r w:rsidRPr="00817296">
        <w:t>ey</w:t>
      </w:r>
      <w:r w:rsidRPr="00817296">
        <w:rPr>
          <w:spacing w:val="-2"/>
        </w:rPr>
        <w:t xml:space="preserve"> </w:t>
      </w:r>
      <w:r w:rsidRPr="00817296">
        <w:t>po</w:t>
      </w:r>
      <w:r w:rsidRPr="00817296">
        <w:rPr>
          <w:spacing w:val="1"/>
        </w:rPr>
        <w:t>i</w:t>
      </w:r>
      <w:r w:rsidRPr="00817296">
        <w:t>n</w:t>
      </w:r>
      <w:r w:rsidRPr="00817296">
        <w:rPr>
          <w:spacing w:val="-1"/>
        </w:rPr>
        <w:t>t</w:t>
      </w:r>
      <w:r w:rsidRPr="00817296">
        <w:t>s,</w:t>
      </w:r>
      <w:r w:rsidRPr="00817296">
        <w:rPr>
          <w:spacing w:val="-2"/>
        </w:rPr>
        <w:t xml:space="preserve"> </w:t>
      </w:r>
      <w:r w:rsidRPr="00817296">
        <w:rPr>
          <w:spacing w:val="1"/>
        </w:rPr>
        <w:t>t</w:t>
      </w:r>
      <w:r w:rsidRPr="00817296">
        <w:t>e</w:t>
      </w:r>
      <w:r w:rsidRPr="00817296">
        <w:rPr>
          <w:spacing w:val="-1"/>
        </w:rPr>
        <w:t>l</w:t>
      </w:r>
      <w:r w:rsidRPr="00817296">
        <w:t>epho</w:t>
      </w:r>
      <w:r w:rsidRPr="00817296">
        <w:rPr>
          <w:spacing w:val="-2"/>
        </w:rPr>
        <w:t>n</w:t>
      </w:r>
      <w:r w:rsidRPr="00817296">
        <w:t>e</w:t>
      </w:r>
      <w:r w:rsidRPr="00817296">
        <w:rPr>
          <w:spacing w:val="1"/>
        </w:rPr>
        <w:t xml:space="preserve"> </w:t>
      </w:r>
      <w:r w:rsidRPr="00817296">
        <w:rPr>
          <w:spacing w:val="-2"/>
        </w:rPr>
        <w:t>r</w:t>
      </w:r>
      <w:r w:rsidRPr="00817296">
        <w:t>e</w:t>
      </w:r>
      <w:r w:rsidRPr="00817296">
        <w:rPr>
          <w:spacing w:val="-1"/>
        </w:rPr>
        <w:t>t</w:t>
      </w:r>
      <w:r w:rsidRPr="00817296">
        <w:rPr>
          <w:spacing w:val="1"/>
        </w:rPr>
        <w:t>ri</w:t>
      </w:r>
      <w:r w:rsidRPr="00817296">
        <w:t>e</w:t>
      </w:r>
      <w:r w:rsidRPr="00817296">
        <w:rPr>
          <w:spacing w:val="-2"/>
        </w:rPr>
        <w:t>v</w:t>
      </w:r>
      <w:r w:rsidRPr="00817296">
        <w:t>al</w:t>
      </w:r>
      <w:r w:rsidRPr="00817296">
        <w:rPr>
          <w:spacing w:val="-1"/>
        </w:rPr>
        <w:t xml:space="preserve"> </w:t>
      </w:r>
      <w:r w:rsidRPr="00817296">
        <w:t>as</w:t>
      </w:r>
      <w:r w:rsidRPr="00817296">
        <w:rPr>
          <w:spacing w:val="1"/>
        </w:rPr>
        <w:t xml:space="preserve"> </w:t>
      </w:r>
      <w:r w:rsidRPr="00817296">
        <w:rPr>
          <w:spacing w:val="-2"/>
        </w:rPr>
        <w:t>a</w:t>
      </w:r>
      <w:r w:rsidRPr="00817296">
        <w:t>n op</w:t>
      </w:r>
      <w:r w:rsidRPr="00817296">
        <w:rPr>
          <w:spacing w:val="1"/>
        </w:rPr>
        <w:t>t</w:t>
      </w:r>
      <w:r w:rsidRPr="00817296">
        <w:rPr>
          <w:spacing w:val="-1"/>
        </w:rPr>
        <w:t>i</w:t>
      </w:r>
      <w:r w:rsidRPr="00817296">
        <w:t xml:space="preserve">on </w:t>
      </w:r>
      <w:r w:rsidRPr="00817296">
        <w:rPr>
          <w:spacing w:val="-1"/>
        </w:rPr>
        <w:t>w</w:t>
      </w:r>
      <w:r w:rsidRPr="00817296">
        <w:t xml:space="preserve">hen </w:t>
      </w:r>
      <w:r w:rsidRPr="00817296">
        <w:rPr>
          <w:spacing w:val="-2"/>
        </w:rPr>
        <w:t>n</w:t>
      </w:r>
      <w:r w:rsidRPr="00817296">
        <w:t>ec</w:t>
      </w:r>
      <w:r w:rsidRPr="00817296">
        <w:rPr>
          <w:spacing w:val="-2"/>
        </w:rPr>
        <w:t>e</w:t>
      </w:r>
      <w:r w:rsidRPr="00817296">
        <w:t>ss</w:t>
      </w:r>
      <w:r w:rsidRPr="00817296">
        <w:rPr>
          <w:spacing w:val="-2"/>
        </w:rPr>
        <w:t>a</w:t>
      </w:r>
      <w:r w:rsidRPr="00817296">
        <w:rPr>
          <w:spacing w:val="1"/>
        </w:rPr>
        <w:t>r</w:t>
      </w:r>
      <w:r w:rsidRPr="00817296">
        <w:rPr>
          <w:spacing w:val="-2"/>
        </w:rPr>
        <w:t>y</w:t>
      </w:r>
      <w:r w:rsidRPr="00817296">
        <w:t>, and</w:t>
      </w:r>
      <w:r w:rsidRPr="00817296">
        <w:rPr>
          <w:spacing w:val="-2"/>
        </w:rPr>
        <w:t xml:space="preserve"> </w:t>
      </w:r>
      <w:r w:rsidRPr="00817296">
        <w:t>cash</w:t>
      </w:r>
      <w:r w:rsidRPr="00817296">
        <w:rPr>
          <w:spacing w:val="-2"/>
        </w:rPr>
        <w:t xml:space="preserve"> </w:t>
      </w:r>
      <w:r w:rsidRPr="00817296">
        <w:rPr>
          <w:spacing w:val="1"/>
        </w:rPr>
        <w:t>i</w:t>
      </w:r>
      <w:r w:rsidRPr="00817296">
        <w:t>n</w:t>
      </w:r>
      <w:r w:rsidRPr="00817296">
        <w:rPr>
          <w:spacing w:val="-2"/>
        </w:rPr>
        <w:t>c</w:t>
      </w:r>
      <w:r w:rsidRPr="00817296">
        <w:t>en</w:t>
      </w:r>
      <w:r w:rsidRPr="00817296">
        <w:rPr>
          <w:spacing w:val="-1"/>
        </w:rPr>
        <w:t>t</w:t>
      </w:r>
      <w:r w:rsidRPr="00817296">
        <w:rPr>
          <w:spacing w:val="1"/>
        </w:rPr>
        <w:t>i</w:t>
      </w:r>
      <w:r w:rsidRPr="00817296">
        <w:rPr>
          <w:spacing w:val="-2"/>
        </w:rPr>
        <w:t>v</w:t>
      </w:r>
      <w:r w:rsidRPr="00817296">
        <w:t>es</w:t>
      </w:r>
      <w:r w:rsidRPr="00817296">
        <w:rPr>
          <w:spacing w:val="1"/>
        </w:rPr>
        <w:t xml:space="preserve"> </w:t>
      </w:r>
      <w:r w:rsidRPr="00817296">
        <w:rPr>
          <w:spacing w:val="-2"/>
        </w:rPr>
        <w:t>a</w:t>
      </w:r>
      <w:r w:rsidRPr="00817296">
        <w:t>t</w:t>
      </w:r>
      <w:r w:rsidRPr="00817296">
        <w:rPr>
          <w:spacing w:val="1"/>
        </w:rPr>
        <w:t xml:space="preserve"> </w:t>
      </w:r>
      <w:r w:rsidRPr="00817296">
        <w:rPr>
          <w:spacing w:val="-2"/>
        </w:rPr>
        <w:t>k</w:t>
      </w:r>
      <w:r w:rsidRPr="00817296">
        <w:t>ey</w:t>
      </w:r>
      <w:r w:rsidRPr="00817296">
        <w:rPr>
          <w:spacing w:val="-2"/>
        </w:rPr>
        <w:t xml:space="preserve"> </w:t>
      </w:r>
      <w:r w:rsidRPr="00817296">
        <w:t>s</w:t>
      </w:r>
      <w:r w:rsidRPr="00817296">
        <w:rPr>
          <w:spacing w:val="1"/>
        </w:rPr>
        <w:t>t</w:t>
      </w:r>
      <w:r w:rsidRPr="00817296">
        <w:t>a</w:t>
      </w:r>
      <w:r w:rsidRPr="00817296">
        <w:rPr>
          <w:spacing w:val="-2"/>
        </w:rPr>
        <w:t>g</w:t>
      </w:r>
      <w:r w:rsidRPr="00817296">
        <w:t xml:space="preserve">es. </w:t>
      </w:r>
      <w:r w:rsidR="002167C6">
        <w:t>An additional option of using mail-back paper questionnaires was initially considered. This option was rejected because paper questionnaires cannot control for the completion of all data elements, or the range of responses. Such internal data checks are possible in web-based and telephone data retrieval modes.</w:t>
      </w:r>
    </w:p>
    <w:p w:rsidR="002167C6" w:rsidRDefault="002167C6" w:rsidP="00E10F2D">
      <w:pPr>
        <w:spacing w:before="74"/>
        <w:ind w:right="-20"/>
      </w:pPr>
    </w:p>
    <w:p w:rsidR="00E10F2D" w:rsidRPr="00817296" w:rsidRDefault="00E10F2D" w:rsidP="00E10F2D">
      <w:pPr>
        <w:spacing w:before="74"/>
        <w:ind w:right="-20"/>
      </w:pPr>
      <w:r w:rsidRPr="00817296">
        <w:t>M</w:t>
      </w:r>
      <w:r w:rsidRPr="00817296">
        <w:rPr>
          <w:spacing w:val="-2"/>
        </w:rPr>
        <w:t>o</w:t>
      </w:r>
      <w:r w:rsidRPr="00817296">
        <w:t>st</w:t>
      </w:r>
      <w:r w:rsidRPr="00817296">
        <w:rPr>
          <w:spacing w:val="-1"/>
        </w:rPr>
        <w:t xml:space="preserve"> </w:t>
      </w:r>
      <w:r w:rsidRPr="00817296">
        <w:rPr>
          <w:spacing w:val="1"/>
        </w:rPr>
        <w:t>r</w:t>
      </w:r>
      <w:r w:rsidRPr="00817296">
        <w:t>e</w:t>
      </w:r>
      <w:r w:rsidRPr="00817296">
        <w:rPr>
          <w:spacing w:val="-2"/>
        </w:rPr>
        <w:t>g</w:t>
      </w:r>
      <w:r w:rsidRPr="00817296">
        <w:rPr>
          <w:spacing w:val="1"/>
        </w:rPr>
        <w:t>i</w:t>
      </w:r>
      <w:r w:rsidRPr="00817296">
        <w:t>on</w:t>
      </w:r>
      <w:r w:rsidRPr="00817296">
        <w:rPr>
          <w:spacing w:val="-2"/>
        </w:rPr>
        <w:t>a</w:t>
      </w:r>
      <w:r w:rsidRPr="00817296">
        <w:t>l</w:t>
      </w:r>
      <w:r w:rsidRPr="00817296">
        <w:rPr>
          <w:spacing w:val="1"/>
        </w:rPr>
        <w:t xml:space="preserve"> </w:t>
      </w:r>
      <w:r w:rsidRPr="00817296">
        <w:t>h</w:t>
      </w:r>
      <w:r w:rsidRPr="00817296">
        <w:rPr>
          <w:spacing w:val="-2"/>
        </w:rPr>
        <w:t>o</w:t>
      </w:r>
      <w:r w:rsidRPr="00817296">
        <w:t>use</w:t>
      </w:r>
      <w:r w:rsidRPr="00817296">
        <w:rPr>
          <w:spacing w:val="-2"/>
        </w:rPr>
        <w:t>h</w:t>
      </w:r>
      <w:r w:rsidRPr="00817296">
        <w:t>o</w:t>
      </w:r>
      <w:r w:rsidRPr="00817296">
        <w:rPr>
          <w:spacing w:val="-1"/>
        </w:rPr>
        <w:t>l</w:t>
      </w:r>
      <w:r w:rsidRPr="00817296">
        <w:t xml:space="preserve">d </w:t>
      </w:r>
      <w:r w:rsidRPr="00817296">
        <w:rPr>
          <w:spacing w:val="1"/>
        </w:rPr>
        <w:t>t</w:t>
      </w:r>
      <w:r w:rsidRPr="00817296">
        <w:rPr>
          <w:spacing w:val="-2"/>
        </w:rPr>
        <w:t>r</w:t>
      </w:r>
      <w:r w:rsidRPr="00817296">
        <w:t>a</w:t>
      </w:r>
      <w:r w:rsidRPr="00817296">
        <w:rPr>
          <w:spacing w:val="-2"/>
        </w:rPr>
        <w:t>v</w:t>
      </w:r>
      <w:r w:rsidRPr="00817296">
        <w:t>el</w:t>
      </w:r>
      <w:r w:rsidRPr="00817296">
        <w:rPr>
          <w:spacing w:val="1"/>
        </w:rPr>
        <w:t xml:space="preserve"> </w:t>
      </w:r>
      <w:r w:rsidRPr="00817296">
        <w:t>s</w:t>
      </w:r>
      <w:r w:rsidRPr="00817296">
        <w:rPr>
          <w:spacing w:val="-2"/>
        </w:rPr>
        <w:t>u</w:t>
      </w:r>
      <w:r w:rsidRPr="00817296">
        <w:rPr>
          <w:spacing w:val="1"/>
        </w:rPr>
        <w:t>r</w:t>
      </w:r>
      <w:r w:rsidRPr="00817296">
        <w:rPr>
          <w:spacing w:val="-2"/>
        </w:rPr>
        <w:t>v</w:t>
      </w:r>
      <w:r w:rsidRPr="00817296">
        <w:t>e</w:t>
      </w:r>
      <w:r w:rsidRPr="00817296">
        <w:rPr>
          <w:spacing w:val="-2"/>
        </w:rPr>
        <w:t>y</w:t>
      </w:r>
      <w:r w:rsidRPr="00817296">
        <w:t>s</w:t>
      </w:r>
      <w:r w:rsidRPr="00817296">
        <w:rPr>
          <w:spacing w:val="1"/>
        </w:rPr>
        <w:t xml:space="preserve"> </w:t>
      </w:r>
      <w:r w:rsidRPr="00817296">
        <w:t>ha</w:t>
      </w:r>
      <w:r w:rsidRPr="00817296">
        <w:rPr>
          <w:spacing w:val="-2"/>
        </w:rPr>
        <w:t>v</w:t>
      </w:r>
      <w:r w:rsidRPr="00817296">
        <w:t>e adop</w:t>
      </w:r>
      <w:r w:rsidRPr="00817296">
        <w:rPr>
          <w:spacing w:val="-1"/>
        </w:rPr>
        <w:t>t</w:t>
      </w:r>
      <w:r w:rsidRPr="00817296">
        <w:t>ed an</w:t>
      </w:r>
      <w:r w:rsidRPr="00817296">
        <w:rPr>
          <w:spacing w:val="-2"/>
        </w:rPr>
        <w:t xml:space="preserve"> </w:t>
      </w:r>
      <w:r w:rsidRPr="00817296">
        <w:t>ap</w:t>
      </w:r>
      <w:r w:rsidRPr="00817296">
        <w:rPr>
          <w:spacing w:val="-2"/>
        </w:rPr>
        <w:t>p</w:t>
      </w:r>
      <w:r w:rsidRPr="00817296">
        <w:rPr>
          <w:spacing w:val="1"/>
        </w:rPr>
        <w:t>r</w:t>
      </w:r>
      <w:r w:rsidRPr="00817296">
        <w:t>oach</w:t>
      </w:r>
      <w:r w:rsidRPr="00817296">
        <w:rPr>
          <w:spacing w:val="-2"/>
        </w:rPr>
        <w:t xml:space="preserve"> </w:t>
      </w:r>
      <w:r w:rsidRPr="00817296">
        <w:rPr>
          <w:spacing w:val="1"/>
        </w:rPr>
        <w:t>t</w:t>
      </w:r>
      <w:r w:rsidRPr="00817296">
        <w:rPr>
          <w:spacing w:val="-2"/>
        </w:rPr>
        <w:t>h</w:t>
      </w:r>
      <w:r w:rsidRPr="00817296">
        <w:t>at</w:t>
      </w:r>
      <w:r w:rsidRPr="00817296">
        <w:rPr>
          <w:spacing w:val="-1"/>
        </w:rPr>
        <w:t xml:space="preserve"> </w:t>
      </w:r>
      <w:r w:rsidRPr="00817296">
        <w:rPr>
          <w:spacing w:val="1"/>
        </w:rPr>
        <w:t>i</w:t>
      </w:r>
      <w:r w:rsidRPr="00817296">
        <w:rPr>
          <w:spacing w:val="-2"/>
        </w:rPr>
        <w:t>n</w:t>
      </w:r>
      <w:r w:rsidRPr="00817296">
        <w:t>c</w:t>
      </w:r>
      <w:r w:rsidRPr="00817296">
        <w:rPr>
          <w:spacing w:val="1"/>
        </w:rPr>
        <w:t>l</w:t>
      </w:r>
      <w:r w:rsidRPr="00817296">
        <w:t>ud</w:t>
      </w:r>
      <w:r w:rsidRPr="00817296">
        <w:rPr>
          <w:spacing w:val="-2"/>
        </w:rPr>
        <w:t>e</w:t>
      </w:r>
      <w:r w:rsidRPr="00817296">
        <w:t>s</w:t>
      </w:r>
      <w:r w:rsidRPr="00817296">
        <w:rPr>
          <w:spacing w:val="1"/>
        </w:rPr>
        <w:t xml:space="preserve"> </w:t>
      </w:r>
      <w:r w:rsidRPr="00817296">
        <w:t xml:space="preserve">an </w:t>
      </w:r>
      <w:r w:rsidRPr="00817296">
        <w:rPr>
          <w:spacing w:val="-1"/>
        </w:rPr>
        <w:t>AB</w:t>
      </w:r>
      <w:r w:rsidRPr="00817296">
        <w:t>S</w:t>
      </w:r>
      <w:r w:rsidRPr="00817296">
        <w:rPr>
          <w:spacing w:val="-3"/>
        </w:rPr>
        <w:t xml:space="preserve"> </w:t>
      </w:r>
      <w:r w:rsidRPr="00817296">
        <w:rPr>
          <w:spacing w:val="1"/>
        </w:rPr>
        <w:t>fr</w:t>
      </w:r>
      <w:r w:rsidRPr="00817296">
        <w:t>a</w:t>
      </w:r>
      <w:r w:rsidRPr="00817296">
        <w:rPr>
          <w:spacing w:val="-4"/>
        </w:rPr>
        <w:t>m</w:t>
      </w:r>
      <w:r w:rsidRPr="00817296">
        <w:t xml:space="preserve">e, </w:t>
      </w:r>
      <w:r w:rsidRPr="00817296">
        <w:rPr>
          <w:spacing w:val="-4"/>
        </w:rPr>
        <w:t>m</w:t>
      </w:r>
      <w:r w:rsidRPr="00817296">
        <w:t>a</w:t>
      </w:r>
      <w:r w:rsidRPr="00817296">
        <w:rPr>
          <w:spacing w:val="1"/>
        </w:rPr>
        <w:t>il</w:t>
      </w:r>
      <w:r w:rsidRPr="00817296">
        <w:rPr>
          <w:spacing w:val="-1"/>
        </w:rPr>
        <w:t>i</w:t>
      </w:r>
      <w:r w:rsidRPr="00817296">
        <w:t>ng</w:t>
      </w:r>
      <w:r w:rsidRPr="00817296">
        <w:rPr>
          <w:spacing w:val="-2"/>
        </w:rPr>
        <w:t xml:space="preserve"> </w:t>
      </w:r>
      <w:r w:rsidRPr="00817296">
        <w:rPr>
          <w:spacing w:val="1"/>
        </w:rPr>
        <w:t>l</w:t>
      </w:r>
      <w:r w:rsidRPr="00817296">
        <w:t>e</w:t>
      </w:r>
      <w:r w:rsidRPr="00817296">
        <w:rPr>
          <w:spacing w:val="1"/>
        </w:rPr>
        <w:t>t</w:t>
      </w:r>
      <w:r w:rsidRPr="00817296">
        <w:rPr>
          <w:spacing w:val="-1"/>
        </w:rPr>
        <w:t>t</w:t>
      </w:r>
      <w:r w:rsidRPr="00817296">
        <w:t>e</w:t>
      </w:r>
      <w:r w:rsidRPr="00817296">
        <w:rPr>
          <w:spacing w:val="1"/>
        </w:rPr>
        <w:t>r</w:t>
      </w:r>
      <w:r w:rsidRPr="00817296">
        <w:t>s</w:t>
      </w:r>
      <w:r w:rsidRPr="00817296">
        <w:rPr>
          <w:spacing w:val="-2"/>
        </w:rPr>
        <w:t xml:space="preserve"> </w:t>
      </w:r>
      <w:r w:rsidRPr="00817296">
        <w:rPr>
          <w:spacing w:val="1"/>
        </w:rPr>
        <w:t>t</w:t>
      </w:r>
      <w:r w:rsidRPr="00817296">
        <w:rPr>
          <w:spacing w:val="-2"/>
        </w:rPr>
        <w:t>h</w:t>
      </w:r>
      <w:r w:rsidRPr="00817296">
        <w:t>at</w:t>
      </w:r>
      <w:r w:rsidRPr="00817296">
        <w:rPr>
          <w:spacing w:val="1"/>
        </w:rPr>
        <w:t xml:space="preserve"> </w:t>
      </w:r>
      <w:r w:rsidRPr="00817296">
        <w:rPr>
          <w:spacing w:val="-2"/>
        </w:rPr>
        <w:t>e</w:t>
      </w:r>
      <w:r w:rsidRPr="00817296">
        <w:t>nco</w:t>
      </w:r>
      <w:r w:rsidRPr="00817296">
        <w:rPr>
          <w:spacing w:val="-2"/>
        </w:rPr>
        <w:t>u</w:t>
      </w:r>
      <w:r w:rsidRPr="00817296">
        <w:rPr>
          <w:spacing w:val="1"/>
        </w:rPr>
        <w:t>r</w:t>
      </w:r>
      <w:r w:rsidRPr="00817296">
        <w:t>a</w:t>
      </w:r>
      <w:r w:rsidRPr="00817296">
        <w:rPr>
          <w:spacing w:val="-2"/>
        </w:rPr>
        <w:t>g</w:t>
      </w:r>
      <w:r w:rsidRPr="00817296">
        <w:t>e</w:t>
      </w:r>
      <w:r w:rsidRPr="00817296">
        <w:rPr>
          <w:spacing w:val="1"/>
        </w:rPr>
        <w:t xml:space="preserve"> r</w:t>
      </w:r>
      <w:r w:rsidRPr="00817296">
        <w:rPr>
          <w:spacing w:val="-2"/>
        </w:rPr>
        <w:t>e</w:t>
      </w:r>
      <w:r w:rsidRPr="00817296">
        <w:t>c</w:t>
      </w:r>
      <w:r w:rsidRPr="00817296">
        <w:rPr>
          <w:spacing w:val="1"/>
        </w:rPr>
        <w:t>i</w:t>
      </w:r>
      <w:r w:rsidRPr="00817296">
        <w:rPr>
          <w:spacing w:val="-2"/>
        </w:rPr>
        <w:t>p</w:t>
      </w:r>
      <w:r w:rsidRPr="00817296">
        <w:rPr>
          <w:spacing w:val="1"/>
        </w:rPr>
        <w:t>i</w:t>
      </w:r>
      <w:r w:rsidRPr="00817296">
        <w:t>e</w:t>
      </w:r>
      <w:r w:rsidRPr="00817296">
        <w:rPr>
          <w:spacing w:val="-2"/>
        </w:rPr>
        <w:t>n</w:t>
      </w:r>
      <w:r w:rsidRPr="00817296">
        <w:rPr>
          <w:spacing w:val="1"/>
        </w:rPr>
        <w:t>t</w:t>
      </w:r>
      <w:r w:rsidRPr="00817296">
        <w:t>s</w:t>
      </w:r>
      <w:r w:rsidRPr="00817296">
        <w:rPr>
          <w:spacing w:val="1"/>
        </w:rPr>
        <w:t xml:space="preserve"> </w:t>
      </w:r>
      <w:r w:rsidRPr="00817296">
        <w:rPr>
          <w:spacing w:val="-1"/>
        </w:rPr>
        <w:t>t</w:t>
      </w:r>
      <w:r w:rsidRPr="00817296">
        <w:t xml:space="preserve">o </w:t>
      </w:r>
      <w:r w:rsidRPr="00817296">
        <w:rPr>
          <w:spacing w:val="-2"/>
        </w:rPr>
        <w:t>r</w:t>
      </w:r>
      <w:r w:rsidRPr="00817296">
        <w:t>ec</w:t>
      </w:r>
      <w:r w:rsidRPr="00817296">
        <w:rPr>
          <w:spacing w:val="1"/>
        </w:rPr>
        <w:t>r</w:t>
      </w:r>
      <w:r w:rsidRPr="00817296">
        <w:rPr>
          <w:spacing w:val="-2"/>
        </w:rPr>
        <w:t>u</w:t>
      </w:r>
      <w:r w:rsidRPr="00817296">
        <w:rPr>
          <w:spacing w:val="-1"/>
        </w:rPr>
        <w:t>i</w:t>
      </w:r>
      <w:r w:rsidRPr="00817296">
        <w:t>t on</w:t>
      </w:r>
      <w:r w:rsidRPr="00817296">
        <w:rPr>
          <w:spacing w:val="1"/>
        </w:rPr>
        <w:t>l</w:t>
      </w:r>
      <w:r w:rsidRPr="00817296">
        <w:rPr>
          <w:spacing w:val="-1"/>
        </w:rPr>
        <w:t>i</w:t>
      </w:r>
      <w:r w:rsidRPr="00817296">
        <w:t xml:space="preserve">ne, </w:t>
      </w:r>
      <w:r w:rsidRPr="00817296">
        <w:rPr>
          <w:spacing w:val="-4"/>
        </w:rPr>
        <w:t>m</w:t>
      </w:r>
      <w:r w:rsidRPr="00817296">
        <w:t>u</w:t>
      </w:r>
      <w:r w:rsidRPr="00817296">
        <w:rPr>
          <w:spacing w:val="1"/>
        </w:rPr>
        <w:t>lt</w:t>
      </w:r>
      <w:r w:rsidRPr="00817296">
        <w:rPr>
          <w:spacing w:val="-1"/>
        </w:rPr>
        <w:t>i</w:t>
      </w:r>
      <w:r w:rsidRPr="00817296">
        <w:t>p</w:t>
      </w:r>
      <w:r w:rsidRPr="00817296">
        <w:rPr>
          <w:spacing w:val="1"/>
        </w:rPr>
        <w:t>l</w:t>
      </w:r>
      <w:r w:rsidRPr="00817296">
        <w:t>e</w:t>
      </w:r>
      <w:r w:rsidRPr="00817296">
        <w:rPr>
          <w:spacing w:val="-2"/>
        </w:rPr>
        <w:t xml:space="preserve"> </w:t>
      </w:r>
      <w:r w:rsidRPr="00817296">
        <w:rPr>
          <w:spacing w:val="1"/>
        </w:rPr>
        <w:t>r</w:t>
      </w:r>
      <w:r w:rsidRPr="00817296">
        <w:t>e</w:t>
      </w:r>
      <w:r w:rsidRPr="00817296">
        <w:rPr>
          <w:spacing w:val="-4"/>
        </w:rPr>
        <w:t>m</w:t>
      </w:r>
      <w:r w:rsidRPr="00817296">
        <w:rPr>
          <w:spacing w:val="1"/>
        </w:rPr>
        <w:t>i</w:t>
      </w:r>
      <w:r w:rsidRPr="00817296">
        <w:t>nd</w:t>
      </w:r>
      <w:r w:rsidRPr="00817296">
        <w:rPr>
          <w:spacing w:val="-2"/>
        </w:rPr>
        <w:t>e</w:t>
      </w:r>
      <w:r w:rsidRPr="00817296">
        <w:t>r</w:t>
      </w:r>
      <w:r w:rsidRPr="00817296">
        <w:rPr>
          <w:spacing w:val="1"/>
        </w:rPr>
        <w:t xml:space="preserve"> </w:t>
      </w:r>
      <w:r w:rsidRPr="00817296">
        <w:rPr>
          <w:spacing w:val="-2"/>
        </w:rPr>
        <w:t>p</w:t>
      </w:r>
      <w:r w:rsidRPr="00817296">
        <w:t>os</w:t>
      </w:r>
      <w:r w:rsidRPr="00817296">
        <w:rPr>
          <w:spacing w:val="1"/>
        </w:rPr>
        <w:t>t</w:t>
      </w:r>
      <w:r w:rsidRPr="00817296">
        <w:rPr>
          <w:spacing w:val="-2"/>
        </w:rPr>
        <w:t>c</w:t>
      </w:r>
      <w:r w:rsidRPr="00817296">
        <w:t>a</w:t>
      </w:r>
      <w:r w:rsidRPr="00817296">
        <w:rPr>
          <w:spacing w:val="1"/>
        </w:rPr>
        <w:t>r</w:t>
      </w:r>
      <w:r w:rsidRPr="00817296">
        <w:t xml:space="preserve">d </w:t>
      </w:r>
      <w:r w:rsidRPr="00817296">
        <w:rPr>
          <w:spacing w:val="-4"/>
        </w:rPr>
        <w:t>m</w:t>
      </w:r>
      <w:r w:rsidRPr="00817296">
        <w:t>a</w:t>
      </w:r>
      <w:r w:rsidRPr="00817296">
        <w:rPr>
          <w:spacing w:val="1"/>
        </w:rPr>
        <w:t>i</w:t>
      </w:r>
      <w:r w:rsidRPr="00817296">
        <w:rPr>
          <w:spacing w:val="-1"/>
        </w:rPr>
        <w:t>l</w:t>
      </w:r>
      <w:r w:rsidRPr="00817296">
        <w:rPr>
          <w:spacing w:val="1"/>
        </w:rPr>
        <w:t>i</w:t>
      </w:r>
      <w:r w:rsidRPr="00817296">
        <w:t>n</w:t>
      </w:r>
      <w:r w:rsidRPr="00817296">
        <w:rPr>
          <w:spacing w:val="-2"/>
        </w:rPr>
        <w:t>g</w:t>
      </w:r>
      <w:r w:rsidRPr="00817296">
        <w:rPr>
          <w:spacing w:val="-1"/>
        </w:rPr>
        <w:t>s</w:t>
      </w:r>
      <w:r w:rsidRPr="00817296">
        <w:t xml:space="preserve">, and </w:t>
      </w:r>
      <w:r w:rsidRPr="00817296">
        <w:rPr>
          <w:spacing w:val="-2"/>
        </w:rPr>
        <w:t>v</w:t>
      </w:r>
      <w:r w:rsidRPr="00817296">
        <w:t>a</w:t>
      </w:r>
      <w:r w:rsidRPr="00817296">
        <w:rPr>
          <w:spacing w:val="1"/>
        </w:rPr>
        <w:t>r</w:t>
      </w:r>
      <w:r w:rsidRPr="00817296">
        <w:rPr>
          <w:spacing w:val="-2"/>
        </w:rPr>
        <w:t>y</w:t>
      </w:r>
      <w:r w:rsidRPr="00817296">
        <w:rPr>
          <w:spacing w:val="-1"/>
        </w:rPr>
        <w:t>i</w:t>
      </w:r>
      <w:r w:rsidRPr="00817296">
        <w:t>ng</w:t>
      </w:r>
      <w:r w:rsidRPr="00817296">
        <w:rPr>
          <w:spacing w:val="-2"/>
        </w:rPr>
        <w:t xml:space="preserve"> </w:t>
      </w:r>
      <w:r w:rsidRPr="00817296">
        <w:rPr>
          <w:spacing w:val="1"/>
        </w:rPr>
        <w:t>l</w:t>
      </w:r>
      <w:r w:rsidRPr="00817296">
        <w:t>e</w:t>
      </w:r>
      <w:r w:rsidRPr="00817296">
        <w:rPr>
          <w:spacing w:val="-2"/>
        </w:rPr>
        <w:t>v</w:t>
      </w:r>
      <w:r w:rsidRPr="00817296">
        <w:t>e</w:t>
      </w:r>
      <w:r w:rsidRPr="00817296">
        <w:rPr>
          <w:spacing w:val="1"/>
        </w:rPr>
        <w:t>l</w:t>
      </w:r>
      <w:r w:rsidRPr="00817296">
        <w:t>s</w:t>
      </w:r>
      <w:r w:rsidRPr="00817296">
        <w:rPr>
          <w:spacing w:val="1"/>
        </w:rPr>
        <w:t xml:space="preserve"> </w:t>
      </w:r>
      <w:r w:rsidRPr="00817296">
        <w:t>of</w:t>
      </w:r>
      <w:r w:rsidRPr="00817296">
        <w:rPr>
          <w:spacing w:val="-1"/>
        </w:rPr>
        <w:t xml:space="preserve"> </w:t>
      </w:r>
      <w:r w:rsidRPr="00817296">
        <w:rPr>
          <w:spacing w:val="1"/>
        </w:rPr>
        <w:t>t</w:t>
      </w:r>
      <w:r w:rsidRPr="00817296">
        <w:rPr>
          <w:spacing w:val="-2"/>
        </w:rPr>
        <w:t>e</w:t>
      </w:r>
      <w:r w:rsidRPr="00817296">
        <w:rPr>
          <w:spacing w:val="1"/>
        </w:rPr>
        <w:t>l</w:t>
      </w:r>
      <w:r w:rsidRPr="00817296">
        <w:t>ep</w:t>
      </w:r>
      <w:r w:rsidRPr="00817296">
        <w:rPr>
          <w:spacing w:val="-2"/>
        </w:rPr>
        <w:t>h</w:t>
      </w:r>
      <w:r w:rsidRPr="00817296">
        <w:t>one</w:t>
      </w:r>
      <w:r w:rsidRPr="00817296">
        <w:rPr>
          <w:spacing w:val="-2"/>
        </w:rPr>
        <w:t xml:space="preserve"> </w:t>
      </w:r>
      <w:r w:rsidRPr="00817296">
        <w:rPr>
          <w:spacing w:val="1"/>
        </w:rPr>
        <w:t>f</w:t>
      </w:r>
      <w:r w:rsidRPr="00817296">
        <w:t>o</w:t>
      </w:r>
      <w:r w:rsidRPr="00817296">
        <w:rPr>
          <w:spacing w:val="-1"/>
        </w:rPr>
        <w:t>l</w:t>
      </w:r>
      <w:r w:rsidRPr="00817296">
        <w:rPr>
          <w:spacing w:val="1"/>
        </w:rPr>
        <w:t>l</w:t>
      </w:r>
      <w:r w:rsidRPr="00817296">
        <w:rPr>
          <w:spacing w:val="-2"/>
        </w:rPr>
        <w:t>o</w:t>
      </w:r>
      <w:r w:rsidRPr="00817296">
        <w:rPr>
          <w:spacing w:val="-1"/>
        </w:rPr>
        <w:t>w</w:t>
      </w:r>
      <w:r w:rsidRPr="00817296">
        <w:t xml:space="preserve"> up. </w:t>
      </w:r>
      <w:r w:rsidRPr="00817296">
        <w:rPr>
          <w:spacing w:val="2"/>
        </w:rPr>
        <w:t>T</w:t>
      </w:r>
      <w:r w:rsidRPr="00817296">
        <w:rPr>
          <w:spacing w:val="-2"/>
        </w:rPr>
        <w:t>h</w:t>
      </w:r>
      <w:r w:rsidRPr="00817296">
        <w:rPr>
          <w:spacing w:val="1"/>
        </w:rPr>
        <w:t>i</w:t>
      </w:r>
      <w:r w:rsidRPr="00817296">
        <w:t>s</w:t>
      </w:r>
      <w:r w:rsidRPr="00817296">
        <w:rPr>
          <w:spacing w:val="-2"/>
        </w:rPr>
        <w:t xml:space="preserve"> </w:t>
      </w:r>
      <w:r w:rsidRPr="00817296">
        <w:t>app</w:t>
      </w:r>
      <w:r w:rsidRPr="00817296">
        <w:rPr>
          <w:spacing w:val="-2"/>
        </w:rPr>
        <w:t>r</w:t>
      </w:r>
      <w:r w:rsidRPr="00817296">
        <w:t>oach</w:t>
      </w:r>
      <w:r w:rsidRPr="00817296">
        <w:rPr>
          <w:spacing w:val="-2"/>
        </w:rPr>
        <w:t xml:space="preserve"> </w:t>
      </w:r>
      <w:r w:rsidRPr="00817296">
        <w:rPr>
          <w:spacing w:val="1"/>
        </w:rPr>
        <w:t>i</w:t>
      </w:r>
      <w:r w:rsidRPr="00817296">
        <w:t xml:space="preserve">s </w:t>
      </w:r>
      <w:r w:rsidRPr="00817296">
        <w:rPr>
          <w:spacing w:val="-1"/>
        </w:rPr>
        <w:t>w</w:t>
      </w:r>
      <w:r w:rsidRPr="00817296">
        <w:t>e</w:t>
      </w:r>
      <w:r w:rsidRPr="00817296">
        <w:rPr>
          <w:spacing w:val="1"/>
        </w:rPr>
        <w:t>ll</w:t>
      </w:r>
      <w:r w:rsidRPr="00817296">
        <w:rPr>
          <w:spacing w:val="-4"/>
        </w:rPr>
        <w:t>-</w:t>
      </w:r>
      <w:r w:rsidRPr="00817296">
        <w:t>su</w:t>
      </w:r>
      <w:r w:rsidRPr="00817296">
        <w:rPr>
          <w:spacing w:val="1"/>
        </w:rPr>
        <w:t>it</w:t>
      </w:r>
      <w:r w:rsidRPr="00817296">
        <w:rPr>
          <w:spacing w:val="-2"/>
        </w:rPr>
        <w:t>e</w:t>
      </w:r>
      <w:r w:rsidRPr="00817296">
        <w:t xml:space="preserve">d </w:t>
      </w:r>
      <w:r w:rsidRPr="00817296">
        <w:rPr>
          <w:spacing w:val="1"/>
        </w:rPr>
        <w:t>f</w:t>
      </w:r>
      <w:r w:rsidRPr="00817296">
        <w:rPr>
          <w:spacing w:val="-2"/>
        </w:rPr>
        <w:t>o</w:t>
      </w:r>
      <w:r w:rsidRPr="00817296">
        <w:t>r</w:t>
      </w:r>
      <w:r w:rsidRPr="00817296">
        <w:rPr>
          <w:spacing w:val="1"/>
        </w:rPr>
        <w:t xml:space="preserve"> </w:t>
      </w:r>
      <w:r w:rsidRPr="00817296">
        <w:rPr>
          <w:spacing w:val="-2"/>
        </w:rPr>
        <w:t>s</w:t>
      </w:r>
      <w:r w:rsidRPr="00817296">
        <w:rPr>
          <w:spacing w:val="1"/>
        </w:rPr>
        <w:t>t</w:t>
      </w:r>
      <w:r w:rsidRPr="00817296">
        <w:t>u</w:t>
      </w:r>
      <w:r w:rsidRPr="00817296">
        <w:rPr>
          <w:spacing w:val="-2"/>
        </w:rPr>
        <w:t>d</w:t>
      </w:r>
      <w:r w:rsidRPr="00817296">
        <w:rPr>
          <w:spacing w:val="1"/>
        </w:rPr>
        <w:t>i</w:t>
      </w:r>
      <w:r w:rsidRPr="00817296">
        <w:t>es</w:t>
      </w:r>
      <w:r w:rsidRPr="00817296">
        <w:rPr>
          <w:spacing w:val="1"/>
        </w:rPr>
        <w:t xml:space="preserve"> </w:t>
      </w:r>
      <w:r w:rsidRPr="00817296">
        <w:rPr>
          <w:spacing w:val="-4"/>
        </w:rPr>
        <w:t>w</w:t>
      </w:r>
      <w:r w:rsidRPr="00817296">
        <w:rPr>
          <w:spacing w:val="1"/>
        </w:rPr>
        <w:t>it</w:t>
      </w:r>
      <w:r w:rsidRPr="00817296">
        <w:t>h</w:t>
      </w:r>
      <w:r w:rsidRPr="00817296">
        <w:rPr>
          <w:spacing w:val="-2"/>
        </w:rPr>
        <w:t xml:space="preserve"> </w:t>
      </w:r>
      <w:r w:rsidRPr="00817296">
        <w:t>co</w:t>
      </w:r>
      <w:r w:rsidRPr="00817296">
        <w:rPr>
          <w:spacing w:val="-4"/>
        </w:rPr>
        <w:t>m</w:t>
      </w:r>
      <w:r w:rsidRPr="00817296">
        <w:t>p</w:t>
      </w:r>
      <w:r w:rsidRPr="00817296">
        <w:rPr>
          <w:spacing w:val="1"/>
        </w:rPr>
        <w:t>r</w:t>
      </w:r>
      <w:r w:rsidRPr="00817296">
        <w:t>essed</w:t>
      </w:r>
      <w:r w:rsidRPr="00817296">
        <w:rPr>
          <w:spacing w:val="-2"/>
        </w:rPr>
        <w:t xml:space="preserve"> </w:t>
      </w:r>
      <w:r w:rsidRPr="00817296">
        <w:t>da</w:t>
      </w:r>
      <w:r w:rsidRPr="00817296">
        <w:rPr>
          <w:spacing w:val="-1"/>
        </w:rPr>
        <w:t>t</w:t>
      </w:r>
      <w:r w:rsidRPr="00817296">
        <w:t>a</w:t>
      </w:r>
      <w:r w:rsidRPr="00817296">
        <w:rPr>
          <w:spacing w:val="1"/>
        </w:rPr>
        <w:t xml:space="preserve"> </w:t>
      </w:r>
      <w:r w:rsidRPr="00817296">
        <w:t>c</w:t>
      </w:r>
      <w:r w:rsidRPr="00817296">
        <w:rPr>
          <w:spacing w:val="-2"/>
        </w:rPr>
        <w:t>o</w:t>
      </w:r>
      <w:r w:rsidRPr="00817296">
        <w:rPr>
          <w:spacing w:val="1"/>
        </w:rPr>
        <w:t>l</w:t>
      </w:r>
      <w:r w:rsidRPr="00817296">
        <w:rPr>
          <w:spacing w:val="-1"/>
        </w:rPr>
        <w:t>l</w:t>
      </w:r>
      <w:r w:rsidRPr="00817296">
        <w:t>ec</w:t>
      </w:r>
      <w:r w:rsidRPr="00817296">
        <w:rPr>
          <w:spacing w:val="-1"/>
        </w:rPr>
        <w:t>t</w:t>
      </w:r>
      <w:r w:rsidRPr="00817296">
        <w:rPr>
          <w:spacing w:val="1"/>
        </w:rPr>
        <w:t>i</w:t>
      </w:r>
      <w:r w:rsidRPr="00817296">
        <w:t>on</w:t>
      </w:r>
      <w:r w:rsidRPr="00817296">
        <w:rPr>
          <w:spacing w:val="-2"/>
        </w:rPr>
        <w:t xml:space="preserve"> </w:t>
      </w:r>
      <w:r w:rsidRPr="00817296">
        <w:t>sche</w:t>
      </w:r>
      <w:r w:rsidRPr="00817296">
        <w:rPr>
          <w:spacing w:val="-2"/>
        </w:rPr>
        <w:t>d</w:t>
      </w:r>
      <w:r w:rsidRPr="00817296">
        <w:t>u</w:t>
      </w:r>
      <w:r w:rsidRPr="00817296">
        <w:rPr>
          <w:spacing w:val="1"/>
        </w:rPr>
        <w:t>l</w:t>
      </w:r>
      <w:r w:rsidRPr="00817296">
        <w:rPr>
          <w:spacing w:val="-3"/>
        </w:rPr>
        <w:t>e</w:t>
      </w:r>
      <w:r w:rsidRPr="00817296">
        <w:t>s</w:t>
      </w:r>
      <w:r w:rsidRPr="00817296">
        <w:rPr>
          <w:spacing w:val="1"/>
        </w:rPr>
        <w:t xml:space="preserve"> t</w:t>
      </w:r>
      <w:r w:rsidRPr="00817296">
        <w:rPr>
          <w:spacing w:val="-2"/>
        </w:rPr>
        <w:t>h</w:t>
      </w:r>
      <w:r w:rsidRPr="00817296">
        <w:t>at</w:t>
      </w:r>
      <w:r w:rsidRPr="00817296">
        <w:rPr>
          <w:spacing w:val="-1"/>
        </w:rPr>
        <w:t xml:space="preserve"> </w:t>
      </w:r>
      <w:r w:rsidRPr="00817296">
        <w:t>a</w:t>
      </w:r>
      <w:r w:rsidRPr="00817296">
        <w:rPr>
          <w:spacing w:val="1"/>
        </w:rPr>
        <w:t>r</w:t>
      </w:r>
      <w:r w:rsidRPr="00817296">
        <w:t>e</w:t>
      </w:r>
      <w:r w:rsidRPr="00817296">
        <w:rPr>
          <w:spacing w:val="-2"/>
        </w:rPr>
        <w:t xml:space="preserve"> </w:t>
      </w:r>
      <w:r w:rsidRPr="00817296">
        <w:t>una</w:t>
      </w:r>
      <w:r w:rsidRPr="00817296">
        <w:rPr>
          <w:spacing w:val="-2"/>
        </w:rPr>
        <w:t>b</w:t>
      </w:r>
      <w:r w:rsidRPr="00817296">
        <w:rPr>
          <w:spacing w:val="1"/>
        </w:rPr>
        <w:t>l</w:t>
      </w:r>
      <w:r w:rsidRPr="00817296">
        <w:t>e</w:t>
      </w:r>
      <w:r w:rsidRPr="00817296">
        <w:rPr>
          <w:spacing w:val="-2"/>
        </w:rPr>
        <w:t xml:space="preserve"> </w:t>
      </w:r>
      <w:r w:rsidRPr="00817296">
        <w:rPr>
          <w:spacing w:val="-1"/>
        </w:rPr>
        <w:t>t</w:t>
      </w:r>
      <w:r w:rsidRPr="00817296">
        <w:t>o acco</w:t>
      </w:r>
      <w:r w:rsidRPr="00817296">
        <w:rPr>
          <w:spacing w:val="-4"/>
        </w:rPr>
        <w:t>mm</w:t>
      </w:r>
      <w:r w:rsidRPr="00817296">
        <w:t>oda</w:t>
      </w:r>
      <w:r w:rsidRPr="00817296">
        <w:rPr>
          <w:spacing w:val="1"/>
        </w:rPr>
        <w:t>t</w:t>
      </w:r>
      <w:r w:rsidRPr="00817296">
        <w:t>e</w:t>
      </w:r>
      <w:r w:rsidRPr="00817296">
        <w:rPr>
          <w:spacing w:val="1"/>
        </w:rPr>
        <w:t xml:space="preserve"> t</w:t>
      </w:r>
      <w:r w:rsidRPr="00817296">
        <w:t xml:space="preserve">he </w:t>
      </w:r>
      <w:r w:rsidRPr="00817296">
        <w:rPr>
          <w:spacing w:val="1"/>
        </w:rPr>
        <w:t>l</w:t>
      </w:r>
      <w:r w:rsidRPr="00817296">
        <w:t>on</w:t>
      </w:r>
      <w:r w:rsidRPr="00817296">
        <w:rPr>
          <w:spacing w:val="-2"/>
        </w:rPr>
        <w:t>g</w:t>
      </w:r>
      <w:r w:rsidRPr="00817296">
        <w:t>er</w:t>
      </w:r>
      <w:r w:rsidRPr="00817296">
        <w:rPr>
          <w:spacing w:val="1"/>
        </w:rPr>
        <w:t xml:space="preserve"> </w:t>
      </w:r>
      <w:r w:rsidRPr="00817296">
        <w:rPr>
          <w:spacing w:val="-2"/>
        </w:rPr>
        <w:t>r</w:t>
      </w:r>
      <w:r w:rsidRPr="00817296">
        <w:t>ec</w:t>
      </w:r>
      <w:r w:rsidRPr="00817296">
        <w:rPr>
          <w:spacing w:val="-2"/>
        </w:rPr>
        <w:t>r</w:t>
      </w:r>
      <w:r w:rsidRPr="00817296">
        <w:t>u</w:t>
      </w:r>
      <w:r w:rsidRPr="00817296">
        <w:rPr>
          <w:spacing w:val="-1"/>
        </w:rPr>
        <w:t>i</w:t>
      </w:r>
      <w:r w:rsidRPr="00817296">
        <w:rPr>
          <w:spacing w:val="1"/>
        </w:rPr>
        <w:t>t</w:t>
      </w:r>
      <w:r w:rsidRPr="00817296">
        <w:rPr>
          <w:spacing w:val="-4"/>
        </w:rPr>
        <w:t>m</w:t>
      </w:r>
      <w:r w:rsidRPr="00817296">
        <w:t>ent</w:t>
      </w:r>
      <w:r w:rsidRPr="00817296">
        <w:rPr>
          <w:spacing w:val="1"/>
        </w:rPr>
        <w:t xml:space="preserve"> </w:t>
      </w:r>
      <w:r w:rsidRPr="00817296">
        <w:t>e</w:t>
      </w:r>
      <w:r w:rsidRPr="00817296">
        <w:rPr>
          <w:spacing w:val="-2"/>
        </w:rPr>
        <w:t>f</w:t>
      </w:r>
      <w:r w:rsidRPr="00817296">
        <w:rPr>
          <w:spacing w:val="1"/>
        </w:rPr>
        <w:t>f</w:t>
      </w:r>
      <w:r w:rsidRPr="00817296">
        <w:t>o</w:t>
      </w:r>
      <w:r w:rsidRPr="00817296">
        <w:rPr>
          <w:spacing w:val="-2"/>
        </w:rPr>
        <w:t>r</w:t>
      </w:r>
      <w:r w:rsidRPr="00817296">
        <w:t>t</w:t>
      </w:r>
      <w:r w:rsidRPr="00817296">
        <w:rPr>
          <w:spacing w:val="1"/>
        </w:rPr>
        <w:t xml:space="preserve"> </w:t>
      </w:r>
      <w:r w:rsidRPr="00817296">
        <w:rPr>
          <w:spacing w:val="-1"/>
        </w:rPr>
        <w:t>t</w:t>
      </w:r>
      <w:r w:rsidRPr="00817296">
        <w:rPr>
          <w:spacing w:val="-2"/>
        </w:rPr>
        <w:t>h</w:t>
      </w:r>
      <w:r w:rsidRPr="00817296">
        <w:t>at</w:t>
      </w:r>
      <w:r w:rsidRPr="00817296">
        <w:rPr>
          <w:spacing w:val="1"/>
        </w:rPr>
        <w:t xml:space="preserve"> will be used for the </w:t>
      </w:r>
      <w:r w:rsidRPr="00817296">
        <w:rPr>
          <w:spacing w:val="-1"/>
        </w:rPr>
        <w:t>NH</w:t>
      </w:r>
      <w:r w:rsidRPr="00817296">
        <w:rPr>
          <w:spacing w:val="2"/>
        </w:rPr>
        <w:t>T</w:t>
      </w:r>
      <w:r w:rsidRPr="00817296">
        <w:rPr>
          <w:spacing w:val="-1"/>
        </w:rPr>
        <w:t>S</w:t>
      </w:r>
      <w:r w:rsidRPr="00817296">
        <w:t xml:space="preserve">. </w:t>
      </w:r>
      <w:r w:rsidRPr="00817296">
        <w:rPr>
          <w:spacing w:val="2"/>
        </w:rPr>
        <w:t>T</w:t>
      </w:r>
      <w:r w:rsidRPr="00817296">
        <w:t>he</w:t>
      </w:r>
      <w:r w:rsidRPr="00817296">
        <w:rPr>
          <w:spacing w:val="1"/>
        </w:rPr>
        <w:t xml:space="preserve"> </w:t>
      </w:r>
      <w:r w:rsidRPr="00817296">
        <w:rPr>
          <w:spacing w:val="-1"/>
        </w:rPr>
        <w:t>N</w:t>
      </w:r>
      <w:r w:rsidRPr="00817296">
        <w:rPr>
          <w:spacing w:val="-4"/>
        </w:rPr>
        <w:t>H</w:t>
      </w:r>
      <w:r w:rsidRPr="00817296">
        <w:rPr>
          <w:spacing w:val="2"/>
        </w:rPr>
        <w:t>T</w:t>
      </w:r>
      <w:r w:rsidRPr="00817296">
        <w:t xml:space="preserve">S, </w:t>
      </w:r>
      <w:r w:rsidRPr="00817296">
        <w:rPr>
          <w:spacing w:val="-1"/>
        </w:rPr>
        <w:t>w</w:t>
      </w:r>
      <w:r w:rsidRPr="00817296">
        <w:rPr>
          <w:spacing w:val="1"/>
        </w:rPr>
        <w:t>it</w:t>
      </w:r>
      <w:r w:rsidRPr="00817296">
        <w:t>h</w:t>
      </w:r>
      <w:r w:rsidRPr="00817296">
        <w:rPr>
          <w:spacing w:val="-2"/>
        </w:rPr>
        <w:t xml:space="preserve"> </w:t>
      </w:r>
      <w:r w:rsidRPr="00817296">
        <w:rPr>
          <w:spacing w:val="1"/>
        </w:rPr>
        <w:t>it</w:t>
      </w:r>
      <w:r w:rsidRPr="00817296">
        <w:t>s</w:t>
      </w:r>
      <w:r w:rsidRPr="00817296">
        <w:rPr>
          <w:spacing w:val="-2"/>
        </w:rPr>
        <w:t xml:space="preserve"> </w:t>
      </w:r>
      <w:r w:rsidRPr="00817296">
        <w:t>s</w:t>
      </w:r>
      <w:r w:rsidRPr="00817296">
        <w:rPr>
          <w:spacing w:val="1"/>
        </w:rPr>
        <w:t>i</w:t>
      </w:r>
      <w:r w:rsidRPr="00817296">
        <w:rPr>
          <w:spacing w:val="-2"/>
        </w:rPr>
        <w:t>g</w:t>
      </w:r>
      <w:r w:rsidRPr="00817296">
        <w:t>n</w:t>
      </w:r>
      <w:r w:rsidRPr="00817296">
        <w:rPr>
          <w:spacing w:val="-1"/>
        </w:rPr>
        <w:t>i</w:t>
      </w:r>
      <w:r w:rsidRPr="00817296">
        <w:rPr>
          <w:spacing w:val="1"/>
        </w:rPr>
        <w:t>f</w:t>
      </w:r>
      <w:r w:rsidRPr="00817296">
        <w:rPr>
          <w:spacing w:val="-1"/>
        </w:rPr>
        <w:t>i</w:t>
      </w:r>
      <w:r w:rsidRPr="00817296">
        <w:t>ca</w:t>
      </w:r>
      <w:r w:rsidRPr="00817296">
        <w:rPr>
          <w:spacing w:val="-2"/>
        </w:rPr>
        <w:t>n</w:t>
      </w:r>
      <w:r w:rsidRPr="00817296">
        <w:rPr>
          <w:spacing w:val="1"/>
        </w:rPr>
        <w:t>tl</w:t>
      </w:r>
      <w:r w:rsidRPr="00817296">
        <w:t>y</w:t>
      </w:r>
      <w:r w:rsidRPr="00817296">
        <w:rPr>
          <w:spacing w:val="-2"/>
        </w:rPr>
        <w:t xml:space="preserve"> </w:t>
      </w:r>
      <w:r w:rsidRPr="00817296">
        <w:rPr>
          <w:spacing w:val="1"/>
        </w:rPr>
        <w:t>l</w:t>
      </w:r>
      <w:r w:rsidRPr="00817296">
        <w:t>on</w:t>
      </w:r>
      <w:r w:rsidRPr="00817296">
        <w:rPr>
          <w:spacing w:val="-2"/>
        </w:rPr>
        <w:t>g</w:t>
      </w:r>
      <w:r w:rsidRPr="00817296">
        <w:t>er</w:t>
      </w:r>
      <w:r w:rsidRPr="00817296">
        <w:rPr>
          <w:spacing w:val="-1"/>
        </w:rPr>
        <w:t xml:space="preserve"> </w:t>
      </w:r>
      <w:r w:rsidRPr="00817296">
        <w:rPr>
          <w:spacing w:val="1"/>
        </w:rPr>
        <w:t>fi</w:t>
      </w:r>
      <w:r w:rsidRPr="00817296">
        <w:rPr>
          <w:spacing w:val="-2"/>
        </w:rPr>
        <w:t>e</w:t>
      </w:r>
      <w:r w:rsidRPr="00817296">
        <w:rPr>
          <w:spacing w:val="1"/>
        </w:rPr>
        <w:t>l</w:t>
      </w:r>
      <w:r w:rsidRPr="00817296">
        <w:t xml:space="preserve">d </w:t>
      </w:r>
      <w:r w:rsidRPr="00817296">
        <w:rPr>
          <w:spacing w:val="-2"/>
        </w:rPr>
        <w:t>p</w:t>
      </w:r>
      <w:r w:rsidRPr="00817296">
        <w:t>e</w:t>
      </w:r>
      <w:r w:rsidRPr="00817296">
        <w:rPr>
          <w:spacing w:val="-2"/>
        </w:rPr>
        <w:t>r</w:t>
      </w:r>
      <w:r w:rsidRPr="00817296">
        <w:rPr>
          <w:spacing w:val="1"/>
        </w:rPr>
        <w:t>i</w:t>
      </w:r>
      <w:r w:rsidRPr="00817296">
        <w:t xml:space="preserve">od, </w:t>
      </w:r>
      <w:r w:rsidRPr="00817296">
        <w:rPr>
          <w:spacing w:val="-2"/>
        </w:rPr>
        <w:t>c</w:t>
      </w:r>
      <w:r w:rsidRPr="00817296">
        <w:t xml:space="preserve">an </w:t>
      </w:r>
      <w:r w:rsidRPr="00817296">
        <w:rPr>
          <w:spacing w:val="-2"/>
        </w:rPr>
        <w:t>a</w:t>
      </w:r>
      <w:r w:rsidRPr="00817296">
        <w:t>cco</w:t>
      </w:r>
      <w:r w:rsidRPr="00817296">
        <w:rPr>
          <w:spacing w:val="-1"/>
        </w:rPr>
        <w:t>m</w:t>
      </w:r>
      <w:r w:rsidRPr="00817296">
        <w:rPr>
          <w:spacing w:val="-4"/>
        </w:rPr>
        <w:t>m</w:t>
      </w:r>
      <w:r w:rsidRPr="00817296">
        <w:t>oda</w:t>
      </w:r>
      <w:r w:rsidRPr="00817296">
        <w:rPr>
          <w:spacing w:val="1"/>
        </w:rPr>
        <w:t>t</w:t>
      </w:r>
      <w:r w:rsidRPr="00817296">
        <w:t>e</w:t>
      </w:r>
      <w:r w:rsidRPr="00817296">
        <w:rPr>
          <w:spacing w:val="-3"/>
        </w:rPr>
        <w:t xml:space="preserve"> </w:t>
      </w:r>
      <w:r w:rsidRPr="00817296">
        <w:rPr>
          <w:spacing w:val="1"/>
        </w:rPr>
        <w:t>t</w:t>
      </w:r>
      <w:r w:rsidRPr="00817296">
        <w:t>he</w:t>
      </w:r>
      <w:r w:rsidRPr="00817296">
        <w:rPr>
          <w:spacing w:val="-2"/>
        </w:rPr>
        <w:t xml:space="preserve"> </w:t>
      </w:r>
      <w:r w:rsidRPr="00817296">
        <w:t>un</w:t>
      </w:r>
      <w:r w:rsidRPr="00817296">
        <w:rPr>
          <w:spacing w:val="-1"/>
        </w:rPr>
        <w:t>i</w:t>
      </w:r>
      <w:r w:rsidRPr="00817296">
        <w:t>que</w:t>
      </w:r>
      <w:r w:rsidRPr="00817296">
        <w:rPr>
          <w:spacing w:val="1"/>
        </w:rPr>
        <w:t xml:space="preserve"> </w:t>
      </w:r>
      <w:r w:rsidRPr="00817296">
        <w:rPr>
          <w:spacing w:val="-2"/>
        </w:rPr>
        <w:t>s</w:t>
      </w:r>
      <w:r w:rsidRPr="00817296">
        <w:rPr>
          <w:spacing w:val="1"/>
        </w:rPr>
        <w:t>t</w:t>
      </w:r>
      <w:r w:rsidRPr="00817296">
        <w:rPr>
          <w:spacing w:val="-2"/>
        </w:rPr>
        <w:t>r</w:t>
      </w:r>
      <w:r w:rsidRPr="00817296">
        <w:t>a</w:t>
      </w:r>
      <w:r w:rsidRPr="00817296">
        <w:rPr>
          <w:spacing w:val="-1"/>
        </w:rPr>
        <w:t>t</w:t>
      </w:r>
      <w:r w:rsidRPr="00817296">
        <w:t>e</w:t>
      </w:r>
      <w:r w:rsidRPr="00817296">
        <w:rPr>
          <w:spacing w:val="-2"/>
        </w:rPr>
        <w:t>g</w:t>
      </w:r>
      <w:r w:rsidRPr="00817296">
        <w:t>y</w:t>
      </w:r>
      <w:r w:rsidRPr="00817296">
        <w:rPr>
          <w:spacing w:val="-2"/>
        </w:rPr>
        <w:t xml:space="preserve"> presented in the design of the 2015 survey</w:t>
      </w:r>
      <w:r w:rsidRPr="00817296">
        <w:t xml:space="preserve">.  </w:t>
      </w:r>
      <w:r w:rsidRPr="00817296">
        <w:rPr>
          <w:spacing w:val="-1"/>
        </w:rPr>
        <w:t>B</w:t>
      </w:r>
      <w:r w:rsidRPr="00817296">
        <w:t xml:space="preserve">ased </w:t>
      </w:r>
      <w:r w:rsidRPr="00817296">
        <w:rPr>
          <w:spacing w:val="-2"/>
        </w:rPr>
        <w:t>o</w:t>
      </w:r>
      <w:r w:rsidRPr="00817296">
        <w:t xml:space="preserve">n </w:t>
      </w:r>
      <w:r w:rsidRPr="00817296">
        <w:rPr>
          <w:spacing w:val="1"/>
        </w:rPr>
        <w:t>r</w:t>
      </w:r>
      <w:r w:rsidRPr="00817296">
        <w:rPr>
          <w:spacing w:val="-2"/>
        </w:rPr>
        <w:t>e</w:t>
      </w:r>
      <w:r w:rsidRPr="00817296">
        <w:t>ce</w:t>
      </w:r>
      <w:r w:rsidRPr="00817296">
        <w:rPr>
          <w:spacing w:val="-2"/>
        </w:rPr>
        <w:t>n</w:t>
      </w:r>
      <w:r w:rsidRPr="00817296">
        <w:t>t expe</w:t>
      </w:r>
      <w:r w:rsidRPr="00817296">
        <w:rPr>
          <w:spacing w:val="-2"/>
        </w:rPr>
        <w:t>r</w:t>
      </w:r>
      <w:r w:rsidRPr="00817296">
        <w:rPr>
          <w:spacing w:val="1"/>
        </w:rPr>
        <w:t>i</w:t>
      </w:r>
      <w:r w:rsidRPr="00817296">
        <w:t>e</w:t>
      </w:r>
      <w:r w:rsidRPr="00817296">
        <w:rPr>
          <w:spacing w:val="-2"/>
        </w:rPr>
        <w:t>n</w:t>
      </w:r>
      <w:r w:rsidRPr="00817296">
        <w:t>ce</w:t>
      </w:r>
      <w:r w:rsidRPr="00817296">
        <w:rPr>
          <w:spacing w:val="1"/>
        </w:rPr>
        <w:t xml:space="preserve"> </w:t>
      </w:r>
      <w:r w:rsidRPr="00817296">
        <w:rPr>
          <w:spacing w:val="-1"/>
        </w:rPr>
        <w:t>wi</w:t>
      </w:r>
      <w:r w:rsidRPr="00817296">
        <w:rPr>
          <w:spacing w:val="1"/>
        </w:rPr>
        <w:t>t</w:t>
      </w:r>
      <w:r w:rsidRPr="00817296">
        <w:t>h the prop</w:t>
      </w:r>
      <w:r w:rsidRPr="00817296">
        <w:rPr>
          <w:spacing w:val="-2"/>
        </w:rPr>
        <w:t>os</w:t>
      </w:r>
      <w:r w:rsidRPr="00817296">
        <w:t xml:space="preserve">ed </w:t>
      </w:r>
      <w:r w:rsidRPr="00817296">
        <w:rPr>
          <w:spacing w:val="1"/>
        </w:rPr>
        <w:t>r</w:t>
      </w:r>
      <w:r w:rsidRPr="00817296">
        <w:rPr>
          <w:spacing w:val="-2"/>
        </w:rPr>
        <w:t>e</w:t>
      </w:r>
      <w:r w:rsidRPr="00817296">
        <w:t>c</w:t>
      </w:r>
      <w:r w:rsidRPr="00817296">
        <w:rPr>
          <w:spacing w:val="1"/>
        </w:rPr>
        <w:t>r</w:t>
      </w:r>
      <w:r w:rsidRPr="00817296">
        <w:rPr>
          <w:spacing w:val="-2"/>
        </w:rPr>
        <w:t>u</w:t>
      </w:r>
      <w:r w:rsidRPr="00817296">
        <w:rPr>
          <w:spacing w:val="1"/>
        </w:rPr>
        <w:t>it</w:t>
      </w:r>
      <w:r w:rsidRPr="00817296">
        <w:rPr>
          <w:spacing w:val="-4"/>
        </w:rPr>
        <w:t>m</w:t>
      </w:r>
      <w:r w:rsidRPr="00817296">
        <w:t>ent</w:t>
      </w:r>
      <w:r w:rsidRPr="00817296">
        <w:rPr>
          <w:spacing w:val="1"/>
        </w:rPr>
        <w:t xml:space="preserve"> </w:t>
      </w:r>
      <w:r w:rsidRPr="00817296">
        <w:rPr>
          <w:spacing w:val="-4"/>
        </w:rPr>
        <w:t>m</w:t>
      </w:r>
      <w:r w:rsidRPr="00817296">
        <w:t>e</w:t>
      </w:r>
      <w:r w:rsidRPr="00817296">
        <w:rPr>
          <w:spacing w:val="1"/>
        </w:rPr>
        <w:t>t</w:t>
      </w:r>
      <w:r w:rsidRPr="00817296">
        <w:t>hod</w:t>
      </w:r>
      <w:r w:rsidRPr="00817296">
        <w:rPr>
          <w:spacing w:val="-2"/>
        </w:rPr>
        <w:t>o</w:t>
      </w:r>
      <w:r w:rsidRPr="00817296">
        <w:rPr>
          <w:spacing w:val="1"/>
        </w:rPr>
        <w:t>l</w:t>
      </w:r>
      <w:r w:rsidRPr="00817296">
        <w:t>o</w:t>
      </w:r>
      <w:r w:rsidRPr="00817296">
        <w:rPr>
          <w:spacing w:val="-2"/>
        </w:rPr>
        <w:t>gy</w:t>
      </w:r>
      <w:r w:rsidRPr="00817296">
        <w:t>,</w:t>
      </w:r>
      <w:r w:rsidRPr="00817296">
        <w:rPr>
          <w:spacing w:val="-2"/>
        </w:rPr>
        <w:t xml:space="preserve"> </w:t>
      </w:r>
      <w:r w:rsidRPr="00817296">
        <w:t>a</w:t>
      </w:r>
      <w:r w:rsidRPr="00817296">
        <w:rPr>
          <w:spacing w:val="1"/>
        </w:rPr>
        <w:t xml:space="preserve"> </w:t>
      </w:r>
      <w:r w:rsidRPr="00817296">
        <w:t xml:space="preserve">30 </w:t>
      </w:r>
      <w:r w:rsidRPr="00817296">
        <w:rPr>
          <w:spacing w:val="-2"/>
        </w:rPr>
        <w:t>p</w:t>
      </w:r>
      <w:r w:rsidRPr="00817296">
        <w:t>e</w:t>
      </w:r>
      <w:r w:rsidRPr="00817296">
        <w:rPr>
          <w:spacing w:val="1"/>
        </w:rPr>
        <w:t>r</w:t>
      </w:r>
      <w:r w:rsidRPr="00817296">
        <w:rPr>
          <w:spacing w:val="-2"/>
        </w:rPr>
        <w:t>c</w:t>
      </w:r>
      <w:r w:rsidRPr="00817296">
        <w:t>e</w:t>
      </w:r>
      <w:r w:rsidRPr="00817296">
        <w:rPr>
          <w:spacing w:val="-2"/>
        </w:rPr>
        <w:t>n</w:t>
      </w:r>
      <w:r w:rsidRPr="00817296">
        <w:t>t</w:t>
      </w:r>
      <w:r w:rsidRPr="00817296">
        <w:rPr>
          <w:spacing w:val="1"/>
        </w:rPr>
        <w:t xml:space="preserve"> r</w:t>
      </w:r>
      <w:r w:rsidRPr="00817296">
        <w:rPr>
          <w:spacing w:val="-2"/>
        </w:rPr>
        <w:t>e</w:t>
      </w:r>
      <w:r w:rsidRPr="00817296">
        <w:t>c</w:t>
      </w:r>
      <w:r w:rsidRPr="00817296">
        <w:rPr>
          <w:spacing w:val="1"/>
        </w:rPr>
        <w:t>r</w:t>
      </w:r>
      <w:r w:rsidRPr="00817296">
        <w:rPr>
          <w:spacing w:val="-2"/>
        </w:rPr>
        <w:t>u</w:t>
      </w:r>
      <w:r w:rsidRPr="00817296">
        <w:rPr>
          <w:spacing w:val="1"/>
        </w:rPr>
        <w:t>it</w:t>
      </w:r>
      <w:r w:rsidRPr="00817296">
        <w:rPr>
          <w:spacing w:val="-4"/>
        </w:rPr>
        <w:t>m</w:t>
      </w:r>
      <w:r w:rsidRPr="00817296">
        <w:t>ent</w:t>
      </w:r>
      <w:r w:rsidRPr="00817296">
        <w:rPr>
          <w:spacing w:val="-1"/>
        </w:rPr>
        <w:t xml:space="preserve"> </w:t>
      </w:r>
      <w:r w:rsidRPr="00817296">
        <w:rPr>
          <w:spacing w:val="1"/>
        </w:rPr>
        <w:t>r</w:t>
      </w:r>
      <w:r w:rsidRPr="00817296">
        <w:t>a</w:t>
      </w:r>
      <w:r w:rsidRPr="00817296">
        <w:rPr>
          <w:spacing w:val="-1"/>
        </w:rPr>
        <w:t>t</w:t>
      </w:r>
      <w:r w:rsidRPr="00817296">
        <w:t>e</w:t>
      </w:r>
      <w:r w:rsidRPr="00817296">
        <w:rPr>
          <w:spacing w:val="1"/>
        </w:rPr>
        <w:t xml:space="preserve"> </w:t>
      </w:r>
      <w:r w:rsidRPr="00817296">
        <w:rPr>
          <w:spacing w:val="-3"/>
        </w:rPr>
        <w:t xml:space="preserve">and a 65% retrieval rate are projected for the 2015 NHTS. </w:t>
      </w:r>
    </w:p>
    <w:p w:rsidR="00E10F2D" w:rsidRDefault="00E10F2D" w:rsidP="00E10F2D">
      <w:pPr>
        <w:ind w:left="120" w:right="76"/>
      </w:pPr>
    </w:p>
    <w:p w:rsidR="00E10F2D" w:rsidRDefault="00E10F2D" w:rsidP="00E10F2D">
      <w:pPr>
        <w:spacing w:before="10" w:line="160" w:lineRule="exact"/>
        <w:rPr>
          <w:sz w:val="16"/>
          <w:szCs w:val="16"/>
        </w:rPr>
      </w:pPr>
    </w:p>
    <w:p w:rsidR="00E10F2D" w:rsidRDefault="00E10F2D" w:rsidP="00E10F2D">
      <w:r>
        <w:lastRenderedPageBreak/>
        <w:t xml:space="preserve">The 2009 NHTS resulted in a 23% recruit response rate and an 80% retrieval response, for a total of 18.4% overall survey response rate.  The design proposed for the 2015 survey is expected to produce a stronger recruit rate of 30% and a retrieval rate of 65%. </w:t>
      </w:r>
      <w:r w:rsidR="00FF377E">
        <w:t xml:space="preserve">  Table </w:t>
      </w:r>
      <w:r w:rsidR="000330E2">
        <w:t>B-3</w:t>
      </w:r>
      <w:r w:rsidR="00FF377E">
        <w:t xml:space="preserve"> gives a description and the sizes of the population, sample, and respondents.</w:t>
      </w:r>
    </w:p>
    <w:p w:rsidR="00E10F2D" w:rsidRDefault="00E10F2D" w:rsidP="00E10F2D">
      <w:pPr>
        <w:rPr>
          <w:u w:val="single"/>
        </w:rPr>
      </w:pPr>
    </w:p>
    <w:p w:rsidR="00E10F2D" w:rsidRDefault="00E10F2D" w:rsidP="00E10F2D">
      <w:pPr>
        <w:rPr>
          <w:u w:val="single"/>
        </w:rPr>
      </w:pPr>
      <w:r w:rsidRPr="00D11527">
        <w:rPr>
          <w:u w:val="single"/>
        </w:rPr>
        <w:t xml:space="preserve">Recruit Stage </w:t>
      </w:r>
      <w:r w:rsidRPr="00D11527">
        <w:tab/>
      </w:r>
    </w:p>
    <w:p w:rsidR="00E10F2D" w:rsidRDefault="00E10F2D" w:rsidP="00E10F2D">
      <w:r w:rsidRPr="00D11527">
        <w:t>Switching from a telephone recruit to a mail</w:t>
      </w:r>
      <w:r>
        <w:t>-out/mail-back</w:t>
      </w:r>
      <w:r w:rsidRPr="00D11527">
        <w:t xml:space="preserve"> recruitment is </w:t>
      </w:r>
      <w:r>
        <w:t xml:space="preserve">considered to be more palatable to US households.  As described earlier, the recruitment survey will be short and contain some engaging questions about the respondent’s daily travel experiences.  Those features, combined with a promised completion incentive, are designed to improve the previous recruitment response.  </w:t>
      </w:r>
    </w:p>
    <w:p w:rsidR="00E10F2D" w:rsidRDefault="00E10F2D" w:rsidP="00E10F2D">
      <w:pPr>
        <w:rPr>
          <w:u w:val="single"/>
        </w:rPr>
      </w:pPr>
    </w:p>
    <w:p w:rsidR="00E10F2D" w:rsidRDefault="00E10F2D" w:rsidP="00E10F2D">
      <w:pPr>
        <w:rPr>
          <w:u w:val="single"/>
        </w:rPr>
      </w:pPr>
      <w:r w:rsidRPr="00D11527">
        <w:rPr>
          <w:u w:val="single"/>
        </w:rPr>
        <w:t xml:space="preserve">Retrieval Stage </w:t>
      </w:r>
    </w:p>
    <w:p w:rsidR="00E10F2D" w:rsidRDefault="00E10F2D" w:rsidP="00E10F2D">
      <w:pPr>
        <w:pStyle w:val="P1-StandPara"/>
        <w:tabs>
          <w:tab w:val="left" w:pos="720"/>
        </w:tabs>
        <w:spacing w:line="276" w:lineRule="auto"/>
        <w:ind w:firstLine="0"/>
      </w:pPr>
      <w:r w:rsidRPr="00A3637D">
        <w:t xml:space="preserve">Experience in </w:t>
      </w:r>
      <w:r>
        <w:t>conducting the NHTS series has shown that, once recruited, households tend to follow through and complete the survey. In 2001 the retrieval response was 71% and in 2009 it was 80%.  The more conservative estimate of 65% for the 2015 survey is projected because of the change to a web-based retrieval instrument, which has not been previously used for this survey</w:t>
      </w:r>
      <w:r w:rsidRPr="00817296">
        <w:t>.  Although</w:t>
      </w:r>
      <w:r>
        <w:t xml:space="preserve"> regional household travel surveys have used the web-based retrieval instrument, the NHTS content is more comprehensive and collects additional information.  Thus a 65% retrieval rate is projected.</w:t>
      </w:r>
    </w:p>
    <w:p w:rsidR="008716A8" w:rsidRDefault="008716A8" w:rsidP="00E10F2D">
      <w:pPr>
        <w:pStyle w:val="P1-StandPara"/>
        <w:tabs>
          <w:tab w:val="left" w:pos="720"/>
        </w:tabs>
        <w:spacing w:line="276" w:lineRule="auto"/>
        <w:ind w:firstLine="0"/>
      </w:pPr>
    </w:p>
    <w:p w:rsidR="00FF377E" w:rsidRDefault="00FF377E" w:rsidP="00E10F2D">
      <w:pPr>
        <w:pStyle w:val="P1-StandPara"/>
        <w:tabs>
          <w:tab w:val="left" w:pos="720"/>
        </w:tabs>
        <w:spacing w:line="276" w:lineRule="auto"/>
        <w:ind w:firstLine="0"/>
      </w:pPr>
    </w:p>
    <w:p w:rsidR="00FF377E" w:rsidRPr="00AB2DAF" w:rsidRDefault="000330E2" w:rsidP="00E10F2D">
      <w:pPr>
        <w:pStyle w:val="P1-StandPara"/>
        <w:tabs>
          <w:tab w:val="left" w:pos="720"/>
        </w:tabs>
        <w:spacing w:line="276" w:lineRule="auto"/>
        <w:ind w:firstLine="0"/>
        <w:rPr>
          <w:b/>
        </w:rPr>
      </w:pPr>
      <w:proofErr w:type="gramStart"/>
      <w:r w:rsidRPr="000330E2">
        <w:rPr>
          <w:b/>
        </w:rPr>
        <w:t xml:space="preserve">Table </w:t>
      </w:r>
      <w:r>
        <w:rPr>
          <w:b/>
        </w:rPr>
        <w:t>B-3</w:t>
      </w:r>
      <w:r w:rsidR="00FF377E" w:rsidRPr="00AB2DAF">
        <w:rPr>
          <w:b/>
        </w:rPr>
        <w:t>.</w:t>
      </w:r>
      <w:proofErr w:type="gramEnd"/>
      <w:r w:rsidR="00FF377E" w:rsidRPr="00AB2DAF">
        <w:rPr>
          <w:b/>
        </w:rPr>
        <w:t xml:space="preserve"> Description and sizes of population, sample, and respondents</w:t>
      </w:r>
    </w:p>
    <w:tbl>
      <w:tblPr>
        <w:tblStyle w:val="TableGrid"/>
        <w:tblW w:w="0" w:type="auto"/>
        <w:tblLook w:val="04A0" w:firstRow="1" w:lastRow="0" w:firstColumn="1" w:lastColumn="0" w:noHBand="0" w:noVBand="1"/>
      </w:tblPr>
      <w:tblGrid>
        <w:gridCol w:w="2175"/>
        <w:gridCol w:w="4199"/>
        <w:gridCol w:w="3187"/>
      </w:tblGrid>
      <w:tr w:rsidR="008716A8" w:rsidTr="00AB2DAF">
        <w:trPr>
          <w:trHeight w:val="276"/>
        </w:trPr>
        <w:tc>
          <w:tcPr>
            <w:tcW w:w="2175" w:type="dxa"/>
          </w:tcPr>
          <w:p w:rsidR="008716A8" w:rsidRPr="00AB2DAF" w:rsidRDefault="008716A8" w:rsidP="00E10F2D">
            <w:pPr>
              <w:pStyle w:val="P1-StandPara"/>
              <w:tabs>
                <w:tab w:val="left" w:pos="720"/>
              </w:tabs>
              <w:spacing w:line="276" w:lineRule="auto"/>
              <w:ind w:firstLine="0"/>
              <w:rPr>
                <w:b/>
              </w:rPr>
            </w:pPr>
            <w:r>
              <w:rPr>
                <w:b/>
              </w:rPr>
              <w:t>Group</w:t>
            </w:r>
          </w:p>
        </w:tc>
        <w:tc>
          <w:tcPr>
            <w:tcW w:w="4199" w:type="dxa"/>
          </w:tcPr>
          <w:p w:rsidR="008716A8" w:rsidRPr="00AB2DAF" w:rsidRDefault="008716A8" w:rsidP="00E10F2D">
            <w:pPr>
              <w:pStyle w:val="P1-StandPara"/>
              <w:tabs>
                <w:tab w:val="left" w:pos="720"/>
              </w:tabs>
              <w:spacing w:line="276" w:lineRule="auto"/>
              <w:ind w:firstLine="0"/>
              <w:rPr>
                <w:b/>
              </w:rPr>
            </w:pPr>
            <w:r>
              <w:rPr>
                <w:b/>
              </w:rPr>
              <w:t>Description</w:t>
            </w:r>
          </w:p>
        </w:tc>
        <w:tc>
          <w:tcPr>
            <w:tcW w:w="3187" w:type="dxa"/>
          </w:tcPr>
          <w:p w:rsidR="008716A8" w:rsidRPr="00AB2DAF" w:rsidRDefault="008716A8" w:rsidP="00AB2DAF">
            <w:pPr>
              <w:pStyle w:val="P1-StandPara"/>
              <w:tabs>
                <w:tab w:val="left" w:pos="720"/>
              </w:tabs>
              <w:spacing w:line="276" w:lineRule="auto"/>
              <w:ind w:firstLine="0"/>
              <w:jc w:val="right"/>
              <w:rPr>
                <w:b/>
              </w:rPr>
            </w:pPr>
            <w:r>
              <w:rPr>
                <w:b/>
              </w:rPr>
              <w:t>Size</w:t>
            </w:r>
          </w:p>
        </w:tc>
      </w:tr>
      <w:tr w:rsidR="008716A8" w:rsidTr="00AB2DAF">
        <w:trPr>
          <w:trHeight w:val="276"/>
        </w:trPr>
        <w:tc>
          <w:tcPr>
            <w:tcW w:w="2175" w:type="dxa"/>
          </w:tcPr>
          <w:p w:rsidR="008716A8" w:rsidRDefault="008716A8" w:rsidP="00E10F2D">
            <w:pPr>
              <w:pStyle w:val="P1-StandPara"/>
              <w:tabs>
                <w:tab w:val="left" w:pos="720"/>
              </w:tabs>
              <w:spacing w:line="276" w:lineRule="auto"/>
              <w:ind w:firstLine="0"/>
            </w:pPr>
            <w:r>
              <w:t>Universe (population)</w:t>
            </w:r>
          </w:p>
        </w:tc>
        <w:tc>
          <w:tcPr>
            <w:tcW w:w="4199" w:type="dxa"/>
          </w:tcPr>
          <w:p w:rsidR="008716A8" w:rsidRDefault="008716A8" w:rsidP="00E10F2D">
            <w:pPr>
              <w:pStyle w:val="P1-StandPara"/>
              <w:tabs>
                <w:tab w:val="left" w:pos="720"/>
              </w:tabs>
              <w:spacing w:line="276" w:lineRule="auto"/>
              <w:ind w:firstLine="0"/>
            </w:pPr>
            <w:r>
              <w:t>U.S. households</w:t>
            </w:r>
          </w:p>
        </w:tc>
        <w:tc>
          <w:tcPr>
            <w:tcW w:w="3187" w:type="dxa"/>
          </w:tcPr>
          <w:p w:rsidR="008716A8" w:rsidRDefault="00FF377E" w:rsidP="00AB2DAF">
            <w:pPr>
              <w:pStyle w:val="P1-StandPara"/>
              <w:tabs>
                <w:tab w:val="left" w:pos="720"/>
              </w:tabs>
              <w:spacing w:line="276" w:lineRule="auto"/>
              <w:ind w:firstLine="0"/>
              <w:jc w:val="right"/>
            </w:pPr>
            <w:r>
              <w:t>116 million</w:t>
            </w:r>
          </w:p>
        </w:tc>
      </w:tr>
      <w:tr w:rsidR="008716A8" w:rsidTr="00AB2DAF">
        <w:trPr>
          <w:trHeight w:val="276"/>
        </w:trPr>
        <w:tc>
          <w:tcPr>
            <w:tcW w:w="2175" w:type="dxa"/>
          </w:tcPr>
          <w:p w:rsidR="008716A8" w:rsidRDefault="008716A8" w:rsidP="00E10F2D">
            <w:pPr>
              <w:pStyle w:val="P1-StandPara"/>
              <w:tabs>
                <w:tab w:val="left" w:pos="720"/>
              </w:tabs>
              <w:spacing w:line="276" w:lineRule="auto"/>
              <w:ind w:firstLine="0"/>
            </w:pPr>
            <w:r>
              <w:t>Sample</w:t>
            </w:r>
          </w:p>
        </w:tc>
        <w:tc>
          <w:tcPr>
            <w:tcW w:w="4199" w:type="dxa"/>
          </w:tcPr>
          <w:p w:rsidR="008716A8" w:rsidRDefault="008716A8" w:rsidP="00E10F2D">
            <w:pPr>
              <w:pStyle w:val="P1-StandPara"/>
              <w:tabs>
                <w:tab w:val="left" w:pos="720"/>
              </w:tabs>
              <w:spacing w:line="276" w:lineRule="auto"/>
              <w:ind w:firstLine="0"/>
            </w:pPr>
            <w:r>
              <w:t>Sample of addresses from ABS frame</w:t>
            </w:r>
          </w:p>
        </w:tc>
        <w:tc>
          <w:tcPr>
            <w:tcW w:w="3187" w:type="dxa"/>
          </w:tcPr>
          <w:p w:rsidR="008716A8" w:rsidRDefault="00FF377E" w:rsidP="00AB2DAF">
            <w:pPr>
              <w:pStyle w:val="P1-StandPara"/>
              <w:tabs>
                <w:tab w:val="left" w:pos="720"/>
              </w:tabs>
              <w:spacing w:line="276" w:lineRule="auto"/>
              <w:ind w:firstLine="0"/>
              <w:jc w:val="right"/>
            </w:pPr>
            <w:r>
              <w:t>149,813</w:t>
            </w:r>
          </w:p>
        </w:tc>
      </w:tr>
      <w:tr w:rsidR="008716A8" w:rsidTr="00AB2DAF">
        <w:trPr>
          <w:trHeight w:val="567"/>
        </w:trPr>
        <w:tc>
          <w:tcPr>
            <w:tcW w:w="2175" w:type="dxa"/>
          </w:tcPr>
          <w:p w:rsidR="008716A8" w:rsidRDefault="008716A8" w:rsidP="00E10F2D">
            <w:pPr>
              <w:pStyle w:val="P1-StandPara"/>
              <w:tabs>
                <w:tab w:val="left" w:pos="720"/>
              </w:tabs>
              <w:spacing w:line="276" w:lineRule="auto"/>
              <w:ind w:firstLine="0"/>
            </w:pPr>
            <w:r>
              <w:t>Respondents</w:t>
            </w:r>
          </w:p>
        </w:tc>
        <w:tc>
          <w:tcPr>
            <w:tcW w:w="4199" w:type="dxa"/>
          </w:tcPr>
          <w:p w:rsidR="008716A8" w:rsidRDefault="008716A8" w:rsidP="00E10F2D">
            <w:pPr>
              <w:pStyle w:val="P1-StandPara"/>
              <w:tabs>
                <w:tab w:val="left" w:pos="720"/>
              </w:tabs>
              <w:spacing w:line="276" w:lineRule="auto"/>
              <w:ind w:firstLine="0"/>
            </w:pPr>
            <w:r>
              <w:t>Households completing all retrieval instruments</w:t>
            </w:r>
          </w:p>
        </w:tc>
        <w:tc>
          <w:tcPr>
            <w:tcW w:w="3187" w:type="dxa"/>
          </w:tcPr>
          <w:p w:rsidR="008716A8" w:rsidRDefault="00FF377E" w:rsidP="00AB2DAF">
            <w:pPr>
              <w:pStyle w:val="P1-StandPara"/>
              <w:tabs>
                <w:tab w:val="left" w:pos="720"/>
              </w:tabs>
              <w:spacing w:line="276" w:lineRule="auto"/>
              <w:ind w:firstLine="0"/>
              <w:jc w:val="right"/>
            </w:pPr>
            <w:r>
              <w:t>26,000</w:t>
            </w:r>
          </w:p>
        </w:tc>
      </w:tr>
    </w:tbl>
    <w:p w:rsidR="008716A8" w:rsidRDefault="008716A8" w:rsidP="00E10F2D">
      <w:pPr>
        <w:pStyle w:val="P1-StandPara"/>
        <w:tabs>
          <w:tab w:val="left" w:pos="720"/>
        </w:tabs>
        <w:spacing w:line="276" w:lineRule="auto"/>
        <w:ind w:firstLine="0"/>
      </w:pPr>
    </w:p>
    <w:p w:rsidR="008716A8" w:rsidRPr="007F17F7" w:rsidRDefault="008716A8" w:rsidP="00E10F2D">
      <w:pPr>
        <w:pStyle w:val="P1-StandPara"/>
        <w:tabs>
          <w:tab w:val="left" w:pos="720"/>
        </w:tabs>
        <w:spacing w:line="276" w:lineRule="auto"/>
        <w:ind w:firstLine="0"/>
      </w:pPr>
    </w:p>
    <w:p w:rsidR="00862E37" w:rsidRPr="00862E37" w:rsidRDefault="008716A8" w:rsidP="00AB2DAF">
      <w:pPr>
        <w:pStyle w:val="L1-FlLSp12"/>
        <w:tabs>
          <w:tab w:val="clear" w:pos="1152"/>
          <w:tab w:val="left" w:pos="2055"/>
        </w:tabs>
        <w:rPr>
          <w:i/>
        </w:rPr>
      </w:pPr>
      <w:r>
        <w:rPr>
          <w:i/>
        </w:rPr>
        <w:tab/>
      </w:r>
    </w:p>
    <w:p w:rsidR="004D3C31" w:rsidRPr="00CF6AFF" w:rsidRDefault="00253EC0" w:rsidP="00FF3775">
      <w:pPr>
        <w:pStyle w:val="L1-FlLSp12"/>
        <w:numPr>
          <w:ilvl w:val="0"/>
          <w:numId w:val="8"/>
        </w:numPr>
        <w:rPr>
          <w:i/>
        </w:rPr>
      </w:pPr>
      <w:r w:rsidRPr="00B36F4D">
        <w:rPr>
          <w:i/>
        </w:rPr>
        <w:t xml:space="preserve">Describe procedures for collecting information, </w:t>
      </w:r>
      <w:r w:rsidRPr="00AE455E">
        <w:rPr>
          <w:i/>
          <w:shd w:val="clear" w:color="auto" w:fill="FFFFFF" w:themeFill="background1"/>
        </w:rPr>
        <w:t>including statistical methodology for stratification, and sample selection</w:t>
      </w:r>
      <w:r w:rsidRPr="0096730C">
        <w:t xml:space="preserve">, </w:t>
      </w:r>
      <w:r w:rsidRPr="00CF6AFF">
        <w:rPr>
          <w:i/>
        </w:rPr>
        <w:t>estimation procedures, degree of accuracy needed, and less than annual periodic data cycles:</w:t>
      </w:r>
    </w:p>
    <w:p w:rsidR="005239C9" w:rsidRPr="00265BD3" w:rsidRDefault="0024127F" w:rsidP="00AE455E">
      <w:pPr>
        <w:pStyle w:val="Heading5"/>
        <w:rPr>
          <w:b w:val="0"/>
          <w:color w:val="auto"/>
          <w:u w:val="single"/>
        </w:rPr>
      </w:pPr>
      <w:r w:rsidRPr="00265BD3">
        <w:rPr>
          <w:b w:val="0"/>
          <w:color w:val="auto"/>
          <w:u w:val="single"/>
        </w:rPr>
        <w:t>Data Collection Pro</w:t>
      </w:r>
      <w:r w:rsidR="005239C9" w:rsidRPr="00265BD3">
        <w:rPr>
          <w:b w:val="0"/>
          <w:color w:val="auto"/>
          <w:u w:val="single"/>
        </w:rPr>
        <w:t>cedures</w:t>
      </w:r>
    </w:p>
    <w:p w:rsidR="00AE455E" w:rsidRPr="00265BD3" w:rsidRDefault="003C0C0A" w:rsidP="00AE455E">
      <w:pPr>
        <w:pStyle w:val="P1-StandPara"/>
        <w:spacing w:line="276" w:lineRule="auto"/>
        <w:ind w:firstLine="0"/>
        <w:rPr>
          <w:color w:val="auto"/>
        </w:rPr>
      </w:pPr>
      <w:r>
        <w:rPr>
          <w:color w:val="auto"/>
        </w:rPr>
        <w:t xml:space="preserve">As in previous series of the NHTS, the 2015 NHTS will maintain a two-phase study, which includes a household recruitment mail out/mail back survey (phase 1) and trip level retrieval survey (phase 2) with all eligible household members ages 5 and older. </w:t>
      </w:r>
      <w:r w:rsidR="00AE455E" w:rsidRPr="00265BD3">
        <w:rPr>
          <w:color w:val="auto"/>
        </w:rPr>
        <w:t>As described in the sections above, the data collection will use an ABS frame to randomly invite households to participate in the 2015 NHTS. These addresses will be contacted by mail and asked to complete a brief</w:t>
      </w:r>
      <w:r w:rsidR="00CF6AFF">
        <w:rPr>
          <w:color w:val="auto"/>
        </w:rPr>
        <w:t>,</w:t>
      </w:r>
      <w:r w:rsidR="00AE455E" w:rsidRPr="00265BD3">
        <w:rPr>
          <w:color w:val="auto"/>
        </w:rPr>
        <w:t xml:space="preserve"> household-level survey instrument and return that survey to the contractor. Members of recruited households will be asked to keep track of all the places they go for one day and to report that information to the contractor either online or by telephone. A </w:t>
      </w:r>
      <w:r w:rsidR="00AE455E" w:rsidRPr="00265BD3">
        <w:rPr>
          <w:color w:val="auto"/>
        </w:rPr>
        <w:lastRenderedPageBreak/>
        <w:t xml:space="preserve">description of the materials used in the conduct of the 2015 NHTS follows. </w:t>
      </w:r>
      <w:r w:rsidR="005E5711">
        <w:rPr>
          <w:color w:val="auto"/>
        </w:rPr>
        <w:t>2015 NHTS modifications to the questions used in the 2009 NHTS are summarized in Appendix 6</w:t>
      </w:r>
    </w:p>
    <w:p w:rsidR="00AA2941" w:rsidRPr="00411CAD" w:rsidRDefault="00AA2941" w:rsidP="00AE455E">
      <w:pPr>
        <w:pStyle w:val="Heading5"/>
        <w:rPr>
          <w:i/>
          <w:color w:val="auto"/>
        </w:rPr>
      </w:pPr>
      <w:r w:rsidRPr="00411CAD">
        <w:rPr>
          <w:i/>
          <w:color w:val="auto"/>
        </w:rPr>
        <w:t>Recruitment Materials</w:t>
      </w:r>
    </w:p>
    <w:p w:rsidR="00AA2941" w:rsidRDefault="00AA2941" w:rsidP="00AA2941">
      <w:pPr>
        <w:pStyle w:val="L1-FlLSp12"/>
      </w:pPr>
      <w:proofErr w:type="gramStart"/>
      <w:r>
        <w:rPr>
          <w:b/>
        </w:rPr>
        <w:t>Invitation L</w:t>
      </w:r>
      <w:r w:rsidRPr="004C534E">
        <w:rPr>
          <w:b/>
        </w:rPr>
        <w:t>etter</w:t>
      </w:r>
      <w:r>
        <w:rPr>
          <w:b/>
        </w:rPr>
        <w:t>/Survey</w:t>
      </w:r>
      <w:r w:rsidR="00673C1A">
        <w:rPr>
          <w:b/>
        </w:rPr>
        <w:t xml:space="preserve"> </w:t>
      </w:r>
      <w:r>
        <w:rPr>
          <w:b/>
        </w:rPr>
        <w:t>Packet</w:t>
      </w:r>
      <w:r w:rsidRPr="004C534E">
        <w:rPr>
          <w:b/>
        </w:rPr>
        <w:t>.</w:t>
      </w:r>
      <w:proofErr w:type="gramEnd"/>
      <w:r w:rsidRPr="004C534E">
        <w:t xml:space="preserve"> </w:t>
      </w:r>
      <w:r w:rsidR="00265BD3">
        <w:t>The</w:t>
      </w:r>
      <w:r w:rsidR="00265BD3" w:rsidRPr="004C534E">
        <w:t xml:space="preserve"> </w:t>
      </w:r>
      <w:r w:rsidRPr="004C534E">
        <w:t>proposed method</w:t>
      </w:r>
      <w:r>
        <w:t>ology</w:t>
      </w:r>
      <w:r w:rsidRPr="004C534E">
        <w:t xml:space="preserve"> </w:t>
      </w:r>
      <w:r>
        <w:t>include</w:t>
      </w:r>
      <w:r w:rsidR="00265BD3">
        <w:t>s</w:t>
      </w:r>
      <w:r>
        <w:t xml:space="preserve"> an</w:t>
      </w:r>
      <w:r w:rsidRPr="004C534E">
        <w:t xml:space="preserve"> </w:t>
      </w:r>
      <w:r>
        <w:t xml:space="preserve">invitation </w:t>
      </w:r>
      <w:r w:rsidRPr="004C534E">
        <w:t>letter</w:t>
      </w:r>
      <w:r>
        <w:t xml:space="preserve"> </w:t>
      </w:r>
      <w:r w:rsidR="00265BD3">
        <w:t xml:space="preserve">(Appendix </w:t>
      </w:r>
      <w:r w:rsidR="005E5711">
        <w:t>7</w:t>
      </w:r>
      <w:r w:rsidR="00265BD3">
        <w:t xml:space="preserve">) </w:t>
      </w:r>
      <w:r>
        <w:t>that will be mailed to each sampled address</w:t>
      </w:r>
      <w:r w:rsidR="00673C1A">
        <w:t xml:space="preserve"> in the format City Resident, Address</w:t>
      </w:r>
      <w:r w:rsidRPr="004C534E">
        <w:t xml:space="preserve">. The letter will introduce the NHTS, </w:t>
      </w:r>
      <w:r>
        <w:t>discuss the importance of participation</w:t>
      </w:r>
      <w:r w:rsidRPr="004C534E">
        <w:t xml:space="preserve">, </w:t>
      </w:r>
      <w:r>
        <w:t xml:space="preserve">include the first incentive ($2) </w:t>
      </w:r>
      <w:r w:rsidRPr="004C534E">
        <w:t xml:space="preserve">and </w:t>
      </w:r>
      <w:r>
        <w:t xml:space="preserve">describe the </w:t>
      </w:r>
      <w:r w:rsidRPr="004C534E">
        <w:t>incentive</w:t>
      </w:r>
      <w:r>
        <w:t xml:space="preserve"> structure</w:t>
      </w:r>
      <w:r w:rsidRPr="004C534E">
        <w:t>.</w:t>
      </w:r>
      <w:r>
        <w:t xml:space="preserve"> </w:t>
      </w:r>
      <w:r w:rsidRPr="004C534E">
        <w:t>The letter will request that the enclosed recruitment survey</w:t>
      </w:r>
      <w:r w:rsidR="00265BD3">
        <w:t xml:space="preserve"> (Appendix </w:t>
      </w:r>
      <w:r w:rsidR="005E5711">
        <w:t>8</w:t>
      </w:r>
      <w:r w:rsidR="00265BD3">
        <w:t>)</w:t>
      </w:r>
      <w:r w:rsidRPr="004C534E">
        <w:t xml:space="preserve"> </w:t>
      </w:r>
      <w:r>
        <w:t>be completed</w:t>
      </w:r>
      <w:r w:rsidRPr="004C534E">
        <w:t xml:space="preserve"> and return</w:t>
      </w:r>
      <w:r>
        <w:t xml:space="preserve">ed in the </w:t>
      </w:r>
      <w:r w:rsidRPr="004C534E">
        <w:t>Business Reply Envelope</w:t>
      </w:r>
      <w:r>
        <w:t xml:space="preserve"> (</w:t>
      </w:r>
      <w:r w:rsidR="00265BD3">
        <w:t xml:space="preserve">Appendix </w:t>
      </w:r>
      <w:r w:rsidR="005E5711">
        <w:t>9</w:t>
      </w:r>
      <w:r>
        <w:t>)</w:t>
      </w:r>
      <w:r w:rsidRPr="004C534E">
        <w:t>.</w:t>
      </w:r>
      <w:r>
        <w:t xml:space="preserve"> </w:t>
      </w:r>
      <w:r w:rsidRPr="004C534E">
        <w:t xml:space="preserve">To increase the perceived legitimacy of the </w:t>
      </w:r>
      <w:r>
        <w:t xml:space="preserve">study, the </w:t>
      </w:r>
      <w:r w:rsidRPr="004C534E">
        <w:t xml:space="preserve">letter will include the </w:t>
      </w:r>
      <w:r w:rsidR="00926E2C">
        <w:t>DOT</w:t>
      </w:r>
      <w:r w:rsidRPr="004C534E">
        <w:t xml:space="preserve"> logo </w:t>
      </w:r>
      <w:r>
        <w:t xml:space="preserve">and be signed by an </w:t>
      </w:r>
      <w:r w:rsidR="00846A0D">
        <w:t>USDOT</w:t>
      </w:r>
      <w:r>
        <w:t xml:space="preserve"> official</w:t>
      </w:r>
      <w:r w:rsidRPr="004C534E" w:rsidDel="007C0863">
        <w:t>.</w:t>
      </w:r>
      <w:r w:rsidDel="00864E85">
        <w:rPr>
          <w:rStyle w:val="CommentReference"/>
          <w:rFonts w:eastAsiaTheme="minorHAnsi" w:cstheme="minorBidi"/>
        </w:rPr>
        <w:t xml:space="preserve"> </w:t>
      </w:r>
      <w:r w:rsidRPr="00F43657">
        <w:rPr>
          <w:rStyle w:val="CommentReference"/>
          <w:rFonts w:eastAsiaTheme="minorHAnsi" w:cstheme="minorBidi"/>
          <w:sz w:val="22"/>
          <w:szCs w:val="22"/>
        </w:rPr>
        <w:t>I</w:t>
      </w:r>
      <w:r w:rsidRPr="004C534E">
        <w:t xml:space="preserve">ncluding a $2 cash “primer” incentive in the </w:t>
      </w:r>
      <w:r>
        <w:t>invitation</w:t>
      </w:r>
      <w:r w:rsidRPr="004C534E">
        <w:t xml:space="preserve"> letter </w:t>
      </w:r>
      <w:r>
        <w:t xml:space="preserve">is expected </w:t>
      </w:r>
      <w:r w:rsidRPr="004C534E">
        <w:t xml:space="preserve">to encourage households to begin participation. </w:t>
      </w:r>
    </w:p>
    <w:p w:rsidR="00182669" w:rsidRDefault="00182669" w:rsidP="00AA2941">
      <w:pPr>
        <w:pStyle w:val="L1-FlLSp12"/>
      </w:pPr>
    </w:p>
    <w:p w:rsidR="00182669" w:rsidRDefault="00182669" w:rsidP="00AA2941">
      <w:pPr>
        <w:pStyle w:val="L1-FlLSp12"/>
      </w:pPr>
      <w:r>
        <w:t>A toll-free number on the survey materials will be provided and the participant will have the option to complete the recruitment survey by web. All data collected in the recruitment survey will be used to populate the household record in the retrieval survey database.  If respondents mail, call, or use the web to complete the recruitment survey, their responses are collected in the same survey database as the retrieval.</w:t>
      </w:r>
    </w:p>
    <w:p w:rsidR="00182669" w:rsidRDefault="00182669" w:rsidP="00AA2941">
      <w:pPr>
        <w:pStyle w:val="L1-FlLSp12"/>
      </w:pPr>
    </w:p>
    <w:p w:rsidR="00182669" w:rsidRPr="004C534E" w:rsidRDefault="00182669" w:rsidP="00AA2941">
      <w:pPr>
        <w:pStyle w:val="L1-FlLSp12"/>
      </w:pPr>
      <w:r>
        <w:t xml:space="preserve">The initial recruitment tool will be designed to capture the interest of sampled households by targeting issues likely to resonate with them and engage them in further participation. It will be designed as a </w:t>
      </w:r>
      <w:proofErr w:type="spellStart"/>
      <w:r>
        <w:t>scannable</w:t>
      </w:r>
      <w:proofErr w:type="spellEnd"/>
      <w:r>
        <w:t xml:space="preserve"> document and will be processed using standard software for intelligent data capture and image processing. All processing will be conducted in a secure data facility. This software will be used in the design of the recruitment survey, to scan and extract responses, conduct validation tests, and store data. Best practices for security and protecting print materials that contain identifying or confidential information will be administered.</w:t>
      </w:r>
    </w:p>
    <w:p w:rsidR="00AA2941" w:rsidRDefault="00AA2941" w:rsidP="00AA2941">
      <w:pPr>
        <w:pStyle w:val="L1-FlLSp12"/>
      </w:pPr>
    </w:p>
    <w:p w:rsidR="00AA2941" w:rsidRDefault="00AA2941" w:rsidP="00AA2941">
      <w:pPr>
        <w:pStyle w:val="L1-FlLSp12"/>
      </w:pPr>
      <w:proofErr w:type="gramStart"/>
      <w:r w:rsidRPr="00C554D6">
        <w:rPr>
          <w:b/>
        </w:rPr>
        <w:t>Reminder Postcard 1.</w:t>
      </w:r>
      <w:proofErr w:type="gramEnd"/>
      <w:r w:rsidRPr="00C554D6">
        <w:t xml:space="preserve"> Reminder postcards</w:t>
      </w:r>
      <w:r w:rsidR="00C554D6" w:rsidRPr="00C554D6">
        <w:t>,</w:t>
      </w:r>
      <w:r w:rsidR="00C554D6">
        <w:t xml:space="preserve"> addressed to City Resident, and </w:t>
      </w:r>
      <w:r w:rsidR="00C554D6" w:rsidRPr="00C554D6">
        <w:t xml:space="preserve">designed with </w:t>
      </w:r>
      <w:r w:rsidR="00C554D6" w:rsidRPr="00250AF0">
        <w:t xml:space="preserve">the </w:t>
      </w:r>
      <w:r w:rsidR="00926E2C" w:rsidRPr="00250AF0">
        <w:t>project</w:t>
      </w:r>
      <w:r w:rsidR="00C554D6" w:rsidRPr="00C554D6">
        <w:t xml:space="preserve"> logo</w:t>
      </w:r>
      <w:r w:rsidR="00C554D6">
        <w:t xml:space="preserve"> to capture interest</w:t>
      </w:r>
      <w:r w:rsidR="00C554D6" w:rsidRPr="00C554D6">
        <w:t>,</w:t>
      </w:r>
      <w:r w:rsidRPr="00C554D6">
        <w:t xml:space="preserve"> will be sent to each sampled address </w:t>
      </w:r>
      <w:r w:rsidR="00265BD3" w:rsidRPr="00C554D6">
        <w:t>seven</w:t>
      </w:r>
      <w:r w:rsidRPr="00C554D6">
        <w:t xml:space="preserve"> days after the invitation letter</w:t>
      </w:r>
      <w:r w:rsidR="00265BD3" w:rsidRPr="00C554D6">
        <w:t xml:space="preserve"> (Appendix </w:t>
      </w:r>
      <w:r w:rsidR="005E5711" w:rsidRPr="00C554D6">
        <w:t>10</w:t>
      </w:r>
      <w:r w:rsidR="00265BD3" w:rsidRPr="00C554D6">
        <w:t>)</w:t>
      </w:r>
      <w:r w:rsidRPr="00C554D6">
        <w:t>.</w:t>
      </w:r>
      <w:r>
        <w:t xml:space="preserve"> </w:t>
      </w:r>
    </w:p>
    <w:p w:rsidR="00AA2941" w:rsidRDefault="00AA2941" w:rsidP="00AA2941">
      <w:pPr>
        <w:pStyle w:val="L1-FlLSp12"/>
      </w:pPr>
    </w:p>
    <w:p w:rsidR="00AA2941" w:rsidRPr="004C534E" w:rsidRDefault="00AA2941" w:rsidP="00AA2941">
      <w:pPr>
        <w:pStyle w:val="L1-FlLSp12"/>
      </w:pPr>
      <w:proofErr w:type="gramStart"/>
      <w:r w:rsidRPr="00C554D6">
        <w:rPr>
          <w:b/>
        </w:rPr>
        <w:t>Invitation Letter/Survey Packet.</w:t>
      </w:r>
      <w:proofErr w:type="gramEnd"/>
      <w:r w:rsidRPr="00C554D6">
        <w:t xml:space="preserve"> A second survey packet will be mailed to non-responding addresses 21 days after the first mailing. </w:t>
      </w:r>
      <w:r w:rsidR="00265BD3" w:rsidRPr="00C554D6">
        <w:t xml:space="preserve">The letter will be slightly different (Appendix </w:t>
      </w:r>
      <w:r w:rsidR="005453F2" w:rsidRPr="00C554D6">
        <w:t>1</w:t>
      </w:r>
      <w:r w:rsidR="005E5711" w:rsidRPr="00C554D6">
        <w:t>1</w:t>
      </w:r>
      <w:r w:rsidR="00265BD3" w:rsidRPr="00C554D6">
        <w:t>)</w:t>
      </w:r>
      <w:r w:rsidR="00412DE9" w:rsidRPr="00C554D6">
        <w:t>;</w:t>
      </w:r>
      <w:r w:rsidR="00265BD3" w:rsidRPr="00C554D6">
        <w:t xml:space="preserve"> the </w:t>
      </w:r>
      <w:r w:rsidR="00182669" w:rsidRPr="00C554D6">
        <w:t xml:space="preserve">recruitment </w:t>
      </w:r>
      <w:r w:rsidR="00265BD3" w:rsidRPr="00C554D6">
        <w:t>survey will be the same</w:t>
      </w:r>
      <w:r w:rsidR="00182669" w:rsidRPr="00C554D6">
        <w:t xml:space="preserve"> as in the initial mailings</w:t>
      </w:r>
      <w:r w:rsidR="00265BD3" w:rsidRPr="00C554D6">
        <w:t>. This packet wil</w:t>
      </w:r>
      <w:r w:rsidR="00C554D6">
        <w:t>l not include another incentive.</w:t>
      </w:r>
    </w:p>
    <w:p w:rsidR="00AA2941" w:rsidRPr="004C534E" w:rsidRDefault="00AA2941" w:rsidP="00AA2941">
      <w:pPr>
        <w:pStyle w:val="L1-FlLSp12"/>
      </w:pPr>
    </w:p>
    <w:p w:rsidR="00AA2941" w:rsidRDefault="00AA2941" w:rsidP="00AA2941">
      <w:pPr>
        <w:pStyle w:val="L1-FlLSp12"/>
      </w:pPr>
      <w:proofErr w:type="gramStart"/>
      <w:r w:rsidRPr="00EC3E8D">
        <w:rPr>
          <w:b/>
        </w:rPr>
        <w:t>Reminder Postcard 2.</w:t>
      </w:r>
      <w:proofErr w:type="gramEnd"/>
      <w:r w:rsidRPr="00EC3E8D">
        <w:t xml:space="preserve"> Forty-four days after the first mailing, each non-responding address will be mailed a </w:t>
      </w:r>
      <w:r w:rsidR="00EC3E8D" w:rsidRPr="00EC3E8D">
        <w:t xml:space="preserve">second </w:t>
      </w:r>
      <w:r w:rsidRPr="00EC3E8D">
        <w:t>postcard that will include an invitation for participation by web</w:t>
      </w:r>
      <w:r w:rsidR="00412DE9" w:rsidRPr="00EC3E8D">
        <w:t xml:space="preserve"> (Appendix </w:t>
      </w:r>
      <w:r w:rsidR="009836BC" w:rsidRPr="00EC3E8D">
        <w:t>1</w:t>
      </w:r>
      <w:r w:rsidR="005E5711">
        <w:t>2</w:t>
      </w:r>
      <w:r w:rsidR="00412DE9" w:rsidRPr="00EC3E8D">
        <w:t>)</w:t>
      </w:r>
      <w:r w:rsidRPr="00EC3E8D">
        <w:t>.</w:t>
      </w:r>
      <w:r w:rsidR="00EC3E8D" w:rsidRPr="00EC3E8D">
        <w:t>This packet will not include another incentive, but will remind the household that a small gift will be provided for the completion of the survey.</w:t>
      </w:r>
      <w:r w:rsidRPr="00EC3E8D">
        <w:t xml:space="preserve"> This invitation will provide an opportunity for households that are more likely to participate online to do so. The web recruitment survey content will be identical to the paper recruitment survey.</w:t>
      </w:r>
    </w:p>
    <w:p w:rsidR="00AA2941" w:rsidRPr="004C534E" w:rsidRDefault="00AA2941" w:rsidP="00AA2941">
      <w:pPr>
        <w:pStyle w:val="L1-FlLSp12"/>
      </w:pPr>
    </w:p>
    <w:p w:rsidR="00AA2941" w:rsidRDefault="00412DE9" w:rsidP="00AA2941">
      <w:pPr>
        <w:pStyle w:val="L1-FlLSp12"/>
      </w:pPr>
      <w:proofErr w:type="gramStart"/>
      <w:r>
        <w:rPr>
          <w:b/>
        </w:rPr>
        <w:t>Project Website</w:t>
      </w:r>
      <w:r w:rsidR="00AA2941" w:rsidRPr="004C534E">
        <w:rPr>
          <w:b/>
        </w:rPr>
        <w:t>.</w:t>
      </w:r>
      <w:proofErr w:type="gramEnd"/>
      <w:r w:rsidR="00AA2941" w:rsidRPr="004C534E">
        <w:rPr>
          <w:b/>
        </w:rPr>
        <w:t xml:space="preserve"> </w:t>
      </w:r>
      <w:r w:rsidR="00EC3E8D" w:rsidRPr="00EC3E8D">
        <w:t>A project website will be</w:t>
      </w:r>
      <w:r w:rsidR="00AA2941">
        <w:t xml:space="preserve"> create</w:t>
      </w:r>
      <w:r w:rsidR="00EC3E8D">
        <w:t>d</w:t>
      </w:r>
      <w:r w:rsidR="00AA2941">
        <w:t xml:space="preserve"> and maintain</w:t>
      </w:r>
      <w:r w:rsidR="00EC3E8D">
        <w:t>ed</w:t>
      </w:r>
      <w:r w:rsidR="00AA2941" w:rsidRPr="004C534E">
        <w:t xml:space="preserve"> </w:t>
      </w:r>
      <w:r w:rsidR="00EC3E8D">
        <w:t>for the 2015</w:t>
      </w:r>
      <w:r w:rsidR="00AA2941" w:rsidRPr="004C534E">
        <w:t xml:space="preserve"> NHTS</w:t>
      </w:r>
      <w:r w:rsidR="00EC3E8D">
        <w:t xml:space="preserve">. This </w:t>
      </w:r>
      <w:r w:rsidR="00AA2941" w:rsidRPr="004C534E">
        <w:t xml:space="preserve">public </w:t>
      </w:r>
      <w:r w:rsidR="00AA2941">
        <w:t>website</w:t>
      </w:r>
      <w:r w:rsidR="00AA2941" w:rsidRPr="00C125A4">
        <w:t xml:space="preserve"> </w:t>
      </w:r>
      <w:r w:rsidR="00AA2941">
        <w:t>will be dynamic and able to provide information about the study</w:t>
      </w:r>
      <w:r w:rsidR="00EC3E8D">
        <w:t xml:space="preserve"> and contain Frequently Asked </w:t>
      </w:r>
      <w:r w:rsidR="00EC3E8D">
        <w:lastRenderedPageBreak/>
        <w:t>Questions</w:t>
      </w:r>
      <w:r w:rsidR="00AA2941">
        <w:t xml:space="preserve">. </w:t>
      </w:r>
      <w:r w:rsidR="00AA2941" w:rsidRPr="004C534E">
        <w:t xml:space="preserve">The </w:t>
      </w:r>
      <w:r w:rsidR="00AA2941">
        <w:t>website</w:t>
      </w:r>
      <w:r w:rsidR="00AA2941" w:rsidRPr="004C534E">
        <w:t xml:space="preserve"> will also </w:t>
      </w:r>
      <w:r w:rsidR="00AA2941">
        <w:t>serve as</w:t>
      </w:r>
      <w:r w:rsidR="00AA2941" w:rsidRPr="004C534E">
        <w:t xml:space="preserve"> the portal through which </w:t>
      </w:r>
      <w:r w:rsidR="00AA2941">
        <w:t>survey respondents</w:t>
      </w:r>
      <w:r w:rsidR="00AA2941" w:rsidRPr="004C534E">
        <w:t xml:space="preserve"> </w:t>
      </w:r>
      <w:r w:rsidR="00AA2941">
        <w:t xml:space="preserve">access </w:t>
      </w:r>
      <w:r w:rsidR="00AA2941" w:rsidRPr="004C534E">
        <w:t xml:space="preserve">the </w:t>
      </w:r>
      <w:r>
        <w:t>online</w:t>
      </w:r>
      <w:r w:rsidRPr="004C534E">
        <w:t xml:space="preserve"> </w:t>
      </w:r>
      <w:r w:rsidR="00AA2941" w:rsidRPr="004C534E">
        <w:t>survey</w:t>
      </w:r>
      <w:r>
        <w:t>,</w:t>
      </w:r>
      <w:r w:rsidR="00EC3E8D">
        <w:t xml:space="preserve"> or </w:t>
      </w:r>
      <w:r>
        <w:t>contact the consultant</w:t>
      </w:r>
      <w:r w:rsidR="00EC3E8D">
        <w:t>.</w:t>
      </w:r>
      <w:r w:rsidR="00AA2941">
        <w:t xml:space="preserve"> </w:t>
      </w:r>
    </w:p>
    <w:p w:rsidR="00AA2941" w:rsidRPr="00411CAD" w:rsidRDefault="00024125" w:rsidP="00AA2941">
      <w:pPr>
        <w:pStyle w:val="Heading5"/>
        <w:rPr>
          <w:i/>
          <w:color w:val="auto"/>
        </w:rPr>
      </w:pPr>
      <w:r>
        <w:rPr>
          <w:i/>
          <w:color w:val="auto"/>
        </w:rPr>
        <w:t>Retrieval/</w:t>
      </w:r>
      <w:r w:rsidR="00AA2941" w:rsidRPr="00411CAD">
        <w:rPr>
          <w:i/>
          <w:color w:val="auto"/>
        </w:rPr>
        <w:t>Travel Log Materials</w:t>
      </w:r>
    </w:p>
    <w:p w:rsidR="00AA2941" w:rsidRDefault="00AA2941" w:rsidP="00AA2941">
      <w:pPr>
        <w:pStyle w:val="L1-FlLSp12"/>
      </w:pPr>
      <w:r>
        <w:rPr>
          <w:b/>
        </w:rPr>
        <w:t>Travel L</w:t>
      </w:r>
      <w:r w:rsidRPr="004C534E">
        <w:rPr>
          <w:b/>
        </w:rPr>
        <w:t xml:space="preserve">og </w:t>
      </w:r>
      <w:r>
        <w:rPr>
          <w:b/>
        </w:rPr>
        <w:t>Packet</w:t>
      </w:r>
      <w:r w:rsidRPr="004C534E">
        <w:rPr>
          <w:b/>
        </w:rPr>
        <w:t>.</w:t>
      </w:r>
      <w:r w:rsidRPr="004C534E">
        <w:t xml:space="preserve"> </w:t>
      </w:r>
      <w:r>
        <w:t>The</w:t>
      </w:r>
      <w:r w:rsidRPr="004C534E">
        <w:t xml:space="preserve"> </w:t>
      </w:r>
      <w:r>
        <w:t>travel log packet will</w:t>
      </w:r>
      <w:r w:rsidRPr="004C534E">
        <w:t xml:space="preserve"> include </w:t>
      </w:r>
      <w:r>
        <w:t>a</w:t>
      </w:r>
      <w:r w:rsidRPr="004C534E">
        <w:t xml:space="preserve"> letter</w:t>
      </w:r>
      <w:r w:rsidR="00AC7684">
        <w:t xml:space="preserve"> (Appendix </w:t>
      </w:r>
      <w:r w:rsidR="009836BC">
        <w:t>1</w:t>
      </w:r>
      <w:r w:rsidR="005E5711">
        <w:t>3</w:t>
      </w:r>
      <w:r w:rsidR="00AC7684">
        <w:t>)</w:t>
      </w:r>
      <w:r w:rsidRPr="004C534E">
        <w:t>, an ex</w:t>
      </w:r>
      <w:r>
        <w:t>e</w:t>
      </w:r>
      <w:r w:rsidRPr="004C534E">
        <w:t>mpl</w:t>
      </w:r>
      <w:r>
        <w:t>ar</w:t>
      </w:r>
      <w:r w:rsidRPr="004C534E">
        <w:t xml:space="preserve"> log</w:t>
      </w:r>
      <w:r w:rsidR="00304275">
        <w:t xml:space="preserve"> on one side</w:t>
      </w:r>
      <w:r w:rsidRPr="004C534E">
        <w:t xml:space="preserve"> and </w:t>
      </w:r>
      <w:r>
        <w:t xml:space="preserve">personalized travel logs for each </w:t>
      </w:r>
      <w:r w:rsidR="00EC3E8D">
        <w:t xml:space="preserve">household member </w:t>
      </w:r>
      <w:r>
        <w:t>age</w:t>
      </w:r>
      <w:r w:rsidR="00EC3E8D">
        <w:t>s 5 and older</w:t>
      </w:r>
      <w:r w:rsidR="00AC7684">
        <w:t xml:space="preserve"> (Appendix </w:t>
      </w:r>
      <w:r w:rsidR="00304275">
        <w:t>4</w:t>
      </w:r>
      <w:r w:rsidR="00AC7684">
        <w:t>)</w:t>
      </w:r>
      <w:r w:rsidR="00EC3E8D">
        <w:t>,</w:t>
      </w:r>
      <w:r>
        <w:t xml:space="preserve"> and </w:t>
      </w:r>
      <w:r w:rsidRPr="004C534E">
        <w:t xml:space="preserve">will be sent using first class postage in </w:t>
      </w:r>
      <w:r>
        <w:t xml:space="preserve">a </w:t>
      </w:r>
      <w:r w:rsidR="000F391E">
        <w:t>9 1/2</w:t>
      </w:r>
      <w:r w:rsidRPr="00250AF0">
        <w:t>”x</w:t>
      </w:r>
      <w:r w:rsidR="000F391E">
        <w:t xml:space="preserve"> 12</w:t>
      </w:r>
      <w:r w:rsidRPr="00250AF0">
        <w:t>”</w:t>
      </w:r>
      <w:r>
        <w:t xml:space="preserve"> </w:t>
      </w:r>
      <w:r w:rsidRPr="004C534E">
        <w:t>envelope</w:t>
      </w:r>
      <w:r w:rsidR="00AC7684">
        <w:t xml:space="preserve"> (Appendix 1</w:t>
      </w:r>
      <w:r w:rsidR="00465CF4">
        <w:t>4</w:t>
      </w:r>
      <w:r w:rsidR="00AC7684">
        <w:t>)</w:t>
      </w:r>
      <w:r>
        <w:t>.</w:t>
      </w:r>
      <w:r w:rsidRPr="004C534E">
        <w:t xml:space="preserve"> The envelope</w:t>
      </w:r>
      <w:r>
        <w:t>s</w:t>
      </w:r>
      <w:r w:rsidRPr="004C534E">
        <w:t xml:space="preserve"> will be </w:t>
      </w:r>
      <w:r>
        <w:t>branded to match the letterhead used for the invitation letter. The second respondent incentive will be</w:t>
      </w:r>
      <w:r w:rsidRPr="004C534E">
        <w:t xml:space="preserve"> include</w:t>
      </w:r>
      <w:r>
        <w:t xml:space="preserve">d with the travel logs. </w:t>
      </w:r>
      <w:r w:rsidRPr="00C554D6">
        <w:t>This $5 cash incentive</w:t>
      </w:r>
      <w:r w:rsidR="00C554D6">
        <w:t xml:space="preserve">, appended to the letter, </w:t>
      </w:r>
      <w:r w:rsidRPr="00C554D6">
        <w:t>is expected to serve as a “good faith” incentive to encourage completion of the retrieval survey</w:t>
      </w:r>
      <w:proofErr w:type="gramStart"/>
      <w:r w:rsidR="00B80FFE">
        <w:t>.</w:t>
      </w:r>
      <w:r w:rsidRPr="00C554D6">
        <w:t>.</w:t>
      </w:r>
      <w:proofErr w:type="gramEnd"/>
    </w:p>
    <w:p w:rsidR="00AA2941" w:rsidRPr="004C534E" w:rsidRDefault="00AA2941" w:rsidP="00AA2941">
      <w:pPr>
        <w:pStyle w:val="L1-FlLSp12"/>
      </w:pPr>
    </w:p>
    <w:p w:rsidR="00AA2941" w:rsidRPr="004C534E" w:rsidRDefault="00AA2941" w:rsidP="00134748">
      <w:pPr>
        <w:pStyle w:val="L1-FlLSp12"/>
        <w:ind w:left="720"/>
      </w:pPr>
      <w:r>
        <w:rPr>
          <w:b/>
        </w:rPr>
        <w:t>Travel L</w:t>
      </w:r>
      <w:r w:rsidRPr="004C534E">
        <w:rPr>
          <w:b/>
        </w:rPr>
        <w:t xml:space="preserve">og </w:t>
      </w:r>
      <w:r>
        <w:rPr>
          <w:b/>
        </w:rPr>
        <w:t>L</w:t>
      </w:r>
      <w:r w:rsidRPr="004C534E">
        <w:rPr>
          <w:b/>
        </w:rPr>
        <w:t>etter.</w:t>
      </w:r>
      <w:r w:rsidRPr="004C534E">
        <w:t xml:space="preserve"> </w:t>
      </w:r>
      <w:r>
        <w:t>A</w:t>
      </w:r>
      <w:r w:rsidRPr="004C534E">
        <w:t xml:space="preserve"> household letter </w:t>
      </w:r>
      <w:r>
        <w:t>will be included</w:t>
      </w:r>
      <w:r w:rsidRPr="004C534E">
        <w:t xml:space="preserve"> in the</w:t>
      </w:r>
      <w:r>
        <w:t xml:space="preserve"> travel log packet. </w:t>
      </w:r>
      <w:r w:rsidRPr="004C534E">
        <w:t xml:space="preserve">The letter will </w:t>
      </w:r>
      <w:r w:rsidR="00EC3E8D">
        <w:t xml:space="preserve">thank participants for agreeing to participate, </w:t>
      </w:r>
      <w:r w:rsidRPr="004C534E">
        <w:t xml:space="preserve">further familiarize the participants with the travel </w:t>
      </w:r>
      <w:r>
        <w:t>recording</w:t>
      </w:r>
      <w:r w:rsidRPr="004C534E">
        <w:t xml:space="preserve"> stage</w:t>
      </w:r>
      <w:r>
        <w:t xml:space="preserve">, identify the households’ travel date and </w:t>
      </w:r>
      <w:r w:rsidRPr="004C534E">
        <w:t xml:space="preserve">provide </w:t>
      </w:r>
      <w:r w:rsidR="00EC3E8D">
        <w:t>instructions</w:t>
      </w:r>
      <w:r>
        <w:t xml:space="preserve"> about</w:t>
      </w:r>
      <w:r w:rsidRPr="004C534E">
        <w:t xml:space="preserve"> when and how to </w:t>
      </w:r>
      <w:r>
        <w:t>complete the retrieval survey.</w:t>
      </w:r>
      <w:r w:rsidRPr="004C534E">
        <w:t xml:space="preserve"> The letter will </w:t>
      </w:r>
      <w:r>
        <w:t>also</w:t>
      </w:r>
      <w:r w:rsidR="006A6AFC">
        <w:t xml:space="preserve"> include a</w:t>
      </w:r>
      <w:r>
        <w:t xml:space="preserve"> remind</w:t>
      </w:r>
      <w:r w:rsidR="006A6AFC">
        <w:t>er note</w:t>
      </w:r>
      <w:r>
        <w:t xml:space="preserve"> about</w:t>
      </w:r>
      <w:r w:rsidRPr="004C534E">
        <w:t xml:space="preserve"> the </w:t>
      </w:r>
      <w:r>
        <w:t>final $20</w:t>
      </w:r>
      <w:r w:rsidRPr="004C534E">
        <w:t xml:space="preserve"> household incentive.</w:t>
      </w:r>
      <w:r>
        <w:t xml:space="preserve"> </w:t>
      </w:r>
      <w:r w:rsidR="006A6AFC">
        <w:t>Similar to</w:t>
      </w:r>
      <w:r>
        <w:t xml:space="preserve"> the invitation letter,</w:t>
      </w:r>
      <w:r w:rsidRPr="004C534E" w:rsidDel="00864E85">
        <w:t xml:space="preserve"> </w:t>
      </w:r>
      <w:r>
        <w:t xml:space="preserve">the travel log letter will </w:t>
      </w:r>
      <w:r w:rsidR="00041597">
        <w:t xml:space="preserve">include the </w:t>
      </w:r>
      <w:r w:rsidR="00250AF0">
        <w:t>DOT</w:t>
      </w:r>
      <w:r w:rsidR="00041597">
        <w:t xml:space="preserve"> </w:t>
      </w:r>
      <w:r w:rsidR="006A6AFC">
        <w:t>logo</w:t>
      </w:r>
      <w:r>
        <w:t>.</w:t>
      </w:r>
    </w:p>
    <w:p w:rsidR="00AA2941" w:rsidRPr="004C534E" w:rsidRDefault="00AA2941" w:rsidP="00AA2941">
      <w:pPr>
        <w:pStyle w:val="L1-FlLSp12"/>
      </w:pPr>
    </w:p>
    <w:p w:rsidR="00AA2941" w:rsidRPr="004C534E" w:rsidRDefault="00AA2941" w:rsidP="00134748">
      <w:pPr>
        <w:pStyle w:val="L1-FlLSp12"/>
        <w:ind w:left="720"/>
      </w:pPr>
      <w:r>
        <w:rPr>
          <w:b/>
        </w:rPr>
        <w:t>Travel</w:t>
      </w:r>
      <w:r w:rsidRPr="004C534E">
        <w:rPr>
          <w:b/>
        </w:rPr>
        <w:t xml:space="preserve"> </w:t>
      </w:r>
      <w:r>
        <w:rPr>
          <w:b/>
        </w:rPr>
        <w:t>L</w:t>
      </w:r>
      <w:r w:rsidRPr="004C534E">
        <w:rPr>
          <w:b/>
        </w:rPr>
        <w:t>ogs.</w:t>
      </w:r>
      <w:r w:rsidRPr="004C534E">
        <w:t xml:space="preserve"> </w:t>
      </w:r>
      <w:r w:rsidR="00AC7684">
        <w:t>A</w:t>
      </w:r>
      <w:r w:rsidRPr="004C534E">
        <w:t xml:space="preserve"> </w:t>
      </w:r>
      <w:r>
        <w:t xml:space="preserve">personalized </w:t>
      </w:r>
      <w:r w:rsidRPr="004C534E">
        <w:t>travel log for each household member (age 5 and older)</w:t>
      </w:r>
      <w:r w:rsidR="00AC7684">
        <w:t xml:space="preserve"> will be sent</w:t>
      </w:r>
      <w:r w:rsidRPr="004C534E">
        <w:t xml:space="preserve">. </w:t>
      </w:r>
      <w:r w:rsidR="006D2A93">
        <w:t xml:space="preserve">Depending upon how each household member was identified (i.e., name or initials) in the recruitment survey, a label with that identification will be affixed to each of the household member’s travel log. </w:t>
      </w:r>
      <w:r w:rsidRPr="004C534E">
        <w:t xml:space="preserve">The logs </w:t>
      </w:r>
      <w:r>
        <w:t xml:space="preserve">are intended to </w:t>
      </w:r>
      <w:r w:rsidRPr="004C534E">
        <w:t xml:space="preserve">be </w:t>
      </w:r>
      <w:r>
        <w:t>a memory jogger</w:t>
      </w:r>
      <w:r w:rsidRPr="004C534E">
        <w:t xml:space="preserve"> to guide accurate data collection and </w:t>
      </w:r>
      <w:r>
        <w:t>aid in the</w:t>
      </w:r>
      <w:r w:rsidRPr="004C534E">
        <w:t xml:space="preserve"> reporting</w:t>
      </w:r>
      <w:r>
        <w:t xml:space="preserve"> of each place visited</w:t>
      </w:r>
      <w:r w:rsidRPr="004C534E">
        <w:t xml:space="preserve"> on the travel </w:t>
      </w:r>
      <w:r>
        <w:t>day</w:t>
      </w:r>
      <w:r w:rsidRPr="004C534E">
        <w:t xml:space="preserve">. </w:t>
      </w:r>
    </w:p>
    <w:p w:rsidR="00AA2941" w:rsidRDefault="00AA2941" w:rsidP="00134748">
      <w:pPr>
        <w:pStyle w:val="L1-FlLSp12"/>
        <w:ind w:left="720"/>
      </w:pPr>
    </w:p>
    <w:p w:rsidR="005072F6" w:rsidRDefault="00AA2941" w:rsidP="00134748">
      <w:pPr>
        <w:pStyle w:val="L1-FlLSp12"/>
        <w:ind w:left="720"/>
      </w:pPr>
      <w:proofErr w:type="gramStart"/>
      <w:r>
        <w:rPr>
          <w:b/>
        </w:rPr>
        <w:t>Exemplar L</w:t>
      </w:r>
      <w:r w:rsidRPr="004C534E">
        <w:rPr>
          <w:b/>
        </w:rPr>
        <w:t>og.</w:t>
      </w:r>
      <w:proofErr w:type="gramEnd"/>
      <w:r w:rsidRPr="004C534E">
        <w:t xml:space="preserve"> </w:t>
      </w:r>
      <w:r w:rsidR="006D2A93">
        <w:t xml:space="preserve"> A</w:t>
      </w:r>
      <w:r w:rsidRPr="004C534E">
        <w:t>n ex</w:t>
      </w:r>
      <w:r>
        <w:t>e</w:t>
      </w:r>
      <w:r w:rsidRPr="004C534E">
        <w:t>mpl</w:t>
      </w:r>
      <w:r>
        <w:t>ar</w:t>
      </w:r>
      <w:r w:rsidRPr="004C534E">
        <w:t xml:space="preserve"> log </w:t>
      </w:r>
      <w:r>
        <w:t>with the</w:t>
      </w:r>
      <w:r w:rsidRPr="004C534E">
        <w:t xml:space="preserve"> instruction</w:t>
      </w:r>
      <w:r>
        <w:t>s</w:t>
      </w:r>
      <w:r w:rsidRPr="004C534E">
        <w:t xml:space="preserve"> for </w:t>
      </w:r>
      <w:r>
        <w:t>recording the details about the places visited on the travel day</w:t>
      </w:r>
      <w:r w:rsidR="006D2A93">
        <w:t xml:space="preserve"> will be provided</w:t>
      </w:r>
      <w:r w:rsidR="00673C1A">
        <w:t xml:space="preserve"> to the household</w:t>
      </w:r>
      <w:r w:rsidRPr="004C534E">
        <w:t>.</w:t>
      </w:r>
      <w:r w:rsidR="006D2A93">
        <w:t xml:space="preserve"> The exemplar log will have colorful icons and directional arrows to show the general public how their travel should be reported.</w:t>
      </w:r>
    </w:p>
    <w:p w:rsidR="005072F6" w:rsidRDefault="005072F6" w:rsidP="00134748">
      <w:pPr>
        <w:pStyle w:val="L1-FlLSp12"/>
        <w:ind w:left="720"/>
      </w:pPr>
    </w:p>
    <w:p w:rsidR="00AA2941" w:rsidRPr="004C534E" w:rsidRDefault="005072F6" w:rsidP="00134748">
      <w:pPr>
        <w:pStyle w:val="L1-FlLSp12"/>
        <w:ind w:left="720"/>
      </w:pPr>
      <w:proofErr w:type="gramStart"/>
      <w:r>
        <w:rPr>
          <w:b/>
        </w:rPr>
        <w:t>Final Incentive Payment.</w:t>
      </w:r>
      <w:proofErr w:type="gramEnd"/>
      <w:r>
        <w:rPr>
          <w:b/>
        </w:rPr>
        <w:t xml:space="preserve">  </w:t>
      </w:r>
      <w:r>
        <w:t>Once a household has completed the survey a $20 check will be mailed to the househ</w:t>
      </w:r>
      <w:r w:rsidR="00D16459">
        <w:t>old in a #10 envelope.  (Appendi</w:t>
      </w:r>
      <w:r>
        <w:t>x</w:t>
      </w:r>
      <w:r w:rsidR="00D16459">
        <w:t xml:space="preserve"> 1</w:t>
      </w:r>
      <w:r w:rsidR="00B80FFE">
        <w:t>6</w:t>
      </w:r>
      <w:r w:rsidR="00D16459">
        <w:t>)</w:t>
      </w:r>
      <w:r>
        <w:t xml:space="preserve">  </w:t>
      </w:r>
      <w:r w:rsidR="00AA2941" w:rsidRPr="004C534E">
        <w:t xml:space="preserve"> </w:t>
      </w:r>
    </w:p>
    <w:p w:rsidR="00AA2941" w:rsidRDefault="00AA2941" w:rsidP="00AA2941">
      <w:pPr>
        <w:pStyle w:val="L1-FlLSp12"/>
      </w:pPr>
    </w:p>
    <w:p w:rsidR="00AA2941" w:rsidRDefault="00AA2941" w:rsidP="00AA2941">
      <w:pPr>
        <w:pStyle w:val="L1-FlLSp12"/>
      </w:pPr>
      <w:proofErr w:type="gramStart"/>
      <w:r w:rsidRPr="00673C1A">
        <w:rPr>
          <w:b/>
        </w:rPr>
        <w:t xml:space="preserve">Reminder </w:t>
      </w:r>
      <w:r w:rsidR="00AC7684" w:rsidRPr="00673C1A">
        <w:rPr>
          <w:b/>
        </w:rPr>
        <w:t>Contacts</w:t>
      </w:r>
      <w:r w:rsidRPr="00673C1A">
        <w:rPr>
          <w:b/>
        </w:rPr>
        <w:t>.</w:t>
      </w:r>
      <w:proofErr w:type="gramEnd"/>
      <w:r w:rsidRPr="00673C1A">
        <w:rPr>
          <w:b/>
        </w:rPr>
        <w:t xml:space="preserve"> </w:t>
      </w:r>
      <w:r w:rsidR="00AC7684" w:rsidRPr="00673C1A">
        <w:t>E</w:t>
      </w:r>
      <w:r w:rsidRPr="00673C1A">
        <w:t xml:space="preserve">lectronic </w:t>
      </w:r>
      <w:r w:rsidR="00AC7684" w:rsidRPr="00673C1A">
        <w:t xml:space="preserve">and telephone </w:t>
      </w:r>
      <w:r w:rsidRPr="00673C1A">
        <w:t xml:space="preserve">reminders </w:t>
      </w:r>
      <w:r w:rsidR="00AC7684" w:rsidRPr="00673C1A">
        <w:t xml:space="preserve">will be used to engage participants, remind them </w:t>
      </w:r>
      <w:r w:rsidRPr="00673C1A">
        <w:t>about the</w:t>
      </w:r>
      <w:r w:rsidR="00AC7684" w:rsidRPr="00673C1A">
        <w:t>ir</w:t>
      </w:r>
      <w:r w:rsidRPr="00673C1A">
        <w:t xml:space="preserve"> travel date and </w:t>
      </w:r>
      <w:r w:rsidR="00AC7684" w:rsidRPr="00673C1A">
        <w:t xml:space="preserve">to </w:t>
      </w:r>
      <w:r w:rsidRPr="00673C1A">
        <w:t>report</w:t>
      </w:r>
      <w:r w:rsidR="00AC7684" w:rsidRPr="00673C1A">
        <w:t xml:space="preserve"> their travel</w:t>
      </w:r>
      <w:r w:rsidRPr="00673C1A">
        <w:t>. An overview of the reminder schedule is found in Figure 3. The first reminder will be sent when the travel log packet is mailed.</w:t>
      </w:r>
      <w:r w:rsidR="00673C1A">
        <w:t xml:space="preserve"> Reminders are generally sent in late afternoon on the day before the assigned travel day.  Although there is no email “receipt” required for these emails, the consultant’s database system generates summary reports of the reminders sent each day, and the email addresses that failed.  The consultants’ Telephone Research Center </w:t>
      </w:r>
      <w:r w:rsidR="00DD341D">
        <w:t>staff is</w:t>
      </w:r>
      <w:r w:rsidR="00673C1A">
        <w:t xml:space="preserve"> fully trained on the reminder scripts to be used when phoning participants.</w:t>
      </w:r>
    </w:p>
    <w:p w:rsidR="0024127F" w:rsidRDefault="0024127F" w:rsidP="0024127F">
      <w:pPr>
        <w:pStyle w:val="L1-FlLSp12"/>
        <w:rPr>
          <w:i/>
        </w:rPr>
      </w:pPr>
    </w:p>
    <w:p w:rsidR="00F97758" w:rsidRDefault="00F97758" w:rsidP="00F97758">
      <w:pPr>
        <w:pStyle w:val="BodyText"/>
        <w:outlineLvl w:val="0"/>
        <w:rPr>
          <w:b/>
          <w:i/>
          <w:sz w:val="22"/>
          <w:szCs w:val="22"/>
        </w:rPr>
      </w:pPr>
      <w:r w:rsidRPr="003055C5">
        <w:rPr>
          <w:b/>
          <w:i/>
          <w:sz w:val="22"/>
          <w:szCs w:val="22"/>
        </w:rPr>
        <w:t>Statistical Methodology for Stratification</w:t>
      </w:r>
    </w:p>
    <w:p w:rsidR="003055C5" w:rsidRPr="003055C5" w:rsidRDefault="003055C5" w:rsidP="00F97758">
      <w:pPr>
        <w:pStyle w:val="BodyText"/>
        <w:outlineLvl w:val="0"/>
        <w:rPr>
          <w:b/>
          <w:i/>
          <w:sz w:val="22"/>
          <w:szCs w:val="22"/>
        </w:rPr>
      </w:pPr>
    </w:p>
    <w:p w:rsidR="007B3829" w:rsidRPr="007F17F7" w:rsidRDefault="007B3829" w:rsidP="007B3829">
      <w:pPr>
        <w:pStyle w:val="P1-StandPara"/>
        <w:spacing w:line="276" w:lineRule="auto"/>
        <w:ind w:firstLine="0"/>
      </w:pPr>
      <w:r>
        <w:t xml:space="preserve">As discussed above, the 2015 NHTS will be conducted using an Address Based Sampling frame. </w:t>
      </w:r>
      <w:r w:rsidRPr="007F17F7">
        <w:t xml:space="preserve">There will be a National sample with a target of 26,000 responding households. Because of the need to produce </w:t>
      </w:r>
      <w:r w:rsidRPr="00AB2DAF">
        <w:lastRenderedPageBreak/>
        <w:t>state-level estimates with adequate precision</w:t>
      </w:r>
      <w:r w:rsidRPr="007F17F7">
        <w:t>, state will be used for stratification.  Additionally, the following four groups will be used to sub-stratify within each primary stratum:</w:t>
      </w:r>
    </w:p>
    <w:p w:rsidR="007B3829" w:rsidRPr="007F17F7" w:rsidRDefault="007B3829" w:rsidP="007B3829">
      <w:pPr>
        <w:pStyle w:val="P1-StandPara"/>
        <w:tabs>
          <w:tab w:val="left" w:pos="720"/>
        </w:tabs>
        <w:spacing w:line="276" w:lineRule="auto"/>
        <w:ind w:firstLine="0"/>
      </w:pPr>
    </w:p>
    <w:p w:rsidR="007B3829" w:rsidRPr="007F17F7" w:rsidRDefault="007B3829" w:rsidP="007B3829">
      <w:pPr>
        <w:pStyle w:val="P1-StandPara"/>
        <w:numPr>
          <w:ilvl w:val="0"/>
          <w:numId w:val="23"/>
        </w:numPr>
        <w:tabs>
          <w:tab w:val="clear" w:pos="1152"/>
          <w:tab w:val="left" w:pos="720"/>
        </w:tabs>
        <w:spacing w:line="276" w:lineRule="auto"/>
        <w:ind w:left="648"/>
      </w:pPr>
      <w:r w:rsidRPr="007F17F7">
        <w:t>Counties in Metropolitan Statistical Areas (MSAs) of at least1 million people and containing heavy rail for transit use (14 such MSAs exist in the U.S.);</w:t>
      </w:r>
    </w:p>
    <w:p w:rsidR="007B3829" w:rsidRPr="007F17F7" w:rsidRDefault="007B3829" w:rsidP="007B3829">
      <w:pPr>
        <w:pStyle w:val="P1-StandPara"/>
        <w:numPr>
          <w:ilvl w:val="0"/>
          <w:numId w:val="23"/>
        </w:numPr>
        <w:tabs>
          <w:tab w:val="clear" w:pos="1152"/>
          <w:tab w:val="left" w:pos="720"/>
        </w:tabs>
        <w:spacing w:line="276" w:lineRule="auto"/>
        <w:ind w:left="648"/>
      </w:pPr>
      <w:r w:rsidRPr="007F17F7">
        <w:t>Counties in MSAs of at least1 million people and not containing heavy rail for transit use;</w:t>
      </w:r>
    </w:p>
    <w:p w:rsidR="007B3829" w:rsidRPr="007F17F7" w:rsidRDefault="007B3829" w:rsidP="007B3829">
      <w:pPr>
        <w:pStyle w:val="P1-StandPara"/>
        <w:numPr>
          <w:ilvl w:val="0"/>
          <w:numId w:val="23"/>
        </w:numPr>
        <w:tabs>
          <w:tab w:val="clear" w:pos="1152"/>
          <w:tab w:val="left" w:pos="720"/>
        </w:tabs>
        <w:spacing w:line="276" w:lineRule="auto"/>
        <w:ind w:left="648"/>
      </w:pPr>
      <w:r w:rsidRPr="007F17F7">
        <w:t>Counties in MSAs of less than 1 million people; and</w:t>
      </w:r>
    </w:p>
    <w:p w:rsidR="007B3829" w:rsidRPr="007F17F7" w:rsidRDefault="007B3829" w:rsidP="007B3829">
      <w:pPr>
        <w:pStyle w:val="P1-StandPara"/>
        <w:numPr>
          <w:ilvl w:val="0"/>
          <w:numId w:val="23"/>
        </w:numPr>
        <w:tabs>
          <w:tab w:val="clear" w:pos="1152"/>
          <w:tab w:val="left" w:pos="720"/>
        </w:tabs>
        <w:spacing w:line="276" w:lineRule="auto"/>
        <w:ind w:left="648"/>
      </w:pPr>
      <w:r w:rsidRPr="007F17F7">
        <w:t>Counties not in MSAs.</w:t>
      </w:r>
    </w:p>
    <w:p w:rsidR="007B3829" w:rsidRPr="007F17F7" w:rsidRDefault="007B3829" w:rsidP="007B3829">
      <w:pPr>
        <w:pStyle w:val="P1-StandPara"/>
        <w:tabs>
          <w:tab w:val="left" w:pos="720"/>
        </w:tabs>
        <w:spacing w:line="276" w:lineRule="auto"/>
        <w:ind w:firstLine="0"/>
      </w:pPr>
    </w:p>
    <w:p w:rsidR="007B3829" w:rsidRPr="007F17F7" w:rsidRDefault="007B3829" w:rsidP="007B3829">
      <w:pPr>
        <w:pStyle w:val="P1-StandPara"/>
        <w:tabs>
          <w:tab w:val="left" w:pos="-2610"/>
        </w:tabs>
        <w:spacing w:line="276" w:lineRule="auto"/>
        <w:ind w:firstLine="0"/>
      </w:pPr>
      <w:r w:rsidRPr="007F17F7">
        <w:t>The sample size (specified in terms of responding households) will then be initially allocated among the strata according to the proportion of addresses falling in the stratum (</w:t>
      </w:r>
      <w:r>
        <w:t xml:space="preserve">i.e., proportional to stratum size, as </w:t>
      </w:r>
      <w:r w:rsidRPr="007F17F7">
        <w:t xml:space="preserve">determined by the counts of addresses from the ABS frame).  A minimum allocation of 250 responding households per state will be used; states with initial allocations of fewer than 250 households will be increased to 250, and the remainder of the National sample will be re-allocated proportionally to the strata associated with the remaining states.  </w:t>
      </w:r>
    </w:p>
    <w:p w:rsidR="007B3829" w:rsidRPr="007F17F7" w:rsidRDefault="007B3829" w:rsidP="007B3829">
      <w:pPr>
        <w:pStyle w:val="P1-StandPara"/>
        <w:tabs>
          <w:tab w:val="left" w:pos="720"/>
        </w:tabs>
        <w:spacing w:line="276" w:lineRule="auto"/>
        <w:ind w:firstLine="0"/>
      </w:pPr>
    </w:p>
    <w:p w:rsidR="007B3829" w:rsidRPr="007F17F7" w:rsidRDefault="007B3829" w:rsidP="007B3829">
      <w:pPr>
        <w:pStyle w:val="P1-StandPara"/>
        <w:tabs>
          <w:tab w:val="left" w:pos="-180"/>
        </w:tabs>
        <w:spacing w:line="276" w:lineRule="auto"/>
        <w:ind w:firstLine="0"/>
      </w:pPr>
      <w:r w:rsidRPr="007F17F7">
        <w:t>Once the sample of responding households has been allocated in the manner described above, these sample sizes will be inflated to account for expected losses due to ineligible addresses</w:t>
      </w:r>
      <w:r>
        <w:t>, i.e., Postmaster non-deliverable mail</w:t>
      </w:r>
      <w:r w:rsidRPr="007F17F7">
        <w:t xml:space="preserve"> (an assumed rate of 11 percent of addresses, based on other National ABS mail studies conducted by </w:t>
      </w:r>
      <w:proofErr w:type="spellStart"/>
      <w:r w:rsidRPr="007F17F7">
        <w:t>Westat</w:t>
      </w:r>
      <w:proofErr w:type="spellEnd"/>
      <w:r w:rsidRPr="007F17F7">
        <w:t>), non-response to the recruitment effort (an assumed non-response rate of 70 percent of eligible addresses), and non-response to the retrieval effort (an assumed non-response rate of 35 percent of recruited households).  The departures from proportional allocation of responding households in the National sample will result in a sample of addresses selected with variable sampling rates. These variations in sampling rates will be properly accounted for in the computation of the survey weights.</w:t>
      </w:r>
    </w:p>
    <w:p w:rsidR="007B3829" w:rsidRPr="007F17F7" w:rsidRDefault="007B3829" w:rsidP="007B3829">
      <w:pPr>
        <w:pStyle w:val="P1-StandPara"/>
        <w:tabs>
          <w:tab w:val="left" w:pos="-180"/>
        </w:tabs>
        <w:spacing w:line="276" w:lineRule="auto"/>
        <w:ind w:firstLine="720"/>
      </w:pPr>
    </w:p>
    <w:p w:rsidR="007B3829" w:rsidRPr="007F17F7" w:rsidRDefault="007B3829" w:rsidP="007B3829">
      <w:pPr>
        <w:pStyle w:val="P1-StandPara"/>
        <w:tabs>
          <w:tab w:val="left" w:pos="720"/>
        </w:tabs>
        <w:spacing w:line="276" w:lineRule="auto"/>
        <w:ind w:firstLine="0"/>
      </w:pPr>
      <w:r w:rsidRPr="007F17F7">
        <w:t>Within each substratum, the ABS frame will be sorted in a prescribed manner prior to sample selection.  The sort used by MSG is geographic in nature</w:t>
      </w:r>
      <w:r>
        <w:t xml:space="preserve"> (within each state, the file is sorted by ZIP+4)</w:t>
      </w:r>
      <w:r w:rsidRPr="007F17F7">
        <w:t xml:space="preserve">, and addresses are sampled systematically using the geographic sort.  </w:t>
      </w:r>
      <w:r>
        <w:t>Thus, no important issues arise in the definition of areas with an ABS sample design that relies on mail for data collection.</w:t>
      </w:r>
    </w:p>
    <w:p w:rsidR="007B3829" w:rsidRPr="007F17F7" w:rsidRDefault="007B3829" w:rsidP="007B3829">
      <w:pPr>
        <w:pStyle w:val="P1-StandPara"/>
        <w:tabs>
          <w:tab w:val="left" w:pos="720"/>
        </w:tabs>
        <w:spacing w:line="276" w:lineRule="auto"/>
        <w:ind w:firstLine="0"/>
      </w:pPr>
    </w:p>
    <w:p w:rsidR="007B3829" w:rsidRPr="007F17F7" w:rsidRDefault="007B3829" w:rsidP="007B3829">
      <w:pPr>
        <w:pStyle w:val="P1-StandPara"/>
        <w:spacing w:line="276" w:lineRule="auto"/>
        <w:ind w:firstLine="0"/>
      </w:pPr>
      <w:r>
        <w:t xml:space="preserve">Table B-1 (above) </w:t>
      </w:r>
      <w:r w:rsidRPr="007F17F7">
        <w:t xml:space="preserve">presents the estimated sample sizes needed by stratum for the </w:t>
      </w:r>
      <w:r>
        <w:t>n</w:t>
      </w:r>
      <w:r w:rsidRPr="007F17F7">
        <w:t xml:space="preserve">ational sample to yield 26,000 completed household interviews using the allocation described above. </w:t>
      </w:r>
    </w:p>
    <w:p w:rsidR="00F97758" w:rsidRDefault="00F97758" w:rsidP="00F97758">
      <w:pPr>
        <w:pStyle w:val="BodyText"/>
        <w:rPr>
          <w:i/>
          <w:sz w:val="22"/>
          <w:szCs w:val="22"/>
          <w:u w:val="single"/>
        </w:rPr>
      </w:pPr>
    </w:p>
    <w:p w:rsidR="007B3829" w:rsidRDefault="007B3829" w:rsidP="00F97758">
      <w:pPr>
        <w:pStyle w:val="BodyText"/>
        <w:rPr>
          <w:i/>
          <w:sz w:val="22"/>
          <w:szCs w:val="22"/>
          <w:u w:val="single"/>
        </w:rPr>
      </w:pPr>
    </w:p>
    <w:p w:rsidR="007B3829" w:rsidRPr="00F97758" w:rsidRDefault="007B3829" w:rsidP="00F97758">
      <w:pPr>
        <w:pStyle w:val="BodyText"/>
        <w:rPr>
          <w:i/>
          <w:sz w:val="22"/>
          <w:szCs w:val="22"/>
          <w:u w:val="single"/>
        </w:rPr>
      </w:pPr>
    </w:p>
    <w:p w:rsidR="00F97758" w:rsidRPr="003055C5" w:rsidRDefault="00F97758" w:rsidP="003055C5">
      <w:pPr>
        <w:rPr>
          <w:b/>
          <w:i/>
        </w:rPr>
      </w:pPr>
      <w:r w:rsidRPr="003055C5">
        <w:rPr>
          <w:b/>
          <w:i/>
        </w:rPr>
        <w:t>Estimation Procedures</w:t>
      </w:r>
    </w:p>
    <w:p w:rsidR="0016171C" w:rsidRDefault="0016171C" w:rsidP="0016171C">
      <w:pPr>
        <w:pStyle w:val="L1-FlLSp12"/>
        <w:ind w:left="360"/>
      </w:pPr>
    </w:p>
    <w:p w:rsidR="003055C5" w:rsidRPr="003055C5" w:rsidRDefault="003055C5" w:rsidP="00C554D6">
      <w:pPr>
        <w:pStyle w:val="L1-FlLSp12"/>
      </w:pPr>
      <w:r w:rsidRPr="003055C5">
        <w:t xml:space="preserve">Sample weights for the 2015 NHTS will be developed and assigned to the records representing various analytic units associated with the study such as responding households and persons within responding households, vehicles, and trips. The weights will be designed to permit inference to the corresponding target populations. The weights will be developed so that the expanded survey can be analyzed for each state separately, and for the nation. Sample weights will be designed to permit data users to calculate </w:t>
      </w:r>
      <w:r w:rsidRPr="003055C5">
        <w:lastRenderedPageBreak/>
        <w:t>representative estimates of the population of interest from the collected data. Replicate weights will allow users to compute standard errors for the estimates from the collected data.</w:t>
      </w:r>
    </w:p>
    <w:p w:rsidR="003055C5" w:rsidRPr="003055C5" w:rsidRDefault="003055C5" w:rsidP="00C554D6">
      <w:pPr>
        <w:pStyle w:val="L1-FlLSp12"/>
      </w:pPr>
    </w:p>
    <w:p w:rsidR="003055C5" w:rsidRPr="003055C5" w:rsidRDefault="003055C5" w:rsidP="00C554D6">
      <w:pPr>
        <w:pStyle w:val="L1-FlLSp12"/>
      </w:pPr>
      <w:r w:rsidRPr="003055C5">
        <w:t>The process of weighting has three major components. The first is the provision of a base weight, which is the inverse of the overall selection probability of each selected unit. Base weights are needed to account for the varying probabilities of selection among sample units in any given sample. Probabilities vary purposefully to some extent. Since no subsampling within households will take place, household- and person-level base weights will be identical. That is, the base weight for each person in a household is identical to their corresponding household base weight.</w:t>
      </w:r>
    </w:p>
    <w:p w:rsidR="003055C5" w:rsidRPr="003055C5" w:rsidRDefault="003055C5" w:rsidP="00C554D6">
      <w:pPr>
        <w:pStyle w:val="L1-FlLSp12"/>
      </w:pPr>
    </w:p>
    <w:p w:rsidR="003055C5" w:rsidRPr="003055C5" w:rsidRDefault="003055C5" w:rsidP="00C554D6">
      <w:pPr>
        <w:pStyle w:val="L1-FlLSp12"/>
      </w:pPr>
      <w:r w:rsidRPr="003055C5">
        <w:t>The second component of the weighting process consists of adjustments for nonresponse. Nonresponse can occur at the household level at the recruitment stage when a household declines to participate or at the retrieval stage when a household initially participates in the recruitment survey but does not actually participate in the retrieval survey. In either case, selected households who should have participated (according to the sampling scheme) ultimately did not participate. Results for the nonparticipating households are not reflected by the use of base weights, and therefore nonresponse adjustments to these weights are made in an effort to represent the full household population by adjusting the weights of the actual participating sample to account for the nonparticipating households.</w:t>
      </w:r>
    </w:p>
    <w:p w:rsidR="003055C5" w:rsidRPr="003055C5" w:rsidRDefault="003055C5" w:rsidP="00C554D6">
      <w:pPr>
        <w:pStyle w:val="L1-FlLSp12"/>
      </w:pPr>
    </w:p>
    <w:p w:rsidR="003055C5" w:rsidRPr="003055C5" w:rsidRDefault="003055C5" w:rsidP="00C554D6">
      <w:pPr>
        <w:pStyle w:val="L1-FlLSp12"/>
      </w:pPr>
      <w:r w:rsidRPr="003055C5">
        <w:t xml:space="preserve">The third major component of the weighting is the application of additional adjustments, such as weight trimming and calibration. Unlike the previous two components, </w:t>
      </w:r>
      <w:r w:rsidR="00096CAF">
        <w:t>trimming</w:t>
      </w:r>
      <w:r w:rsidRPr="003055C5">
        <w:t xml:space="preserve"> is not directed primarily at minimizing the bias of survey estimates, but rather at reducing their variance, permitting more precise statements to be made about the travel patterns and behavior and comparisons among subgroups and over time. Trimming consists of reducing the weights for each participating sample unit whose weight, as a result of the calculation of base weights and the application of nonresponse adjustments, makes an unduly large relative contribution to the total weighted data set. Calibration consists of adjusting the weights of sample units in population subgroups so that the sum is equal to an independent, relatively reliable benchmark estimate of the size of that population subgroup. Calibration will be done at both the household and person levels by using raking procedures. Characteristics such as </w:t>
      </w:r>
      <w:r w:rsidR="00096CAF">
        <w:t xml:space="preserve">age, sex, </w:t>
      </w:r>
      <w:r w:rsidRPr="003055C5">
        <w:t>race, ethnicity, Census Division, MSA size, household size, number of household vehicles, and worker status will be considered for calibration.  We will implement the weight trimming procedure iteratively with the raking process so that the trimmed portions of the weights will be redistributed across all the remaining weights. This will ensure that the final weights will achieve consistency with the external population distributions without any excessively large survey weights.</w:t>
      </w:r>
    </w:p>
    <w:p w:rsidR="003055C5" w:rsidRPr="003055C5" w:rsidRDefault="003055C5" w:rsidP="00C554D6">
      <w:pPr>
        <w:pStyle w:val="L1-FlLSp12"/>
      </w:pPr>
    </w:p>
    <w:p w:rsidR="003055C5" w:rsidRPr="003055C5" w:rsidRDefault="003055C5" w:rsidP="00C554D6">
      <w:pPr>
        <w:pStyle w:val="L1-FlLSp12"/>
      </w:pPr>
      <w:r w:rsidRPr="003055C5">
        <w:t xml:space="preserve">Deriving these components of survey weights and combining them to produce a final weight is standard practice in complex sample surveys with some nonresponse. The underlying principles and standard practices are described in texts on survey sampling (e.g., </w:t>
      </w:r>
      <w:proofErr w:type="spellStart"/>
      <w:r w:rsidRPr="003055C5">
        <w:t>Sarndal</w:t>
      </w:r>
      <w:proofErr w:type="spellEnd"/>
      <w:r w:rsidRPr="003055C5">
        <w:t xml:space="preserve">, </w:t>
      </w:r>
      <w:proofErr w:type="spellStart"/>
      <w:r w:rsidRPr="003055C5">
        <w:t>Swensson</w:t>
      </w:r>
      <w:proofErr w:type="spellEnd"/>
      <w:r w:rsidRPr="003055C5">
        <w:t xml:space="preserve">, and </w:t>
      </w:r>
      <w:proofErr w:type="spellStart"/>
      <w:r w:rsidRPr="003055C5">
        <w:t>Wretman</w:t>
      </w:r>
      <w:proofErr w:type="spellEnd"/>
      <w:r w:rsidRPr="003055C5">
        <w:t xml:space="preserve">, 1992; </w:t>
      </w:r>
      <w:proofErr w:type="spellStart"/>
      <w:r w:rsidRPr="003055C5">
        <w:t>Lohr</w:t>
      </w:r>
      <w:proofErr w:type="spellEnd"/>
      <w:r w:rsidRPr="003055C5">
        <w:t xml:space="preserve">, 1999; </w:t>
      </w:r>
      <w:proofErr w:type="spellStart"/>
      <w:r w:rsidRPr="003055C5">
        <w:t>Heeringa</w:t>
      </w:r>
      <w:proofErr w:type="spellEnd"/>
      <w:r w:rsidRPr="003055C5">
        <w:t xml:space="preserve"> et a</w:t>
      </w:r>
      <w:r w:rsidR="00737E12">
        <w:t xml:space="preserve">l., 2010) and are reflected in </w:t>
      </w:r>
      <w:proofErr w:type="spellStart"/>
      <w:r w:rsidRPr="003055C5">
        <w:t>Westat’s</w:t>
      </w:r>
      <w:proofErr w:type="spellEnd"/>
      <w:r w:rsidRPr="003055C5">
        <w:t xml:space="preserve"> standard weighting procedures</w:t>
      </w:r>
      <w:r w:rsidR="00096CAF">
        <w:t xml:space="preserve"> (which are proprietary SAS macros that were developed and have been used for decades to produce weights for numerous surveys)</w:t>
      </w:r>
      <w:r w:rsidRPr="003055C5">
        <w:t xml:space="preserve">. </w:t>
      </w:r>
    </w:p>
    <w:p w:rsidR="003055C5" w:rsidRPr="003055C5" w:rsidRDefault="003055C5" w:rsidP="00C554D6">
      <w:pPr>
        <w:spacing w:line="276" w:lineRule="auto"/>
      </w:pPr>
    </w:p>
    <w:p w:rsidR="003055C5" w:rsidRPr="003055C5" w:rsidRDefault="003055C5" w:rsidP="00C554D6">
      <w:pPr>
        <w:pStyle w:val="L1-FlLSp12"/>
      </w:pPr>
      <w:r w:rsidRPr="003055C5">
        <w:t xml:space="preserve">In addition to the full-sample weights used to generate estimates from the survey, a set of replicate weights will also be created to allow users to compute variances of survey estimates and to conduct </w:t>
      </w:r>
      <w:r w:rsidRPr="003055C5">
        <w:lastRenderedPageBreak/>
        <w:t xml:space="preserve">inferential statistical analyses. Replication methods work by dividing the sample into subsamples (also referred to as replicates) that mirror the sample design. A weight is calculated for each replicate using the same procedures as used for the full-sample weight (as described above). That is, the nonresponse, trimming, and calibration adjustments will be replicated so the replicate variance estimator correctly accounts for the effects of these adjustments. The variation among the replicate estimates is then used to estimate the variance for the survey estimates. Replicate weights for the NHTS sample will be generated using the jackknife procedure, in which sampled households are formed into groups reflecting the sample design and each replicate corresponds to dropping one group. The replicate weights can be used with a software package, such </w:t>
      </w:r>
      <w:r w:rsidR="00F44472">
        <w:t xml:space="preserve">as </w:t>
      </w:r>
      <w:proofErr w:type="spellStart"/>
      <w:r w:rsidR="00F44472">
        <w:t>WesVar</w:t>
      </w:r>
      <w:proofErr w:type="spellEnd"/>
      <w:r w:rsidR="00F44472">
        <w:t>, SUDAAN, STATA or SAS</w:t>
      </w:r>
      <w:r w:rsidRPr="003055C5">
        <w:t>, to produce consistent variance estimators for totals, means, ratios, linear and logistic regression coefficients, etc.</w:t>
      </w:r>
    </w:p>
    <w:p w:rsidR="0024127F" w:rsidRDefault="0024127F" w:rsidP="0016171C">
      <w:pPr>
        <w:pStyle w:val="L1-FlLSp12"/>
        <w:ind w:left="360"/>
      </w:pPr>
    </w:p>
    <w:p w:rsidR="0024127F" w:rsidRPr="003055C5" w:rsidRDefault="00F97758" w:rsidP="003055C5">
      <w:pPr>
        <w:rPr>
          <w:b/>
          <w:i/>
        </w:rPr>
      </w:pPr>
      <w:r w:rsidRPr="003055C5">
        <w:rPr>
          <w:b/>
          <w:i/>
        </w:rPr>
        <w:t>Degree of Accuracy Needed</w:t>
      </w:r>
    </w:p>
    <w:p w:rsidR="003055C5" w:rsidRPr="003055C5" w:rsidRDefault="003055C5" w:rsidP="003055C5"/>
    <w:p w:rsidR="003055C5" w:rsidRPr="003055C5" w:rsidRDefault="003055C5" w:rsidP="00C554D6">
      <w:pPr>
        <w:pStyle w:val="BodyText"/>
        <w:spacing w:line="276" w:lineRule="auto"/>
        <w:rPr>
          <w:sz w:val="22"/>
          <w:szCs w:val="22"/>
        </w:rPr>
      </w:pPr>
      <w:r w:rsidRPr="003055C5">
        <w:rPr>
          <w:sz w:val="22"/>
          <w:szCs w:val="22"/>
        </w:rPr>
        <w:t>Because the NHTS provides data on a broad spectrum of household travel characteristics, it is impossible to estimate the precision for all possible transportation parameters of interest.  Table B-</w:t>
      </w:r>
      <w:r w:rsidR="000330E2">
        <w:rPr>
          <w:sz w:val="22"/>
          <w:szCs w:val="22"/>
        </w:rPr>
        <w:t>4</w:t>
      </w:r>
      <w:r w:rsidRPr="003055C5">
        <w:rPr>
          <w:sz w:val="22"/>
          <w:szCs w:val="22"/>
        </w:rPr>
        <w:t xml:space="preserve"> provides estimates of the expected precision for selected rate domains of interest to the primary users of the data.  </w:t>
      </w:r>
      <w:r w:rsidR="00AB2DAF">
        <w:rPr>
          <w:sz w:val="22"/>
          <w:szCs w:val="22"/>
        </w:rPr>
        <w:t xml:space="preserve">The 2009 NHTS precision estimates are used because the 2015 NHTS, with the same sample size, is expected to yield similar precision.  Despite design changes, the 2009 data remain the best indicator of 2015 precision estimates.  </w:t>
      </w:r>
    </w:p>
    <w:p w:rsidR="003055C5" w:rsidRDefault="003055C5" w:rsidP="003055C5">
      <w:pPr>
        <w:pStyle w:val="L1-FlLSp12"/>
        <w:ind w:left="360"/>
      </w:pPr>
    </w:p>
    <w:p w:rsidR="00737E12" w:rsidRDefault="00737E12">
      <w:pPr>
        <w:tabs>
          <w:tab w:val="clear" w:pos="1152"/>
        </w:tabs>
        <w:spacing w:line="240" w:lineRule="auto"/>
        <w:rPr>
          <w:b/>
        </w:rPr>
      </w:pPr>
      <w:r>
        <w:rPr>
          <w:b/>
        </w:rPr>
        <w:br w:type="page"/>
      </w:r>
    </w:p>
    <w:p w:rsidR="003055C5" w:rsidRDefault="003055C5" w:rsidP="003055C5">
      <w:pPr>
        <w:pStyle w:val="L1-FlLSp12"/>
        <w:rPr>
          <w:b/>
        </w:rPr>
      </w:pPr>
      <w:proofErr w:type="gramStart"/>
      <w:r w:rsidRPr="009F478A">
        <w:rPr>
          <w:b/>
        </w:rPr>
        <w:lastRenderedPageBreak/>
        <w:t>Table B-</w:t>
      </w:r>
      <w:r w:rsidR="000330E2">
        <w:rPr>
          <w:b/>
        </w:rPr>
        <w:t>4</w:t>
      </w:r>
      <w:r w:rsidRPr="009F478A">
        <w:rPr>
          <w:b/>
        </w:rPr>
        <w:t>.</w:t>
      </w:r>
      <w:proofErr w:type="gramEnd"/>
      <w:r w:rsidRPr="009F478A">
        <w:rPr>
          <w:b/>
        </w:rPr>
        <w:t xml:space="preserve">  Precision Estimates for Key Variables</w:t>
      </w:r>
    </w:p>
    <w:tbl>
      <w:tblPr>
        <w:tblW w:w="9240" w:type="dxa"/>
        <w:tblInd w:w="93" w:type="dxa"/>
        <w:tblLook w:val="04A0" w:firstRow="1" w:lastRow="0" w:firstColumn="1" w:lastColumn="0" w:noHBand="0" w:noVBand="1"/>
      </w:tblPr>
      <w:tblGrid>
        <w:gridCol w:w="2680"/>
        <w:gridCol w:w="1520"/>
        <w:gridCol w:w="1760"/>
        <w:gridCol w:w="1480"/>
        <w:gridCol w:w="1800"/>
      </w:tblGrid>
      <w:tr w:rsidR="003055C5" w:rsidRPr="000A0404" w:rsidTr="002D17D2">
        <w:trPr>
          <w:trHeight w:val="645"/>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b/>
                <w:bCs/>
                <w:color w:val="000000"/>
                <w:sz w:val="24"/>
                <w:szCs w:val="24"/>
              </w:rPr>
            </w:pPr>
            <w:r w:rsidRPr="000A0404">
              <w:rPr>
                <w:b/>
                <w:bCs/>
                <w:color w:val="000000"/>
                <w:sz w:val="24"/>
                <w:szCs w:val="24"/>
              </w:rPr>
              <w:t>Domain Description</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b/>
                <w:bCs/>
                <w:color w:val="000000"/>
                <w:sz w:val="24"/>
                <w:szCs w:val="24"/>
              </w:rPr>
            </w:pPr>
            <w:r w:rsidRPr="000A0404">
              <w:rPr>
                <w:b/>
                <w:bCs/>
                <w:color w:val="000000"/>
                <w:sz w:val="24"/>
                <w:szCs w:val="24"/>
              </w:rPr>
              <w:t>2009 Relative Domain Size</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b/>
                <w:bCs/>
                <w:color w:val="000000"/>
                <w:sz w:val="24"/>
                <w:szCs w:val="24"/>
              </w:rPr>
            </w:pPr>
            <w:r w:rsidRPr="000A0404">
              <w:rPr>
                <w:b/>
                <w:bCs/>
                <w:color w:val="000000"/>
                <w:sz w:val="24"/>
                <w:szCs w:val="24"/>
              </w:rPr>
              <w:t>2009  Number of observations</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b/>
                <w:bCs/>
                <w:color w:val="000000"/>
                <w:sz w:val="24"/>
                <w:szCs w:val="24"/>
              </w:rPr>
            </w:pPr>
            <w:r w:rsidRPr="000A0404">
              <w:rPr>
                <w:b/>
                <w:bCs/>
                <w:color w:val="000000"/>
                <w:sz w:val="24"/>
                <w:szCs w:val="24"/>
              </w:rPr>
              <w:t>2009  SE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b/>
                <w:bCs/>
                <w:color w:val="000000"/>
                <w:sz w:val="24"/>
                <w:szCs w:val="24"/>
              </w:rPr>
            </w:pPr>
            <w:r w:rsidRPr="000A0404">
              <w:rPr>
                <w:b/>
                <w:bCs/>
                <w:color w:val="000000"/>
                <w:sz w:val="24"/>
                <w:szCs w:val="24"/>
              </w:rPr>
              <w:t>2009  Relative Standard Error</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number of daily trips made by a household</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9.5 trips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150,147</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0.05</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+/-0.56 trips</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annual vehicle miles of travel per household</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19,850 miles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150,147</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270.87</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+/-1.36 miles</w:t>
            </w:r>
          </w:p>
        </w:tc>
      </w:tr>
      <w:tr w:rsidR="003055C5" w:rsidRPr="000A0404" w:rsidTr="002D17D2">
        <w:trPr>
          <w:trHeight w:val="762"/>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 xml:space="preserve">Average number of daily household shopping trips </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3.7 trips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150,147</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0.03</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+/-0.89 trips</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Percent of households that own an SUV</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31.28%</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150,147</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0.18</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+/-0.93%</w:t>
            </w:r>
          </w:p>
        </w:tc>
      </w:tr>
      <w:tr w:rsidR="003055C5" w:rsidRPr="000A0404" w:rsidTr="002D17D2">
        <w:trPr>
          <w:trHeight w:val="9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vehicle miles of travel per day in miles for Females aged 16-20</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31.0 miles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6,495</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1.43</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+/-4.62 miles</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Number of people who do not drive a vehicle</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30.31 million</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24,590</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505,548</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+/-1.67 people</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distance to work in miles</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5.50 miles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308,901</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0.06</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+/- 1.04 miles</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vehicle occupancy for trips of 11-15 miles</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1.67 people</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741,173</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0.01</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+/- 0.89 people</w:t>
            </w:r>
          </w:p>
        </w:tc>
      </w:tr>
      <w:tr w:rsidR="003055C5" w:rsidRPr="000A0404" w:rsidTr="002D17D2">
        <w:trPr>
          <w:trHeight w:val="9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time spent on driving to a shop in an urban area</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14.8 minutes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164,622</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0.31</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+/- 2.11 minutes</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time spent driving on any trip (nationwide)</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19.91 minutes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1,164,458</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0.14</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+/- 0.72 minutes</w:t>
            </w:r>
          </w:p>
        </w:tc>
      </w:tr>
      <w:tr w:rsidR="003055C5" w:rsidRPr="000A0404" w:rsidTr="002D17D2">
        <w:trPr>
          <w:trHeight w:val="6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trip duration for motorcycle riders</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25 minutes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3,207</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1.55</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+/- 6.31 minutes</w:t>
            </w:r>
          </w:p>
        </w:tc>
      </w:tr>
      <w:tr w:rsidR="003055C5" w:rsidRPr="000A0404" w:rsidTr="002D17D2">
        <w:trPr>
          <w:trHeight w:val="915"/>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rPr>
                <w:color w:val="000000"/>
              </w:rPr>
            </w:pPr>
            <w:r w:rsidRPr="000A0404">
              <w:rPr>
                <w:color w:val="000000"/>
              </w:rPr>
              <w:t>Average daily vehicle miles driven for people not born in the United States</w:t>
            </w:r>
          </w:p>
        </w:tc>
        <w:tc>
          <w:tcPr>
            <w:tcW w:w="152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30.9 miles</w:t>
            </w:r>
          </w:p>
        </w:tc>
        <w:tc>
          <w:tcPr>
            <w:tcW w:w="176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25,990</w:t>
            </w:r>
          </w:p>
        </w:tc>
        <w:tc>
          <w:tcPr>
            <w:tcW w:w="148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1.62</w:t>
            </w:r>
          </w:p>
        </w:tc>
        <w:tc>
          <w:tcPr>
            <w:tcW w:w="1800" w:type="dxa"/>
            <w:tcBorders>
              <w:top w:val="nil"/>
              <w:left w:val="nil"/>
              <w:bottom w:val="single" w:sz="8" w:space="0" w:color="auto"/>
              <w:right w:val="single" w:sz="8" w:space="0" w:color="auto"/>
            </w:tcBorders>
            <w:shd w:val="clear" w:color="auto" w:fill="auto"/>
            <w:vAlign w:val="center"/>
            <w:hideMark/>
          </w:tcPr>
          <w:p w:rsidR="003055C5" w:rsidRPr="000A0404" w:rsidRDefault="003055C5" w:rsidP="002D17D2">
            <w:pPr>
              <w:tabs>
                <w:tab w:val="clear" w:pos="1152"/>
              </w:tabs>
              <w:spacing w:line="240" w:lineRule="auto"/>
              <w:jc w:val="center"/>
              <w:rPr>
                <w:color w:val="000000"/>
              </w:rPr>
            </w:pPr>
            <w:r w:rsidRPr="000A0404">
              <w:rPr>
                <w:color w:val="000000"/>
              </w:rPr>
              <w:t>+/- 5.24 mile</w:t>
            </w:r>
          </w:p>
        </w:tc>
      </w:tr>
    </w:tbl>
    <w:p w:rsidR="003055C5" w:rsidRDefault="003055C5" w:rsidP="0016171C">
      <w:pPr>
        <w:pStyle w:val="L1-FlLSp12"/>
        <w:ind w:left="360"/>
      </w:pPr>
    </w:p>
    <w:p w:rsidR="0024127F" w:rsidRDefault="00B0769D" w:rsidP="00B0769D">
      <w:pPr>
        <w:pStyle w:val="L1-FlLSp12"/>
        <w:rPr>
          <w:i/>
        </w:rPr>
      </w:pPr>
      <w:r w:rsidRPr="00B0769D">
        <w:rPr>
          <w:i/>
        </w:rPr>
        <w:t>Less Than Annual Periodic Data Cycles</w:t>
      </w:r>
    </w:p>
    <w:p w:rsidR="00B0769D" w:rsidRPr="00B0769D" w:rsidRDefault="00B0769D" w:rsidP="00B0769D">
      <w:pPr>
        <w:pStyle w:val="L1-FlLSp12"/>
      </w:pPr>
      <w:r>
        <w:t>The NHTS has been conducted at approximately 5 year intervals since 1969. Fielding a survey to net about 2</w:t>
      </w:r>
      <w:r w:rsidR="006F3548">
        <w:t>6</w:t>
      </w:r>
      <w:r>
        <w:t>,000 households every five years is sufficient for the Department of Transportation, States, MPOs, and other users of NHTS data.</w:t>
      </w:r>
    </w:p>
    <w:p w:rsidR="00B0769D" w:rsidRPr="00B0769D" w:rsidRDefault="00B0769D" w:rsidP="00B0769D">
      <w:pPr>
        <w:pStyle w:val="L1-FlLSp12"/>
      </w:pPr>
    </w:p>
    <w:p w:rsidR="008F0039" w:rsidRPr="008F0039" w:rsidRDefault="00B0769D" w:rsidP="008F0039">
      <w:pPr>
        <w:rPr>
          <w:i/>
          <w:color w:val="324162"/>
        </w:rPr>
      </w:pPr>
      <w:r>
        <w:rPr>
          <w:i/>
        </w:rPr>
        <w:t>N</w:t>
      </w:r>
      <w:r w:rsidR="008F0039" w:rsidRPr="008F0039">
        <w:rPr>
          <w:i/>
        </w:rPr>
        <w:t xml:space="preserve">on-response Follow-up Methodology </w:t>
      </w:r>
    </w:p>
    <w:p w:rsidR="008F0039" w:rsidRPr="008F0039" w:rsidRDefault="008F0039" w:rsidP="00520F9B">
      <w:pPr>
        <w:spacing w:line="276" w:lineRule="auto"/>
      </w:pPr>
      <w:r w:rsidRPr="008F0039">
        <w:t xml:space="preserve">A well-designed plan for follow-up of non-respondents during data collection is critical to maximizing response rates. Because the information available to contact sampled households differs across the two phases of data collection, </w:t>
      </w:r>
      <w:r w:rsidR="002D17D2">
        <w:t>a</w:t>
      </w:r>
      <w:r w:rsidRPr="008F0039">
        <w:t xml:space="preserve"> non-response follow-up </w:t>
      </w:r>
      <w:r w:rsidR="002D17D2">
        <w:t>will be</w:t>
      </w:r>
      <w:r w:rsidRPr="008F0039">
        <w:t xml:space="preserve"> phase-specific. In the recruitment phase, a </w:t>
      </w:r>
      <w:r w:rsidRPr="008F0039">
        <w:lastRenderedPageBreak/>
        <w:t xml:space="preserve">sequence of contacts based on design principles for mail surveys laid out by </w:t>
      </w:r>
      <w:proofErr w:type="spellStart"/>
      <w:r w:rsidRPr="008F0039">
        <w:t>Dillman</w:t>
      </w:r>
      <w:proofErr w:type="spellEnd"/>
      <w:r w:rsidRPr="008F0039">
        <w:t>, Smyth, and Christian (2009)</w:t>
      </w:r>
      <w:r w:rsidR="002D17D2">
        <w:t xml:space="preserve"> will be used</w:t>
      </w:r>
      <w:r w:rsidRPr="008F0039">
        <w:t xml:space="preserve">. </w:t>
      </w:r>
      <w:r w:rsidR="002D17D2">
        <w:t>Seven days</w:t>
      </w:r>
      <w:r w:rsidRPr="008F0039">
        <w:t xml:space="preserve"> after mailing the initial recruitment package, </w:t>
      </w:r>
      <w:r w:rsidR="002D17D2">
        <w:t xml:space="preserve">a postcard reminder </w:t>
      </w:r>
      <w:r w:rsidRPr="008F0039">
        <w:t>will</w:t>
      </w:r>
      <w:r w:rsidR="002D17D2">
        <w:t xml:space="preserve"> be sent to</w:t>
      </w:r>
      <w:r w:rsidRPr="008F0039">
        <w:t xml:space="preserve"> all sampled addresses who have not yet returned their recruitment survey</w:t>
      </w:r>
      <w:r w:rsidR="002D17D2">
        <w:t>.</w:t>
      </w:r>
      <w:r w:rsidRPr="008F0039">
        <w:t xml:space="preserve"> Twenty-one days after the</w:t>
      </w:r>
      <w:r w:rsidR="002D17D2">
        <w:t xml:space="preserve"> initial recruitment invitation</w:t>
      </w:r>
      <w:r w:rsidRPr="008F0039">
        <w:t xml:space="preserve">, a second recruitment package will be mailed, without an incentive to all households that have not returned their recruitment questionnaires. </w:t>
      </w:r>
    </w:p>
    <w:p w:rsidR="008F0039" w:rsidRPr="008F0039" w:rsidRDefault="008F0039" w:rsidP="00520F9B">
      <w:pPr>
        <w:spacing w:line="276" w:lineRule="auto"/>
      </w:pPr>
    </w:p>
    <w:p w:rsidR="008F0039" w:rsidRPr="00520F9B" w:rsidRDefault="008F0039" w:rsidP="00520F9B">
      <w:pPr>
        <w:spacing w:line="276" w:lineRule="auto"/>
      </w:pPr>
      <w:r w:rsidRPr="00520F9B">
        <w:t>For the retrieval phase, the primary mode of data collection is web</w:t>
      </w:r>
      <w:r w:rsidR="002D17D2">
        <w:t>.  R</w:t>
      </w:r>
      <w:r w:rsidRPr="00520F9B">
        <w:t>eminders and non-response follow-up will make use of other modes</w:t>
      </w:r>
      <w:r w:rsidR="00520F9B">
        <w:t xml:space="preserve">. </w:t>
      </w:r>
      <w:r w:rsidRPr="00520F9B">
        <w:t xml:space="preserve"> </w:t>
      </w:r>
      <w:r w:rsidR="002D17D2">
        <w:t>Since the recruitment survey collects telephone numbers and email addresses, an</w:t>
      </w:r>
      <w:r w:rsidRPr="00520F9B">
        <w:t xml:space="preserve"> attem</w:t>
      </w:r>
      <w:r w:rsidR="002D17D2">
        <w:t>pt</w:t>
      </w:r>
      <w:r w:rsidRPr="00520F9B">
        <w:t xml:space="preserve"> to contact non</w:t>
      </w:r>
      <w:r w:rsidR="00900AF3">
        <w:t>-</w:t>
      </w:r>
      <w:r w:rsidRPr="00520F9B">
        <w:t>respondents</w:t>
      </w:r>
      <w:r w:rsidR="002D17D2">
        <w:t xml:space="preserve"> will be conducted by</w:t>
      </w:r>
      <w:r w:rsidRPr="00520F9B">
        <w:t xml:space="preserve"> email, text, and telephone</w:t>
      </w:r>
      <w:r w:rsidR="002D17D2">
        <w:t xml:space="preserve">. </w:t>
      </w:r>
      <w:r w:rsidR="00FA05D9">
        <w:t xml:space="preserve"> During the recruitment survey phase, respondents are asked to state their preferred mode for receiving reminders</w:t>
      </w:r>
      <w:r w:rsidR="00DE580A">
        <w:t xml:space="preserve">. </w:t>
      </w:r>
      <w:r w:rsidR="002D17D2">
        <w:t xml:space="preserve">These </w:t>
      </w:r>
      <w:r w:rsidR="002D17D2" w:rsidRPr="00A429A7">
        <w:t>particular data collection modes have</w:t>
      </w:r>
      <w:r w:rsidRPr="00A429A7">
        <w:t xml:space="preserve"> prove</w:t>
      </w:r>
      <w:r w:rsidR="002D17D2" w:rsidRPr="00A429A7">
        <w:t>n to be</w:t>
      </w:r>
      <w:r w:rsidRPr="00A429A7">
        <w:t xml:space="preserve"> beneficial</w:t>
      </w:r>
      <w:r w:rsidR="00A429A7" w:rsidRPr="00A429A7">
        <w:t xml:space="preserve"> in </w:t>
      </w:r>
      <w:proofErr w:type="spellStart"/>
      <w:r w:rsidR="00A429A7" w:rsidRPr="00A429A7">
        <w:t>Westat</w:t>
      </w:r>
      <w:proofErr w:type="spellEnd"/>
      <w:r w:rsidR="00A429A7" w:rsidRPr="00A429A7">
        <w:t xml:space="preserve"> projects</w:t>
      </w:r>
      <w:r w:rsidRPr="00A429A7">
        <w:t xml:space="preserve"> in boosting response rates both overall and for subgroups such as those less likely to have access to the web, those with privacy concerns associated with transmitting data through the Internet, and those who simply prefer the telephone over the computer as a means of communication.</w:t>
      </w:r>
    </w:p>
    <w:p w:rsidR="008F0039" w:rsidRPr="008F0039" w:rsidRDefault="008F0039" w:rsidP="00520F9B">
      <w:pPr>
        <w:spacing w:line="276" w:lineRule="auto"/>
      </w:pPr>
    </w:p>
    <w:p w:rsidR="008F0039" w:rsidRPr="008F0039" w:rsidRDefault="008F0039" w:rsidP="00520F9B">
      <w:pPr>
        <w:spacing w:line="276" w:lineRule="auto"/>
      </w:pPr>
      <w:r w:rsidRPr="00900AF3">
        <w:t>Non-response</w:t>
      </w:r>
      <w:r w:rsidRPr="008F0039">
        <w:t xml:space="preserve"> may bias survey estimates if the characteristics of respondents differ from those of non-respondents. Traditionally, the size of the bias has been viewed as a deterministic function of the size of the response difference and the response rate (see, for example, </w:t>
      </w:r>
      <w:proofErr w:type="spellStart"/>
      <w:r w:rsidRPr="008F0039">
        <w:t>Sarndal</w:t>
      </w:r>
      <w:proofErr w:type="spellEnd"/>
      <w:r w:rsidRPr="008F0039">
        <w:t xml:space="preserve">&amp; </w:t>
      </w:r>
      <w:proofErr w:type="spellStart"/>
      <w:r w:rsidRPr="008F0039">
        <w:t>Lundström</w:t>
      </w:r>
      <w:proofErr w:type="spellEnd"/>
      <w:r w:rsidRPr="008F0039">
        <w:t>, 2005,</w:t>
      </w:r>
      <w:r w:rsidRPr="00520F9B">
        <w:rPr>
          <w:vertAlign w:val="superscript"/>
        </w:rPr>
        <w:footnoteReference w:id="12"/>
      </w:r>
      <w:r w:rsidRPr="008F0039">
        <w:t xml:space="preserve"> for discussion). More recently, the emphasis has shifted toward a stochastic perspective that characterizes non-response bias by examining the relationship between the key variable and the response propensity (Groves et al., 2007</w:t>
      </w:r>
      <w:r w:rsidRPr="00520F9B">
        <w:rPr>
          <w:vertAlign w:val="superscript"/>
        </w:rPr>
        <w:footnoteReference w:id="13"/>
      </w:r>
      <w:r w:rsidRPr="008F0039">
        <w:t xml:space="preserve">; </w:t>
      </w:r>
      <w:proofErr w:type="spellStart"/>
      <w:r w:rsidRPr="008F0039">
        <w:t>Montaquila</w:t>
      </w:r>
      <w:proofErr w:type="spellEnd"/>
      <w:r w:rsidRPr="008F0039">
        <w:t xml:space="preserve"> et al., 2007</w:t>
      </w:r>
      <w:r w:rsidRPr="00520F9B">
        <w:rPr>
          <w:vertAlign w:val="superscript"/>
        </w:rPr>
        <w:footnoteReference w:id="14"/>
      </w:r>
      <w:r w:rsidRPr="008F0039">
        <w:t>)</w:t>
      </w:r>
      <w:r w:rsidR="005A40ED">
        <w:t>; for example, if the propensity to respond is related to the number of trips an adult takes (e.g., adults taking more trips are less likely to respond), then estimates of the total number of trips may be subject to nonresponse bias</w:t>
      </w:r>
      <w:r w:rsidRPr="008F0039">
        <w:t>. Adjustments to the survey weights aim to reduce bias due to non-response. However, even with such adjustments, it is important to have a plan to evaluate the potential for non-response bias</w:t>
      </w:r>
      <w:r w:rsidR="00673C1A">
        <w:t xml:space="preserve"> as described below</w:t>
      </w:r>
      <w:r w:rsidRPr="008F0039">
        <w:t>.</w:t>
      </w:r>
    </w:p>
    <w:p w:rsidR="008F0039" w:rsidRPr="008F0039" w:rsidRDefault="008F0039" w:rsidP="00520F9B">
      <w:pPr>
        <w:spacing w:line="276" w:lineRule="auto"/>
      </w:pPr>
    </w:p>
    <w:p w:rsidR="008F0039" w:rsidRPr="008F0039" w:rsidRDefault="00900AF3" w:rsidP="00520F9B">
      <w:pPr>
        <w:spacing w:line="276" w:lineRule="auto"/>
      </w:pPr>
      <w:r>
        <w:t xml:space="preserve">With respect to non-response, the largest concern for the 2015 NHTS is non-response in the recruitment phase. There are a </w:t>
      </w:r>
      <w:r w:rsidR="008F0039" w:rsidRPr="008F0039">
        <w:t>variety of methods available to assess non-response bias. Previous research has suggested that each of these methods has strengths and weaknesses, thus a multi-method approach is recommended for a comprehensive evaluation of non-response bias.</w:t>
      </w:r>
      <w:r>
        <w:t xml:space="preserve"> In previous NHTS, t</w:t>
      </w:r>
      <w:r w:rsidR="008F0039" w:rsidRPr="008F0039">
        <w:t>he recruitment phase is the phase that historically</w:t>
      </w:r>
      <w:r w:rsidR="00673C1A">
        <w:t xml:space="preserve"> </w:t>
      </w:r>
      <w:r w:rsidR="008F0039" w:rsidRPr="008F0039">
        <w:t>yielded the bulk of the non-response</w:t>
      </w:r>
      <w:r>
        <w:t xml:space="preserve"> due</w:t>
      </w:r>
      <w:r w:rsidR="0039792F">
        <w:t xml:space="preserve"> in part to </w:t>
      </w:r>
      <w:r w:rsidR="00673C1A">
        <w:t>the length and complexity of the required response. T</w:t>
      </w:r>
      <w:r w:rsidR="008F0039" w:rsidRPr="008F0039">
        <w:t xml:space="preserve">hat is expected to be the case for the 2015 survey as well, even with the shift to a mail-based ABS approach. </w:t>
      </w:r>
      <w:r>
        <w:t>However, t</w:t>
      </w:r>
      <w:r w:rsidR="008F0039" w:rsidRPr="008F0039">
        <w:t>he ABS approach affords the opportunity to link in covariates at both aggregate (e.g., tract-level characteristics from the American Community Survey) and address-level, for use in non-response adjustment and in bias analyses.</w:t>
      </w:r>
      <w:r w:rsidR="009017C7">
        <w:t xml:space="preserve"> In addition, the recruitment survey has been shortened </w:t>
      </w:r>
      <w:r w:rsidR="00DE580A">
        <w:t>considerably</w:t>
      </w:r>
      <w:r w:rsidR="009017C7">
        <w:t xml:space="preserve"> in order to reduce the initial burden of the respondent.</w:t>
      </w:r>
    </w:p>
    <w:p w:rsidR="00520F9B" w:rsidRDefault="00520F9B" w:rsidP="00520F9B">
      <w:pPr>
        <w:spacing w:line="276" w:lineRule="auto"/>
      </w:pPr>
    </w:p>
    <w:p w:rsidR="008F0039" w:rsidRPr="008F0039" w:rsidRDefault="008F0039" w:rsidP="00520F9B">
      <w:pPr>
        <w:spacing w:line="276" w:lineRule="auto"/>
      </w:pPr>
      <w:r w:rsidRPr="008F0039">
        <w:lastRenderedPageBreak/>
        <w:t>The recruitment survey contain</w:t>
      </w:r>
      <w:r w:rsidR="00601F46">
        <w:t>s</w:t>
      </w:r>
      <w:r w:rsidRPr="008F0039">
        <w:t xml:space="preserve"> several variables (e.g., number of household members</w:t>
      </w:r>
      <w:r w:rsidR="00601F46">
        <w:t>, gender and ethnicity</w:t>
      </w:r>
      <w:r w:rsidRPr="008F0039">
        <w:t>) that may be associated with non-response to the retrieval phase and are associated with key survey outcome variables. Having this rich set of variables will be very useful for non-response adjustment and non-response bias analysis at the retrieval phase.</w:t>
      </w:r>
    </w:p>
    <w:p w:rsidR="008F0039" w:rsidRPr="008F0039" w:rsidRDefault="008F0039" w:rsidP="00520F9B">
      <w:pPr>
        <w:spacing w:line="276" w:lineRule="auto"/>
      </w:pPr>
    </w:p>
    <w:p w:rsidR="00253EC0" w:rsidRPr="00B36F4D" w:rsidRDefault="00253EC0" w:rsidP="00846F1B">
      <w:pPr>
        <w:pStyle w:val="L1-FlLSp12"/>
        <w:numPr>
          <w:ilvl w:val="0"/>
          <w:numId w:val="8"/>
        </w:numPr>
        <w:rPr>
          <w:i/>
        </w:rPr>
      </w:pPr>
      <w:r w:rsidRPr="00B36F4D">
        <w:rPr>
          <w:i/>
        </w:rPr>
        <w:t>Describe methods to maximize response rate:</w:t>
      </w:r>
    </w:p>
    <w:p w:rsidR="003E6CDF" w:rsidRPr="00B36F4D" w:rsidRDefault="003E6CDF" w:rsidP="004D3C31">
      <w:pPr>
        <w:pStyle w:val="L1-FlLSp12"/>
      </w:pPr>
      <w:r w:rsidRPr="00B36F4D">
        <w:t xml:space="preserve">In recent experience, </w:t>
      </w:r>
      <w:r w:rsidR="007612AF">
        <w:t>the consultant</w:t>
      </w:r>
      <w:r w:rsidR="007612AF" w:rsidRPr="00B36F4D">
        <w:t xml:space="preserve"> </w:t>
      </w:r>
      <w:r w:rsidRPr="00B36F4D">
        <w:t>has found the best combination of low-cost</w:t>
      </w:r>
      <w:r w:rsidR="007612AF">
        <w:t xml:space="preserve"> and effective </w:t>
      </w:r>
      <w:r w:rsidRPr="00B36F4D">
        <w:t xml:space="preserve">data collection modes to be mail and web. </w:t>
      </w:r>
      <w:r w:rsidR="00601F46">
        <w:t>T</w:t>
      </w:r>
      <w:r w:rsidRPr="00B36F4D">
        <w:t>elephone can be used to provide minor improvements to participation rates for a few respondents who will not participate by mail or web. Engaging respondents using user-friendly instruments is an essential ingredient to the success of any mode. Incentives are effective, but large incentives for low-cost alternatives are not necessary or even desirable.</w:t>
      </w:r>
      <w:r w:rsidRPr="00B36F4D">
        <w:rPr>
          <w:rStyle w:val="FootnoteReference"/>
        </w:rPr>
        <w:footnoteReference w:id="15"/>
      </w:r>
      <w:r w:rsidRPr="00B36F4D">
        <w:t xml:space="preserve"> </w:t>
      </w:r>
      <w:r w:rsidR="007612AF">
        <w:t xml:space="preserve">The survey </w:t>
      </w:r>
      <w:r w:rsidRPr="00B36F4D">
        <w:t xml:space="preserve">design </w:t>
      </w:r>
      <w:r w:rsidR="007612AF">
        <w:t>must</w:t>
      </w:r>
      <w:r w:rsidR="007612AF" w:rsidRPr="00B36F4D">
        <w:t xml:space="preserve"> </w:t>
      </w:r>
      <w:r w:rsidRPr="00B36F4D">
        <w:t>appeal to the importance and relevance of the research, and rely on social exchange theory</w:t>
      </w:r>
      <w:r w:rsidRPr="00B36F4D">
        <w:rPr>
          <w:rStyle w:val="FootnoteReference"/>
        </w:rPr>
        <w:footnoteReference w:id="16"/>
      </w:r>
      <w:r w:rsidRPr="00B36F4D">
        <w:t xml:space="preserve"> as a way of generating responses. These principles have helped structure the </w:t>
      </w:r>
      <w:r w:rsidR="002F4934">
        <w:t>research</w:t>
      </w:r>
      <w:r w:rsidRPr="00B36F4D">
        <w:t xml:space="preserve"> design.</w:t>
      </w:r>
    </w:p>
    <w:p w:rsidR="003E6CDF" w:rsidRPr="00B36F4D" w:rsidRDefault="003E6CDF" w:rsidP="004D3C31">
      <w:pPr>
        <w:pStyle w:val="L1-FlLSp12"/>
      </w:pPr>
    </w:p>
    <w:p w:rsidR="003E6CDF" w:rsidRPr="00B36F4D" w:rsidRDefault="00973835" w:rsidP="004D3C31">
      <w:pPr>
        <w:pStyle w:val="L1-FlLSp12"/>
        <w:rPr>
          <w:vertAlign w:val="superscript"/>
        </w:rPr>
      </w:pPr>
      <w:r>
        <w:t>The research approach</w:t>
      </w:r>
      <w:r w:rsidR="003E6CDF" w:rsidRPr="00B36F4D">
        <w:t xml:space="preserve"> is heavily influenced by the findings of previous research, especially Messer and </w:t>
      </w:r>
      <w:proofErr w:type="spellStart"/>
      <w:r w:rsidR="003E6CDF" w:rsidRPr="00B36F4D">
        <w:t>Dillman</w:t>
      </w:r>
      <w:proofErr w:type="spellEnd"/>
      <w:r w:rsidR="003E6CDF" w:rsidRPr="00B36F4D">
        <w:t xml:space="preserve"> (2011)</w:t>
      </w:r>
      <w:r w:rsidR="003E6CDF" w:rsidRPr="00B36F4D">
        <w:rPr>
          <w:rStyle w:val="FootnoteReference"/>
        </w:rPr>
        <w:footnoteReference w:id="17"/>
      </w:r>
      <w:r w:rsidR="003E6CDF" w:rsidRPr="00B36F4D">
        <w:t xml:space="preserve"> and Millar and </w:t>
      </w:r>
      <w:proofErr w:type="spellStart"/>
      <w:r w:rsidR="003E6CDF" w:rsidRPr="00B36F4D">
        <w:t>Dillman</w:t>
      </w:r>
      <w:proofErr w:type="spellEnd"/>
      <w:r w:rsidR="003E6CDF" w:rsidRPr="00B36F4D">
        <w:t xml:space="preserve"> (2011)</w:t>
      </w:r>
      <w:r w:rsidR="003E6CDF" w:rsidRPr="00B36F4D">
        <w:rPr>
          <w:rStyle w:val="FootnoteReference"/>
        </w:rPr>
        <w:footnoteReference w:id="18"/>
      </w:r>
      <w:r w:rsidR="003E6CDF" w:rsidRPr="00B36F4D">
        <w:t xml:space="preserve"> who explored ways of pushing sampled persons to the web to respond. Although the requirements for their surveys were very different from those of the NHTS, their findings do generalize in several ways to this work. Other work in this area is also informative, but the lack of adequate experimental design in many cases makes it more diffi</w:t>
      </w:r>
      <w:r w:rsidR="00687DDA">
        <w:t>cult to generalize those result</w:t>
      </w:r>
      <w:r w:rsidR="00411CAD">
        <w:t>s</w:t>
      </w:r>
      <w:r w:rsidR="003E6CDF" w:rsidRPr="00B36F4D">
        <w:rPr>
          <w:rStyle w:val="FootnoteReference"/>
        </w:rPr>
        <w:footnoteReference w:id="19"/>
      </w:r>
      <w:proofErr w:type="gramStart"/>
      <w:r w:rsidR="003E6CDF" w:rsidRPr="00B36F4D">
        <w:rPr>
          <w:vertAlign w:val="superscript"/>
        </w:rPr>
        <w:t>,</w:t>
      </w:r>
      <w:r w:rsidR="003E6CDF" w:rsidRPr="00B36F4D">
        <w:rPr>
          <w:rStyle w:val="FootnoteReference"/>
        </w:rPr>
        <w:footnoteReference w:id="20"/>
      </w:r>
      <w:r w:rsidR="00687DDA">
        <w:rPr>
          <w:vertAlign w:val="superscript"/>
        </w:rPr>
        <w:t>.</w:t>
      </w:r>
      <w:proofErr w:type="gramEnd"/>
    </w:p>
    <w:p w:rsidR="0016171C" w:rsidRPr="00B36F4D" w:rsidRDefault="0016171C" w:rsidP="003E6CDF">
      <w:pPr>
        <w:pStyle w:val="L1-FlLSp12"/>
        <w:ind w:left="360"/>
        <w:rPr>
          <w:vertAlign w:val="superscript"/>
        </w:rPr>
      </w:pPr>
    </w:p>
    <w:p w:rsidR="0016171C" w:rsidRPr="00B36F4D" w:rsidRDefault="0016171C" w:rsidP="004D3C31">
      <w:pPr>
        <w:pStyle w:val="L1-FlLSp12"/>
      </w:pPr>
      <w:r w:rsidRPr="00B36F4D">
        <w:t>A flowchart depicting the recruitment process is presented in Figure 2</w:t>
      </w:r>
      <w:r w:rsidR="00973835">
        <w:t xml:space="preserve"> above</w:t>
      </w:r>
      <w:r w:rsidRPr="00B36F4D">
        <w:t xml:space="preserve">. The initial recruitment package will include a letter signed by an appropriate Department of Transportation official, a $2 incentive, the survey and a Business Reply Envelope to be used to return the completed survey. A reminder postcard will be sent to each sampled address 7 days after the initial mailing. Three weeks after the initial mailing all non-responding addresses will be sent a second survey packet (without incentive). </w:t>
      </w:r>
    </w:p>
    <w:p w:rsidR="0016171C" w:rsidRPr="00B36F4D" w:rsidRDefault="0016171C" w:rsidP="0016171C">
      <w:pPr>
        <w:pStyle w:val="L1-FlLSp12"/>
        <w:ind w:left="360"/>
      </w:pPr>
    </w:p>
    <w:p w:rsidR="001B118E" w:rsidRDefault="001B118E" w:rsidP="00183121">
      <w:pPr>
        <w:pStyle w:val="L1-FlLSp12"/>
      </w:pPr>
      <w:r w:rsidRPr="00B36F4D">
        <w:t>The final request for participation will be sent 44 days after the first mailing to those who have not responded by mail. This postcard will provide an invitation to complete the recruitment surv</w:t>
      </w:r>
      <w:r w:rsidR="00CE6E5F">
        <w:t>ey on the web. We do not plan</w:t>
      </w:r>
      <w:r w:rsidRPr="00B36F4D">
        <w:t xml:space="preserve"> to attempt to call non-responding households at the recruitment stage because previous</w:t>
      </w:r>
      <w:r w:rsidR="00673A95">
        <w:t xml:space="preserve"> </w:t>
      </w:r>
      <w:proofErr w:type="spellStart"/>
      <w:r w:rsidR="00673A95">
        <w:t>Westat</w:t>
      </w:r>
      <w:proofErr w:type="spellEnd"/>
      <w:r w:rsidRPr="00B36F4D">
        <w:t xml:space="preserve"> studies have shown very little success in supplementing the primary recruitment response mode using telephone outreach</w:t>
      </w:r>
      <w:r w:rsidRPr="00B36F4D" w:rsidDel="00D31560">
        <w:t>.</w:t>
      </w:r>
      <w:r w:rsidRPr="00B36F4D">
        <w:t xml:space="preserve"> Similarly, we p</w:t>
      </w:r>
      <w:r w:rsidR="00CE6E5F">
        <w:t>lan</w:t>
      </w:r>
      <w:r w:rsidRPr="00B36F4D">
        <w:t xml:space="preserve"> to wait to offer a web recruitment response mode until </w:t>
      </w:r>
      <w:r w:rsidRPr="00B36F4D">
        <w:lastRenderedPageBreak/>
        <w:t xml:space="preserve">the final postcard, as previous research </w:t>
      </w:r>
      <w:r w:rsidR="00A92D09">
        <w:t>(e.g., Smyth et al. 2010</w:t>
      </w:r>
      <w:r w:rsidR="00A92D09">
        <w:rPr>
          <w:rStyle w:val="FootnoteReference"/>
        </w:rPr>
        <w:footnoteReference w:id="21"/>
      </w:r>
      <w:r w:rsidR="00A92D09">
        <w:t xml:space="preserve">) </w:t>
      </w:r>
      <w:r w:rsidRPr="00B36F4D">
        <w:t xml:space="preserve">has shown that more than one initial response mode reduces participation. </w:t>
      </w:r>
      <w:r w:rsidR="00673A95">
        <w:t xml:space="preserve"> The </w:t>
      </w:r>
      <w:r w:rsidR="00673A95" w:rsidRPr="000403FD">
        <w:t>44 day period</w:t>
      </w:r>
      <w:r w:rsidR="00673A95">
        <w:t xml:space="preserve"> allows the primary methodology to be fully executed before engaging the non-response protocol.</w:t>
      </w:r>
    </w:p>
    <w:p w:rsidR="00C918ED" w:rsidRDefault="00C918ED" w:rsidP="00183121">
      <w:pPr>
        <w:pStyle w:val="L1-FlLSp12"/>
      </w:pPr>
    </w:p>
    <w:p w:rsidR="00C918ED" w:rsidRDefault="00C918ED" w:rsidP="00C918ED">
      <w:pPr>
        <w:pStyle w:val="L1-FlLSp12"/>
      </w:pPr>
      <w:r w:rsidRPr="00B36F4D">
        <w:t xml:space="preserve">Figure 3 </w:t>
      </w:r>
      <w:r>
        <w:t xml:space="preserve">above </w:t>
      </w:r>
      <w:r w:rsidRPr="00B36F4D">
        <w:t xml:space="preserve">provides the flow diagram overview for the retrieval process, including the multiple reminder contacts built into the data collection plan to facilitate accurate tracking and early reporting of all the places visited on the travel day. The retrieval stage begins with a travel log package sent to each recruited household. This package will contain a letter that explains the next steps, identifies the assigned travel date, discusses the incentive for completion and provides information about how to contact </w:t>
      </w:r>
      <w:r w:rsidR="00601F46">
        <w:t>the consultant for questions or assistance in completing the survey</w:t>
      </w:r>
      <w:r w:rsidRPr="00B36F4D">
        <w:t xml:space="preserve">. </w:t>
      </w:r>
      <w:r w:rsidR="00737E12">
        <w:t xml:space="preserve">Help desk staff </w:t>
      </w:r>
      <w:r w:rsidR="00601F46">
        <w:t>will be</w:t>
      </w:r>
      <w:r w:rsidR="00D01551">
        <w:t xml:space="preserve"> </w:t>
      </w:r>
      <w:r w:rsidR="00601F46">
        <w:t xml:space="preserve">trained in all aspects of the study to enable them to efficiently respond to frequently asked questions, technology issues, and entering survey data onto the web. </w:t>
      </w:r>
      <w:r w:rsidRPr="00B36F4D">
        <w:t>Also included in the package will be personalized travel logs for each household member age</w:t>
      </w:r>
      <w:r>
        <w:t>s</w:t>
      </w:r>
      <w:r w:rsidRPr="00B36F4D">
        <w:t xml:space="preserve"> 5 and older and a $5 cash incentive. </w:t>
      </w:r>
    </w:p>
    <w:p w:rsidR="00C918ED" w:rsidRPr="00B36F4D" w:rsidRDefault="00C918ED" w:rsidP="00C918ED">
      <w:pPr>
        <w:pStyle w:val="L1-FlLSp12"/>
      </w:pPr>
    </w:p>
    <w:p w:rsidR="00C918ED" w:rsidRPr="00B36F4D" w:rsidRDefault="007612AF" w:rsidP="00C918ED">
      <w:pPr>
        <w:pStyle w:val="L1-FlLSp12"/>
      </w:pPr>
      <w:r>
        <w:t xml:space="preserve">The contractor </w:t>
      </w:r>
      <w:r w:rsidR="00C918ED">
        <w:t>will</w:t>
      </w:r>
      <w:r w:rsidR="00C918ED" w:rsidRPr="00B36F4D">
        <w:t xml:space="preserve"> begin the reminder process when the travel log package is mailed and </w:t>
      </w:r>
      <w:r w:rsidR="00C918ED">
        <w:t xml:space="preserve">will </w:t>
      </w:r>
      <w:r w:rsidR="00C918ED" w:rsidRPr="00B36F4D">
        <w:t xml:space="preserve">continue to prompt non-responding houses using </w:t>
      </w:r>
      <w:r>
        <w:t>email and telephone follow-up</w:t>
      </w:r>
      <w:r w:rsidR="00C918ED" w:rsidRPr="00B36F4D">
        <w:t xml:space="preserve">. Most households are expected to respond </w:t>
      </w:r>
      <w:r>
        <w:t xml:space="preserve">to the retrieval survey </w:t>
      </w:r>
      <w:r w:rsidR="00C918ED" w:rsidRPr="00B36F4D">
        <w:t>via web. Those that indicate web as their preference will not be contacted by an interviewer on the first 2 days following their assigned travel day. This retrieval response follow</w:t>
      </w:r>
      <w:r w:rsidR="00643A31">
        <w:t>-</w:t>
      </w:r>
      <w:r w:rsidR="00C918ED" w:rsidRPr="00B36F4D">
        <w:t>up will only be available to households that either provide a telephone number in the recruitment instrument or ha</w:t>
      </w:r>
      <w:r w:rsidR="00643A31">
        <w:t>ve</w:t>
      </w:r>
      <w:r w:rsidR="00C918ED" w:rsidRPr="00B36F4D">
        <w:t xml:space="preserve"> telephone numbers matched to the original ABS frame.</w:t>
      </w:r>
    </w:p>
    <w:p w:rsidR="00C918ED" w:rsidRPr="00B36F4D" w:rsidRDefault="00C918ED" w:rsidP="00C918ED">
      <w:pPr>
        <w:pStyle w:val="L1-FlLSp12"/>
      </w:pPr>
    </w:p>
    <w:p w:rsidR="00C918ED" w:rsidRDefault="00C918ED" w:rsidP="00183121">
      <w:pPr>
        <w:pStyle w:val="L1-FlLSp12"/>
      </w:pPr>
      <w:r w:rsidRPr="00B36F4D">
        <w:t xml:space="preserve">Consistent with past administrations of the NHTS, </w:t>
      </w:r>
      <w:r w:rsidR="007612AF">
        <w:t>the consultan</w:t>
      </w:r>
      <w:r w:rsidR="00687DDA">
        <w:t>t</w:t>
      </w:r>
      <w:r w:rsidR="007612AF" w:rsidRPr="00B36F4D">
        <w:t xml:space="preserve"> </w:t>
      </w:r>
      <w:r w:rsidRPr="00B36F4D">
        <w:t>will implement the 7-day retrieval data collection window</w:t>
      </w:r>
      <w:r w:rsidR="007612AF">
        <w:t xml:space="preserve"> in which all attempts to initiate contact with participating households will end after seven days</w:t>
      </w:r>
      <w:r w:rsidRPr="00B36F4D">
        <w:t xml:space="preserve">. </w:t>
      </w:r>
      <w:r w:rsidRPr="000403FD">
        <w:t>Most regional household travel surveys have adopted a definition of a “completed” household that requires 100 percent of eligible household members to complete the survey rule</w:t>
      </w:r>
      <w:r w:rsidRPr="00AC7FAC">
        <w:t>,</w:t>
      </w:r>
      <w:r w:rsidRPr="00B36F4D">
        <w:t xml:space="preserve"> especially those regions using advanced travel demand models. Using this approach increases the usability of the NHTS data across the data user community</w:t>
      </w:r>
      <w:r w:rsidRPr="00AC7FAC">
        <w:t xml:space="preserve">. </w:t>
      </w:r>
      <w:r w:rsidRPr="000403FD">
        <w:t xml:space="preserve">FHWA </w:t>
      </w:r>
      <w:r w:rsidR="00601F46" w:rsidRPr="000403FD">
        <w:t xml:space="preserve">is </w:t>
      </w:r>
      <w:r w:rsidRPr="000403FD">
        <w:t>adopt</w:t>
      </w:r>
      <w:r w:rsidR="00601F46" w:rsidRPr="000403FD">
        <w:t>ing</w:t>
      </w:r>
      <w:r w:rsidRPr="000403FD">
        <w:t xml:space="preserve"> this definition for the </w:t>
      </w:r>
      <w:r w:rsidR="00601F46" w:rsidRPr="000403FD">
        <w:t xml:space="preserve">2015 </w:t>
      </w:r>
      <w:r w:rsidRPr="000403FD">
        <w:t>NHTS</w:t>
      </w:r>
      <w:r w:rsidRPr="00B36F4D">
        <w:t xml:space="preserve">. </w:t>
      </w:r>
    </w:p>
    <w:p w:rsidR="00673A95" w:rsidRDefault="00673A95" w:rsidP="00183121">
      <w:pPr>
        <w:pStyle w:val="L1-FlLSp12"/>
      </w:pPr>
    </w:p>
    <w:p w:rsidR="00673A95" w:rsidRDefault="00673A95" w:rsidP="00183121">
      <w:pPr>
        <w:pStyle w:val="L1-FlLSp12"/>
      </w:pPr>
      <w:r>
        <w:t>The 2015 NHTS sampled households will be drawn in two waves.  Response rates will be monitored across regions during the initial data collection period, and the targets for the second sample selection will be adjusted to better target low response regions.</w:t>
      </w:r>
    </w:p>
    <w:p w:rsidR="00C918ED" w:rsidRDefault="00C918ED" w:rsidP="00183121">
      <w:pPr>
        <w:pStyle w:val="L1-FlLSp12"/>
      </w:pPr>
    </w:p>
    <w:p w:rsidR="00036FB4" w:rsidRDefault="00036FB4" w:rsidP="00036FB4">
      <w:pPr>
        <w:spacing w:line="276" w:lineRule="auto"/>
      </w:pPr>
      <w:r>
        <w:t xml:space="preserve">In order to facilitate responses from those with disabilities, the contractor will ensure  that </w:t>
      </w:r>
      <w:r w:rsidRPr="00036FB4">
        <w:t xml:space="preserve">all web and CATI instruments </w:t>
      </w:r>
      <w:r>
        <w:t>meet</w:t>
      </w:r>
      <w:r w:rsidRPr="00036FB4">
        <w:t xml:space="preserve"> Section 508 compliance using the rules specified in sections 1194.22 – ‘Web-based intranet and internet information and applications’ and 1194.23 – ‘Telecommunications products.</w:t>
      </w:r>
    </w:p>
    <w:p w:rsidR="00036FB4" w:rsidRDefault="00036FB4" w:rsidP="00036FB4">
      <w:pPr>
        <w:spacing w:line="276" w:lineRule="auto"/>
      </w:pPr>
    </w:p>
    <w:p w:rsidR="00AB2DAF" w:rsidRDefault="00036FB4" w:rsidP="003A4CED">
      <w:pPr>
        <w:spacing w:line="276" w:lineRule="auto"/>
      </w:pPr>
      <w:r w:rsidRPr="00036FB4">
        <w:t xml:space="preserve">All </w:t>
      </w:r>
      <w:r>
        <w:t xml:space="preserve">NHTS 2015 </w:t>
      </w:r>
      <w:r w:rsidRPr="00036FB4">
        <w:t>materials will be available in both English and Spanish language forms</w:t>
      </w:r>
      <w:r>
        <w:t xml:space="preserve"> to help maximize participation by Hispanic households.</w:t>
      </w:r>
      <w:r w:rsidR="00744B2A">
        <w:t xml:space="preserve"> Since the 2001 survey, the contractor has also </w:t>
      </w:r>
      <w:r w:rsidR="00744B2A" w:rsidRPr="00AC7FAC">
        <w:t xml:space="preserve">offered </w:t>
      </w:r>
      <w:r w:rsidR="00744B2A" w:rsidRPr="000403FD">
        <w:t>bi-lingual interviewers</w:t>
      </w:r>
      <w:r w:rsidR="00744B2A" w:rsidRPr="00AC7FAC">
        <w:t>.</w:t>
      </w:r>
      <w:r w:rsidR="00744B2A">
        <w:t xml:space="preserve"> An evaluation of previous surveys indicated that interviewing in Spanish was an important factor in gaining the cooperation of Hispanic respondents, a rapidly increasing proportion of the overall </w:t>
      </w:r>
      <w:r w:rsidR="00744B2A">
        <w:lastRenderedPageBreak/>
        <w:t>population.  The</w:t>
      </w:r>
      <w:r w:rsidRPr="00036FB4">
        <w:t xml:space="preserve"> Spanish translations </w:t>
      </w:r>
      <w:r w:rsidR="00744B2A">
        <w:t xml:space="preserve">of survey materials were developed </w:t>
      </w:r>
      <w:r w:rsidRPr="00036FB4">
        <w:t xml:space="preserve">using industry standards </w:t>
      </w:r>
      <w:r w:rsidR="00744B2A">
        <w:t>including</w:t>
      </w:r>
      <w:r w:rsidRPr="00036FB4">
        <w:t xml:space="preserve"> reverse-translation protocols.</w:t>
      </w:r>
    </w:p>
    <w:p w:rsidR="00AB2DAF" w:rsidRDefault="00AB2DAF" w:rsidP="003A4CED">
      <w:pPr>
        <w:spacing w:line="276" w:lineRule="auto"/>
      </w:pPr>
    </w:p>
    <w:p w:rsidR="00253EC0" w:rsidRPr="003A4CED" w:rsidRDefault="00253EC0" w:rsidP="003A4CED">
      <w:pPr>
        <w:pStyle w:val="ListParagraph"/>
        <w:numPr>
          <w:ilvl w:val="0"/>
          <w:numId w:val="8"/>
        </w:numPr>
        <w:rPr>
          <w:i/>
        </w:rPr>
      </w:pPr>
      <w:r w:rsidRPr="003A4CED">
        <w:rPr>
          <w:i/>
        </w:rPr>
        <w:t>Describe tests of procedures or methods:</w:t>
      </w:r>
    </w:p>
    <w:p w:rsidR="004A22A3" w:rsidRPr="00B36F4D" w:rsidRDefault="004A22A3" w:rsidP="004A22A3">
      <w:pPr>
        <w:pStyle w:val="L1-FlLSp12"/>
        <w:ind w:left="360"/>
        <w:rPr>
          <w:i/>
        </w:rPr>
      </w:pPr>
    </w:p>
    <w:p w:rsidR="007B39FD" w:rsidRPr="007B39FD" w:rsidRDefault="007B39FD" w:rsidP="00183121">
      <w:pPr>
        <w:pStyle w:val="L1-FlLSp12"/>
        <w:rPr>
          <w:i/>
        </w:rPr>
      </w:pPr>
      <w:r w:rsidRPr="007B39FD">
        <w:rPr>
          <w:i/>
        </w:rPr>
        <w:t>Mixed Mode Surveys</w:t>
      </w:r>
    </w:p>
    <w:p w:rsidR="0016171C" w:rsidRPr="00B36F4D" w:rsidRDefault="0016171C" w:rsidP="00183121">
      <w:pPr>
        <w:pStyle w:val="L1-FlLSp12"/>
      </w:pPr>
      <w:r w:rsidRPr="00B36F4D">
        <w:t xml:space="preserve">Experiments conducted by </w:t>
      </w:r>
      <w:proofErr w:type="spellStart"/>
      <w:r w:rsidRPr="00B36F4D">
        <w:t>Westat</w:t>
      </w:r>
      <w:proofErr w:type="spellEnd"/>
      <w:r w:rsidRPr="00B36F4D">
        <w:t>,</w:t>
      </w:r>
      <w:r w:rsidRPr="00B36F4D">
        <w:rPr>
          <w:rStyle w:val="FootnoteReference"/>
        </w:rPr>
        <w:footnoteReference w:id="22"/>
      </w:r>
      <w:proofErr w:type="gramStart"/>
      <w:r w:rsidRPr="00B36F4D">
        <w:rPr>
          <w:vertAlign w:val="superscript"/>
        </w:rPr>
        <w:t>,</w:t>
      </w:r>
      <w:proofErr w:type="gramEnd"/>
      <w:r w:rsidRPr="00B36F4D">
        <w:rPr>
          <w:rStyle w:val="FootnoteReference"/>
        </w:rPr>
        <w:footnoteReference w:id="23"/>
      </w:r>
      <w:r w:rsidRPr="00B36F4D">
        <w:t xml:space="preserve"> and confirmed by others,</w:t>
      </w:r>
      <w:r w:rsidRPr="00B36F4D">
        <w:rPr>
          <w:rStyle w:val="FootnoteReference"/>
        </w:rPr>
        <w:footnoteReference w:id="24"/>
      </w:r>
      <w:r w:rsidRPr="00B36F4D">
        <w:rPr>
          <w:vertAlign w:val="superscript"/>
        </w:rPr>
        <w:t>,</w:t>
      </w:r>
      <w:r w:rsidRPr="00B36F4D">
        <w:rPr>
          <w:rStyle w:val="FootnoteReference"/>
        </w:rPr>
        <w:footnoteReference w:id="25"/>
      </w:r>
      <w:r w:rsidRPr="00B36F4D">
        <w:t xml:space="preserve"> using mixed mode collection methods have found that telephone is not the best mode for conducting interviews with ABSs. This does not imply telephone data collection cannot be used to enhance response rates, but that it is </w:t>
      </w:r>
      <w:r w:rsidR="00601F46">
        <w:t xml:space="preserve">not as </w:t>
      </w:r>
      <w:r w:rsidR="000379B6">
        <w:t xml:space="preserve">an </w:t>
      </w:r>
      <w:r w:rsidR="00601F46">
        <w:t>effective</w:t>
      </w:r>
      <w:r w:rsidR="000379B6">
        <w:t xml:space="preserve"> choice</w:t>
      </w:r>
      <w:r w:rsidRPr="00B36F4D">
        <w:t xml:space="preserve"> as a primary mode. So when pairing a data collection mode with an ABS frame, researchers have begun to look beyond the traditional telephone-based approach. It is </w:t>
      </w:r>
      <w:r w:rsidRPr="000403FD">
        <w:t>this research that provides the foundation for the</w:t>
      </w:r>
      <w:r w:rsidRPr="000403FD" w:rsidDel="00C24CAE">
        <w:t xml:space="preserve"> </w:t>
      </w:r>
      <w:r w:rsidRPr="000403FD">
        <w:t>methodological approach</w:t>
      </w:r>
      <w:r w:rsidRPr="00B36F4D">
        <w:t xml:space="preserve"> </w:t>
      </w:r>
      <w:r w:rsidR="006D5F9F">
        <w:t>to be used</w:t>
      </w:r>
      <w:r w:rsidRPr="00B36F4D">
        <w:t xml:space="preserve"> for the 2015 NHTS. </w:t>
      </w:r>
    </w:p>
    <w:p w:rsidR="009F0199" w:rsidRPr="00B36F4D" w:rsidRDefault="009F0199" w:rsidP="00183121">
      <w:pPr>
        <w:pStyle w:val="L1-FlLSp12"/>
      </w:pPr>
    </w:p>
    <w:p w:rsidR="009F0199" w:rsidRDefault="009F0199" w:rsidP="00183121">
      <w:pPr>
        <w:pStyle w:val="L1-FlLSp12"/>
      </w:pPr>
      <w:r w:rsidRPr="00B36F4D">
        <w:t xml:space="preserve">The mail back recruitment approach described here has been tested and found to be successful in several surveys funded by the Federal Government (e.g., the National Crime Victimization Survey); these surveys have proven this method can be implemented with large sample sizes covering vast geographic regions. </w:t>
      </w:r>
      <w:r w:rsidR="00687DDA">
        <w:t>For these reasons,</w:t>
      </w:r>
      <w:r w:rsidR="000379B6">
        <w:t xml:space="preserve"> </w:t>
      </w:r>
      <w:r w:rsidRPr="00B36F4D">
        <w:t xml:space="preserve">this approach </w:t>
      </w:r>
      <w:r w:rsidR="00687DDA">
        <w:t xml:space="preserve">has been selected </w:t>
      </w:r>
      <w:r w:rsidRPr="00B36F4D">
        <w:t>in response to declining recruitm</w:t>
      </w:r>
      <w:r w:rsidR="00CE6E5F">
        <w:t xml:space="preserve">ent rates. In recent studies </w:t>
      </w:r>
      <w:r w:rsidR="006D5F9F">
        <w:t xml:space="preserve">the consultant </w:t>
      </w:r>
      <w:r w:rsidR="00CE6E5F">
        <w:t>has</w:t>
      </w:r>
      <w:r w:rsidRPr="00B36F4D">
        <w:t xml:space="preserve"> observed response rates ranging from </w:t>
      </w:r>
      <w:r w:rsidRPr="000403FD">
        <w:t>28 to 38 percent</w:t>
      </w:r>
      <w:r w:rsidR="00411CAD" w:rsidRPr="000403FD">
        <w:t xml:space="preserve"> with the proposed method</w:t>
      </w:r>
      <w:r w:rsidRPr="000403FD">
        <w:t>.</w:t>
      </w:r>
    </w:p>
    <w:p w:rsidR="00520F9B" w:rsidRDefault="00520F9B" w:rsidP="00183121">
      <w:pPr>
        <w:pStyle w:val="L1-FlLSp12"/>
      </w:pPr>
    </w:p>
    <w:p w:rsidR="007B39FD" w:rsidRPr="00F26F82" w:rsidRDefault="00520F9B" w:rsidP="00183121">
      <w:pPr>
        <w:pStyle w:val="L1-FlLSp12"/>
        <w:rPr>
          <w:b/>
        </w:rPr>
      </w:pPr>
      <w:r w:rsidRPr="00F26F82">
        <w:rPr>
          <w:b/>
        </w:rPr>
        <w:t>Testing and Review</w:t>
      </w:r>
    </w:p>
    <w:p w:rsidR="00520F9B" w:rsidRDefault="00520F9B" w:rsidP="00183121">
      <w:pPr>
        <w:pStyle w:val="L1-FlLSp12"/>
      </w:pPr>
      <w:r>
        <w:t>All field materials were subject to a series of tests</w:t>
      </w:r>
      <w:r w:rsidR="00F26F82">
        <w:t xml:space="preserve"> to</w:t>
      </w:r>
      <w:r>
        <w:t xml:space="preserve"> assess t</w:t>
      </w:r>
      <w:r w:rsidR="00F26F82">
        <w:t>h</w:t>
      </w:r>
      <w:r>
        <w:t>eir utility and validity as surv</w:t>
      </w:r>
      <w:r w:rsidR="00F26F82">
        <w:t>e</w:t>
      </w:r>
      <w:r>
        <w:t>y instruments.</w:t>
      </w:r>
      <w:r w:rsidR="00F26F82">
        <w:t xml:space="preserve"> These tests are described below.</w:t>
      </w:r>
    </w:p>
    <w:p w:rsidR="00F26F82" w:rsidRDefault="00F26F82" w:rsidP="00183121">
      <w:pPr>
        <w:pStyle w:val="L1-FlLSp12"/>
      </w:pPr>
    </w:p>
    <w:p w:rsidR="00AA2941" w:rsidRPr="00AA2941" w:rsidRDefault="00F26F82" w:rsidP="00AA2941">
      <w:pPr>
        <w:spacing w:line="276" w:lineRule="auto"/>
        <w:rPr>
          <w:i/>
        </w:rPr>
      </w:pPr>
      <w:r w:rsidRPr="00F26F82">
        <w:rPr>
          <w:i/>
        </w:rPr>
        <w:t>Expert Review</w:t>
      </w:r>
    </w:p>
    <w:p w:rsidR="00CB4DAB" w:rsidRDefault="00AA2941" w:rsidP="00E71617">
      <w:pPr>
        <w:pStyle w:val="L1-FlLSp12"/>
      </w:pPr>
      <w:r w:rsidRPr="00AA2941">
        <w:t>The first step in developing a revised questionnaire and field materials for the NHTS</w:t>
      </w:r>
      <w:r w:rsidR="00F26F82">
        <w:t xml:space="preserve"> wa</w:t>
      </w:r>
      <w:r w:rsidRPr="00AA2941">
        <w:t>s to conduct an expert review of existing materials to identify potential improvements. In the expert review process, a questionnaire design expert conduct</w:t>
      </w:r>
      <w:r w:rsidR="00F26F82">
        <w:t>ed</w:t>
      </w:r>
      <w:r w:rsidRPr="00AA2941">
        <w:t xml:space="preserve"> a thorough appraisal of the questionnaire, providing guidance on refinement and further development activities factoring in the transition from telephone- to web-based data collection modes. The expert reviewer judge</w:t>
      </w:r>
      <w:r w:rsidR="00E71617">
        <w:t>d</w:t>
      </w:r>
      <w:r w:rsidRPr="00AA2941">
        <w:t xml:space="preserve"> features of the instrument such as ease and efficiency of completion, avoidance of errors, ability to correct mistakes, and how the content is presented (overall appearance and layout of the instrument). The review process also include</w:t>
      </w:r>
      <w:r w:rsidR="00411CAD">
        <w:t>d</w:t>
      </w:r>
      <w:r w:rsidRPr="00AA2941">
        <w:t xml:space="preserve"> an appraisal </w:t>
      </w:r>
      <w:r w:rsidR="00E71617">
        <w:t>of all other survey materials, including</w:t>
      </w:r>
      <w:r w:rsidRPr="00AA2941">
        <w:t xml:space="preserve"> letters, travel logs, instructions, and reminders.</w:t>
      </w:r>
      <w:r w:rsidR="00CB4DAB">
        <w:br w:type="page"/>
      </w:r>
    </w:p>
    <w:p w:rsidR="00AA2941" w:rsidRDefault="00F26F82" w:rsidP="00AA2941">
      <w:pPr>
        <w:spacing w:line="276" w:lineRule="auto"/>
        <w:rPr>
          <w:i/>
        </w:rPr>
      </w:pPr>
      <w:r w:rsidRPr="004379C5">
        <w:rPr>
          <w:i/>
        </w:rPr>
        <w:lastRenderedPageBreak/>
        <w:t>Cognitive Testing</w:t>
      </w:r>
    </w:p>
    <w:p w:rsidR="00CB4DAB" w:rsidRPr="00AA2941" w:rsidRDefault="00CB4DAB" w:rsidP="00AA2941">
      <w:pPr>
        <w:spacing w:line="276" w:lineRule="auto"/>
      </w:pPr>
    </w:p>
    <w:p w:rsidR="00AA2941" w:rsidRPr="00AA2941" w:rsidRDefault="00881786" w:rsidP="00AA2941">
      <w:pPr>
        <w:spacing w:line="276" w:lineRule="auto"/>
      </w:pPr>
      <w:r>
        <w:t>After</w:t>
      </w:r>
      <w:r w:rsidR="00AA2941" w:rsidRPr="00AA2941">
        <w:t xml:space="preserve"> the questionnaire and materials </w:t>
      </w:r>
      <w:r>
        <w:t>were</w:t>
      </w:r>
      <w:r w:rsidR="00AA2941" w:rsidRPr="00AA2941">
        <w:t xml:space="preserve"> revised, </w:t>
      </w:r>
      <w:r w:rsidR="00CC6FFC">
        <w:t xml:space="preserve">the consultant </w:t>
      </w:r>
      <w:r>
        <w:t>conducted c</w:t>
      </w:r>
      <w:r w:rsidR="00AA2941" w:rsidRPr="00AA2941">
        <w:t xml:space="preserve">ognitive testing </w:t>
      </w:r>
      <w:r>
        <w:t xml:space="preserve">using </w:t>
      </w:r>
      <w:r w:rsidR="00AA2941" w:rsidRPr="00AA2941">
        <w:t>in-d</w:t>
      </w:r>
      <w:r w:rsidR="00D16E6A">
        <w:t xml:space="preserve">epth, semi-structured interviews </w:t>
      </w:r>
      <w:r w:rsidR="00AA2941" w:rsidRPr="00AA2941">
        <w:t>to gather insights into the cognitive sources of potential misinterpretation (Willis, 2005). This qualitative methodology focuses on examining the respondents’ thought processes, allowing survey researchers to identify and refine question wordings that are either misunderstood or understood differently by different respondents; instructions that are insufficient, overlooked, or misinterpreted; ambiguous instructions; and confusing response options. In addition to question wording, cognitive testing can reveal any issues with the visual presentation of the survey and materials. Visual design elements such as color, contrast, or spacing are crucial to correctly guide respondents through an instrument.</w:t>
      </w:r>
      <w:r w:rsidR="000379B6">
        <w:t xml:space="preserve"> Visual design elements were also reviewed by the FHWA Data Visualization Center for ease of instructions, placement, font size, and visual graphics.</w:t>
      </w:r>
    </w:p>
    <w:p w:rsidR="00AA2941" w:rsidRPr="00AA2941" w:rsidRDefault="00AA2941" w:rsidP="00AA2941">
      <w:pPr>
        <w:spacing w:line="276" w:lineRule="auto"/>
      </w:pPr>
    </w:p>
    <w:p w:rsidR="00FB01AA" w:rsidRPr="00FB01AA" w:rsidRDefault="00AA2941" w:rsidP="00FB01AA">
      <w:pPr>
        <w:spacing w:line="276" w:lineRule="auto"/>
        <w:rPr>
          <w:color w:val="auto"/>
        </w:rPr>
      </w:pPr>
      <w:r w:rsidRPr="00FB01AA">
        <w:t>In keeping with OMB regulations</w:t>
      </w:r>
      <w:r w:rsidR="00D16E6A" w:rsidRPr="00FB01AA">
        <w:t xml:space="preserve">, </w:t>
      </w:r>
      <w:r w:rsidRPr="00FB01AA">
        <w:t xml:space="preserve">the cognitive testing </w:t>
      </w:r>
      <w:r w:rsidR="00CC6FFC" w:rsidRPr="00FB01AA">
        <w:t xml:space="preserve">was limited </w:t>
      </w:r>
      <w:r w:rsidRPr="00FB01AA">
        <w:t xml:space="preserve">to nine respondents per instrument (recruitment survey, travel log, web-based survey, and printed materials). </w:t>
      </w:r>
      <w:r w:rsidR="00FB01AA">
        <w:t>The consultant</w:t>
      </w:r>
      <w:r w:rsidR="00FB01AA" w:rsidRPr="00FB01AA">
        <w:rPr>
          <w:color w:val="auto"/>
        </w:rPr>
        <w:t xml:space="preserve"> conducted two sets of 9 interviews with adults ages 18 and older:</w:t>
      </w:r>
    </w:p>
    <w:p w:rsidR="00FB01AA" w:rsidRPr="00FB01AA" w:rsidRDefault="00FB01AA" w:rsidP="00FB01AA">
      <w:pPr>
        <w:pStyle w:val="ListParagraph"/>
        <w:numPr>
          <w:ilvl w:val="0"/>
          <w:numId w:val="25"/>
        </w:numPr>
        <w:tabs>
          <w:tab w:val="clear" w:pos="1152"/>
        </w:tabs>
        <w:spacing w:after="0" w:line="276" w:lineRule="auto"/>
        <w:contextualSpacing w:val="0"/>
        <w:rPr>
          <w:rFonts w:cs="Times New Roman"/>
          <w:color w:val="auto"/>
        </w:rPr>
      </w:pPr>
      <w:r w:rsidRPr="00FB01AA">
        <w:rPr>
          <w:rFonts w:cs="Times New Roman"/>
          <w:color w:val="auto"/>
        </w:rPr>
        <w:t>9 interviews to test materials to be used for the NHTS and</w:t>
      </w:r>
    </w:p>
    <w:p w:rsidR="00FB01AA" w:rsidRPr="00FB01AA" w:rsidRDefault="00FB01AA" w:rsidP="00FB01AA">
      <w:pPr>
        <w:pStyle w:val="ListParagraph"/>
        <w:numPr>
          <w:ilvl w:val="0"/>
          <w:numId w:val="25"/>
        </w:numPr>
        <w:tabs>
          <w:tab w:val="clear" w:pos="1152"/>
        </w:tabs>
        <w:spacing w:after="0" w:line="276" w:lineRule="auto"/>
        <w:contextualSpacing w:val="0"/>
        <w:rPr>
          <w:rFonts w:cs="Times New Roman"/>
          <w:color w:val="auto"/>
        </w:rPr>
      </w:pPr>
      <w:r w:rsidRPr="00FB01AA">
        <w:rPr>
          <w:rFonts w:cs="Times New Roman"/>
          <w:color w:val="auto"/>
        </w:rPr>
        <w:t>9 interviews to test the recruitment questionnaire for the NHTS.</w:t>
      </w:r>
    </w:p>
    <w:p w:rsidR="00FB01AA" w:rsidRPr="00FB01AA" w:rsidRDefault="00FB01AA" w:rsidP="00FB01AA">
      <w:pPr>
        <w:spacing w:line="276" w:lineRule="auto"/>
        <w:rPr>
          <w:color w:val="auto"/>
        </w:rPr>
      </w:pPr>
    </w:p>
    <w:p w:rsidR="00D16E6A" w:rsidRDefault="00FB01AA" w:rsidP="00FB01AA">
      <w:pPr>
        <w:spacing w:line="276" w:lineRule="auto"/>
      </w:pPr>
      <w:r w:rsidRPr="00FB01AA">
        <w:rPr>
          <w:color w:val="auto"/>
        </w:rPr>
        <w:t xml:space="preserve">Respondents were recruited using Craigslist advertisements posted in the local Washington, D.C. area.  Recruitment was purposive and sought adults with a variety of day-to-day travel experiences (e.g., public transit commuters, car commuters, carpoolers).  Interviews were conducted with 9 women and 9 men, ranging in age from 22 to 58.  In addition, respondents represented a mix of races and education levels.  The interviews were completed in-person at </w:t>
      </w:r>
      <w:r>
        <w:rPr>
          <w:color w:val="auto"/>
        </w:rPr>
        <w:t>the consultant</w:t>
      </w:r>
      <w:r w:rsidRPr="00FB01AA">
        <w:rPr>
          <w:color w:val="auto"/>
        </w:rPr>
        <w:t xml:space="preserve">’s cognitive testing lab.  All cognitive interviews were conducted by experienced survey methodologists </w:t>
      </w:r>
      <w:r w:rsidR="00AA2941" w:rsidRPr="00FB01AA">
        <w:rPr>
          <w:color w:val="auto"/>
        </w:rPr>
        <w:t>The interviewing staff consist</w:t>
      </w:r>
      <w:r w:rsidR="00D16E6A" w:rsidRPr="00FB01AA">
        <w:rPr>
          <w:color w:val="auto"/>
        </w:rPr>
        <w:t>ed</w:t>
      </w:r>
      <w:r w:rsidR="00AA2941" w:rsidRPr="00FB01AA">
        <w:rPr>
          <w:color w:val="auto"/>
        </w:rPr>
        <w:t xml:space="preserve"> of senior survey methodologists who have extensive experience using cognitive </w:t>
      </w:r>
      <w:r w:rsidR="00AA2941" w:rsidRPr="00FB01AA">
        <w:t>interview methods to test survey questionnaires and materials.</w:t>
      </w:r>
      <w:r w:rsidR="00D16E6A" w:rsidRPr="00FB01AA">
        <w:t xml:space="preserve"> Results were compiled and presented to FHWA for consideration.</w:t>
      </w:r>
    </w:p>
    <w:p w:rsidR="00D16E6A" w:rsidRDefault="00D16E6A" w:rsidP="00AA2941">
      <w:pPr>
        <w:spacing w:line="276" w:lineRule="auto"/>
      </w:pPr>
    </w:p>
    <w:p w:rsidR="00AA2941" w:rsidRPr="00AA2941" w:rsidRDefault="009720DB" w:rsidP="00AA2941">
      <w:pPr>
        <w:spacing w:line="276" w:lineRule="auto"/>
        <w:rPr>
          <w:i/>
        </w:rPr>
      </w:pPr>
      <w:r>
        <w:rPr>
          <w:i/>
        </w:rPr>
        <w:t xml:space="preserve">Survey </w:t>
      </w:r>
      <w:r w:rsidR="00D16E6A" w:rsidRPr="00D16E6A">
        <w:rPr>
          <w:i/>
        </w:rPr>
        <w:t>P</w:t>
      </w:r>
      <w:r>
        <w:rPr>
          <w:i/>
        </w:rPr>
        <w:t>retest</w:t>
      </w:r>
      <w:r w:rsidR="00AA2941" w:rsidRPr="00AA2941">
        <w:rPr>
          <w:i/>
        </w:rPr>
        <w:t xml:space="preserve"> </w:t>
      </w:r>
    </w:p>
    <w:p w:rsidR="007B39FD" w:rsidRDefault="006C3581" w:rsidP="00183121">
      <w:pPr>
        <w:pStyle w:val="L1-FlLSp12"/>
      </w:pPr>
      <w:r>
        <w:t xml:space="preserve">The pretest </w:t>
      </w:r>
      <w:r w:rsidR="000379B6">
        <w:t xml:space="preserve">includes all facets of data collection and </w:t>
      </w:r>
      <w:r>
        <w:t xml:space="preserve">will be designed to complete interviews with up to </w:t>
      </w:r>
      <w:r w:rsidRPr="000403FD">
        <w:t xml:space="preserve">500 households </w:t>
      </w:r>
      <w:r w:rsidR="009720DB" w:rsidRPr="000403FD">
        <w:t>drawn from two regions</w:t>
      </w:r>
      <w:r w:rsidR="009720DB">
        <w:t xml:space="preserve">. The Pretest provides an opportunity to employ and evaluate all planned protocols and materials, and to determine whether changes are needed before the main survey is conducted. </w:t>
      </w:r>
      <w:r>
        <w:t>If significant issues are revealed through the conduct of the pretest, it is possible that the effort will need to be repeated.</w:t>
      </w:r>
    </w:p>
    <w:p w:rsidR="009720DB" w:rsidRDefault="009720DB" w:rsidP="00183121">
      <w:pPr>
        <w:pStyle w:val="L1-FlLSp12"/>
      </w:pPr>
    </w:p>
    <w:p w:rsidR="009720DB" w:rsidRPr="004C534E" w:rsidRDefault="009720DB" w:rsidP="009720DB">
      <w:pPr>
        <w:pStyle w:val="L1-FlLSp12"/>
      </w:pPr>
      <w:r w:rsidRPr="004C534E">
        <w:t xml:space="preserve">At the conclusion of </w:t>
      </w:r>
      <w:r>
        <w:t>the</w:t>
      </w:r>
      <w:r w:rsidRPr="004C534E">
        <w:t xml:space="preserve"> Survey Pretest, </w:t>
      </w:r>
      <w:r w:rsidR="000379B6">
        <w:t>the consultant</w:t>
      </w:r>
      <w:r w:rsidRPr="004C534E">
        <w:t xml:space="preserve"> will </w:t>
      </w:r>
      <w:r>
        <w:t>update</w:t>
      </w:r>
      <w:r w:rsidRPr="004C534E">
        <w:t xml:space="preserve"> the </w:t>
      </w:r>
      <w:r>
        <w:t xml:space="preserve">Survey Plan to include changes resulting from the pretest. The final Survey Plan will provide the </w:t>
      </w:r>
      <w:r w:rsidR="00411CAD">
        <w:t xml:space="preserve">FHWA with </w:t>
      </w:r>
      <w:r>
        <w:t>complete documentation for how the 2015 NHTS will be conducted. Details will</w:t>
      </w:r>
      <w:r w:rsidRPr="004C534E">
        <w:t xml:space="preserve"> </w:t>
      </w:r>
      <w:r>
        <w:t>include survey methodology, questionnaire design, sampling, non-response analysis, estimation procedures,</w:t>
      </w:r>
      <w:r w:rsidRPr="004C534E">
        <w:t xml:space="preserve"> and procedures and </w:t>
      </w:r>
      <w:r>
        <w:t>protocols used to conduct the study.</w:t>
      </w:r>
    </w:p>
    <w:p w:rsidR="009720DB" w:rsidRDefault="009720DB" w:rsidP="00183121">
      <w:pPr>
        <w:pStyle w:val="L1-FlLSp12"/>
      </w:pPr>
    </w:p>
    <w:p w:rsidR="00CB4DAB" w:rsidRDefault="00CB4DAB" w:rsidP="003E6CDF">
      <w:pPr>
        <w:pStyle w:val="L1-FlLSp12"/>
        <w:rPr>
          <w:i/>
        </w:rPr>
      </w:pPr>
      <w:r>
        <w:rPr>
          <w:i/>
        </w:rPr>
        <w:br w:type="page"/>
      </w:r>
    </w:p>
    <w:p w:rsidR="003E6CDF" w:rsidRPr="00B36F4D" w:rsidRDefault="003E6CDF" w:rsidP="003E6CDF">
      <w:pPr>
        <w:pStyle w:val="L1-FlLSp12"/>
        <w:rPr>
          <w:i/>
        </w:rPr>
      </w:pPr>
    </w:p>
    <w:p w:rsidR="003F225B" w:rsidRPr="00B36F4D" w:rsidRDefault="00253EC0" w:rsidP="00846F1B">
      <w:pPr>
        <w:pStyle w:val="L1-FlLSp12"/>
        <w:numPr>
          <w:ilvl w:val="0"/>
          <w:numId w:val="8"/>
        </w:numPr>
      </w:pPr>
      <w:r w:rsidRPr="00B36F4D">
        <w:rPr>
          <w:i/>
        </w:rPr>
        <w:t>Provide name and telephone number of individuals who were consulted on statistical aspects of the IC and who will collect and/or</w:t>
      </w:r>
      <w:r w:rsidR="0014499A" w:rsidRPr="00B36F4D">
        <w:rPr>
          <w:i/>
        </w:rPr>
        <w:t xml:space="preserve"> </w:t>
      </w:r>
      <w:r w:rsidRPr="00B36F4D">
        <w:rPr>
          <w:i/>
        </w:rPr>
        <w:t>analyze the information:</w:t>
      </w:r>
    </w:p>
    <w:p w:rsidR="0014499A" w:rsidRPr="00B36F4D" w:rsidRDefault="00C918ED" w:rsidP="00253EC0">
      <w:pPr>
        <w:pStyle w:val="L1-FlLSp12"/>
        <w:ind w:left="360"/>
      </w:pPr>
      <w:r>
        <w:t>J. Michael Brick, Ph.D.</w:t>
      </w:r>
      <w:r>
        <w:tab/>
        <w:t>301-294-2004</w:t>
      </w:r>
    </w:p>
    <w:p w:rsidR="00253EC0" w:rsidRPr="00B36F4D" w:rsidRDefault="0014499A" w:rsidP="00253EC0">
      <w:pPr>
        <w:pStyle w:val="L1-FlLSp12"/>
        <w:ind w:left="360"/>
      </w:pPr>
      <w:r w:rsidRPr="00B36F4D">
        <w:t xml:space="preserve">Jill </w:t>
      </w:r>
      <w:proofErr w:type="spellStart"/>
      <w:r w:rsidR="00CC6FFC" w:rsidRPr="00B36F4D">
        <w:t>Montaquila</w:t>
      </w:r>
      <w:proofErr w:type="spellEnd"/>
      <w:r w:rsidR="00C918ED">
        <w:tab/>
      </w:r>
      <w:r w:rsidR="00C918ED">
        <w:tab/>
        <w:t>301-517-4046</w:t>
      </w:r>
    </w:p>
    <w:p w:rsidR="0014499A" w:rsidRPr="00B36F4D" w:rsidRDefault="00CC6FFC" w:rsidP="00253EC0">
      <w:pPr>
        <w:pStyle w:val="L1-FlLSp12"/>
        <w:ind w:left="360"/>
      </w:pPr>
      <w:r>
        <w:t>Shelly Brock</w:t>
      </w:r>
      <w:r>
        <w:tab/>
      </w:r>
      <w:r>
        <w:tab/>
        <w:t>301-517-8042</w:t>
      </w:r>
    </w:p>
    <w:p w:rsidR="00253EC0" w:rsidRPr="00B36F4D" w:rsidRDefault="00253EC0" w:rsidP="00253EC0">
      <w:pPr>
        <w:pStyle w:val="L1-FlLSp12"/>
        <w:ind w:left="360"/>
        <w:rPr>
          <w:i/>
        </w:rPr>
      </w:pPr>
    </w:p>
    <w:p w:rsidR="0014499A" w:rsidRPr="00B36F4D" w:rsidRDefault="0014499A" w:rsidP="00253EC0">
      <w:pPr>
        <w:pStyle w:val="L1-FlLSp12"/>
        <w:ind w:left="360"/>
      </w:pPr>
    </w:p>
    <w:p w:rsidR="00737E12" w:rsidRDefault="00737E12">
      <w:pPr>
        <w:tabs>
          <w:tab w:val="clear" w:pos="1152"/>
        </w:tabs>
        <w:spacing w:line="240" w:lineRule="auto"/>
      </w:pPr>
      <w:r>
        <w:br w:type="page"/>
      </w:r>
    </w:p>
    <w:p w:rsidR="00253EC0" w:rsidRDefault="00253EC0" w:rsidP="00253EC0">
      <w:pPr>
        <w:pStyle w:val="L1-FlLSp12"/>
        <w:ind w:left="360"/>
      </w:pPr>
      <w:r w:rsidRPr="00B36F4D">
        <w:lastRenderedPageBreak/>
        <w:t>A</w:t>
      </w:r>
      <w:r w:rsidR="00CA2A33">
        <w:t>ppendices</w:t>
      </w:r>
      <w:r w:rsidRPr="00B36F4D">
        <w:t>:</w:t>
      </w:r>
    </w:p>
    <w:p w:rsidR="002A0B99" w:rsidRDefault="002A0B99" w:rsidP="00253EC0">
      <w:pPr>
        <w:pStyle w:val="L1-FlLSp12"/>
        <w:ind w:left="360"/>
      </w:pPr>
    </w:p>
    <w:p w:rsidR="00E63C8B" w:rsidRPr="00E63C8B" w:rsidRDefault="002A0B99" w:rsidP="00E63C8B">
      <w:pPr>
        <w:pStyle w:val="ListParagraph"/>
        <w:numPr>
          <w:ilvl w:val="0"/>
          <w:numId w:val="11"/>
        </w:numPr>
        <w:rPr>
          <w:color w:val="1F497D"/>
        </w:rPr>
      </w:pPr>
      <w:r w:rsidRPr="00E63C8B">
        <w:rPr>
          <w:bCs/>
          <w:i/>
          <w:color w:val="000000"/>
        </w:rPr>
        <w:t xml:space="preserve">National Household Travel Survey, </w:t>
      </w:r>
      <w:r w:rsidRPr="00E63C8B">
        <w:rPr>
          <w:i/>
          <w:color w:val="000000"/>
        </w:rPr>
        <w:t xml:space="preserve">Compendium of Uses, </w:t>
      </w:r>
      <w:r w:rsidRPr="00E63C8B">
        <w:rPr>
          <w:bCs/>
          <w:i/>
          <w:color w:val="000000"/>
        </w:rPr>
        <w:t>January 2014 - June 2014</w:t>
      </w:r>
      <w:r w:rsidR="00C306CF" w:rsidRPr="00E63C8B">
        <w:rPr>
          <w:bCs/>
          <w:i/>
          <w:color w:val="000000"/>
        </w:rPr>
        <w:t xml:space="preserve"> (</w:t>
      </w:r>
      <w:hyperlink r:id="rId13" w:history="1">
        <w:r w:rsidR="00E63C8B">
          <w:rPr>
            <w:rStyle w:val="Hyperlink"/>
          </w:rPr>
          <w:t>http://nhts.ornl.gov/2009/pub/Compendium_2014.pdf</w:t>
        </w:r>
      </w:hyperlink>
    </w:p>
    <w:p w:rsidR="0014499A" w:rsidRDefault="0014499A" w:rsidP="002A0B99">
      <w:pPr>
        <w:pStyle w:val="L1-FlLSp12"/>
        <w:numPr>
          <w:ilvl w:val="0"/>
          <w:numId w:val="11"/>
        </w:numPr>
      </w:pPr>
      <w:r w:rsidRPr="00B36F4D">
        <w:t xml:space="preserve">Federal Register </w:t>
      </w:r>
      <w:r w:rsidR="00DC2B2F">
        <w:t xml:space="preserve">60 Day </w:t>
      </w:r>
      <w:r w:rsidRPr="00B36F4D">
        <w:t>Notice</w:t>
      </w:r>
    </w:p>
    <w:p w:rsidR="00DC2B2F" w:rsidRPr="00B36F4D" w:rsidRDefault="00DC2B2F" w:rsidP="00FB0621">
      <w:pPr>
        <w:pStyle w:val="L1-FlLSp12"/>
        <w:numPr>
          <w:ilvl w:val="0"/>
          <w:numId w:val="11"/>
        </w:numPr>
      </w:pPr>
      <w:r>
        <w:t>Federal Register 30 Day Notice</w:t>
      </w:r>
      <w:bookmarkStart w:id="0" w:name="_GoBack"/>
      <w:bookmarkEnd w:id="0"/>
    </w:p>
    <w:p w:rsidR="00A17D7E" w:rsidRDefault="00A17D7E" w:rsidP="0014499A">
      <w:pPr>
        <w:pStyle w:val="L1-FlLSp12"/>
        <w:numPr>
          <w:ilvl w:val="0"/>
          <w:numId w:val="11"/>
        </w:numPr>
      </w:pPr>
      <w:r>
        <w:t>Travel Log</w:t>
      </w:r>
      <w:r w:rsidR="00465CF4">
        <w:t xml:space="preserve"> and Exemplar log.</w:t>
      </w:r>
    </w:p>
    <w:p w:rsidR="00304275" w:rsidRDefault="00304275" w:rsidP="0014499A">
      <w:pPr>
        <w:pStyle w:val="L1-FlLSp12"/>
        <w:numPr>
          <w:ilvl w:val="0"/>
          <w:numId w:val="11"/>
        </w:numPr>
      </w:pPr>
      <w:r>
        <w:t>Odometer Sheet</w:t>
      </w:r>
    </w:p>
    <w:p w:rsidR="005E5711" w:rsidRPr="00DB5DBD" w:rsidRDefault="005E5711" w:rsidP="005E5711">
      <w:pPr>
        <w:pStyle w:val="L1-FlLSp12"/>
        <w:numPr>
          <w:ilvl w:val="0"/>
          <w:numId w:val="11"/>
        </w:numPr>
      </w:pPr>
      <w:r>
        <w:t>Summary of 2015 NHTS changes in questions</w:t>
      </w:r>
      <w:r w:rsidR="00D96613">
        <w:t xml:space="preserve"> from the 2009 NHTS</w:t>
      </w:r>
      <w:r>
        <w:t xml:space="preserve"> </w:t>
      </w:r>
    </w:p>
    <w:p w:rsidR="00A17D7E" w:rsidRDefault="00A17D7E" w:rsidP="0014499A">
      <w:pPr>
        <w:pStyle w:val="L1-FlLSp12"/>
        <w:numPr>
          <w:ilvl w:val="0"/>
          <w:numId w:val="11"/>
        </w:numPr>
      </w:pPr>
      <w:r>
        <w:t>Invitation Letter</w:t>
      </w:r>
    </w:p>
    <w:p w:rsidR="005D5752" w:rsidRDefault="005D5752" w:rsidP="0014499A">
      <w:pPr>
        <w:pStyle w:val="L1-FlLSp12"/>
        <w:numPr>
          <w:ilvl w:val="0"/>
          <w:numId w:val="11"/>
        </w:numPr>
      </w:pPr>
      <w:r>
        <w:t>Recruitment Survey</w:t>
      </w:r>
      <w:r w:rsidR="00687DDA">
        <w:t xml:space="preserve"> Instrument</w:t>
      </w:r>
    </w:p>
    <w:p w:rsidR="00A17D7E" w:rsidRDefault="00A17D7E" w:rsidP="0014499A">
      <w:pPr>
        <w:pStyle w:val="L1-FlLSp12"/>
        <w:numPr>
          <w:ilvl w:val="0"/>
          <w:numId w:val="11"/>
        </w:numPr>
      </w:pPr>
      <w:r>
        <w:t>Business Reply Envelope</w:t>
      </w:r>
    </w:p>
    <w:p w:rsidR="00A17D7E" w:rsidRDefault="00A17D7E" w:rsidP="0014499A">
      <w:pPr>
        <w:pStyle w:val="L1-FlLSp12"/>
        <w:numPr>
          <w:ilvl w:val="0"/>
          <w:numId w:val="11"/>
        </w:numPr>
      </w:pPr>
      <w:r>
        <w:t>Reminder Postcard</w:t>
      </w:r>
      <w:r w:rsidR="00465CF4">
        <w:t xml:space="preserve"> 1</w:t>
      </w:r>
    </w:p>
    <w:p w:rsidR="00A17D7E" w:rsidRDefault="00465CF4" w:rsidP="00A17D7E">
      <w:pPr>
        <w:pStyle w:val="L1-FlLSp12"/>
        <w:numPr>
          <w:ilvl w:val="0"/>
          <w:numId w:val="11"/>
        </w:numPr>
      </w:pPr>
      <w:r>
        <w:t>2</w:t>
      </w:r>
      <w:r w:rsidRPr="00FB0621">
        <w:rPr>
          <w:vertAlign w:val="superscript"/>
        </w:rPr>
        <w:t>nd</w:t>
      </w:r>
      <w:r>
        <w:t xml:space="preserve"> </w:t>
      </w:r>
      <w:r w:rsidR="00A17D7E">
        <w:t xml:space="preserve">Package </w:t>
      </w:r>
      <w:r>
        <w:t xml:space="preserve">Letter </w:t>
      </w:r>
      <w:r w:rsidR="00A17D7E">
        <w:t>to Non-respondents</w:t>
      </w:r>
    </w:p>
    <w:p w:rsidR="00A17D7E" w:rsidRDefault="00465CF4" w:rsidP="00A17D7E">
      <w:pPr>
        <w:pStyle w:val="L1-FlLSp12"/>
        <w:numPr>
          <w:ilvl w:val="0"/>
          <w:numId w:val="11"/>
        </w:numPr>
      </w:pPr>
      <w:r>
        <w:t xml:space="preserve">Reminder </w:t>
      </w:r>
      <w:r w:rsidR="00A17D7E">
        <w:t>Postcard</w:t>
      </w:r>
      <w:r>
        <w:t xml:space="preserve"> 2</w:t>
      </w:r>
      <w:r w:rsidR="00A17D7E">
        <w:t xml:space="preserve"> with Web Invitation</w:t>
      </w:r>
    </w:p>
    <w:p w:rsidR="00687DDA" w:rsidRDefault="00687DDA" w:rsidP="0014499A">
      <w:pPr>
        <w:pStyle w:val="L1-FlLSp12"/>
        <w:numPr>
          <w:ilvl w:val="0"/>
          <w:numId w:val="11"/>
        </w:numPr>
      </w:pPr>
      <w:r>
        <w:t xml:space="preserve">Travel </w:t>
      </w:r>
      <w:r w:rsidR="00A17D7E">
        <w:t>Package Letter</w:t>
      </w:r>
    </w:p>
    <w:p w:rsidR="00687DDA" w:rsidRDefault="00687DDA" w:rsidP="00465CF4">
      <w:pPr>
        <w:pStyle w:val="L1-FlLSp12"/>
        <w:numPr>
          <w:ilvl w:val="0"/>
          <w:numId w:val="11"/>
        </w:numPr>
      </w:pPr>
      <w:r>
        <w:t>Business Reply Envelope</w:t>
      </w:r>
    </w:p>
    <w:p w:rsidR="0069722A" w:rsidRDefault="00024125" w:rsidP="002A0B99">
      <w:pPr>
        <w:pStyle w:val="L1-FlLSp12"/>
        <w:numPr>
          <w:ilvl w:val="0"/>
          <w:numId w:val="11"/>
        </w:numPr>
      </w:pPr>
      <w:r>
        <w:t>Retrieval Survey</w:t>
      </w:r>
    </w:p>
    <w:p w:rsidR="00465CF4" w:rsidRDefault="0069722A" w:rsidP="0069722A">
      <w:pPr>
        <w:pStyle w:val="L1-FlLSp12"/>
        <w:numPr>
          <w:ilvl w:val="0"/>
          <w:numId w:val="11"/>
        </w:numPr>
      </w:pPr>
      <w:r>
        <w:t># 10 Incentive Envelope</w:t>
      </w:r>
    </w:p>
    <w:p w:rsidR="00465CF4" w:rsidRDefault="00465CF4" w:rsidP="00465CF4">
      <w:pPr>
        <w:pStyle w:val="L1-FlLSp12"/>
        <w:numPr>
          <w:ilvl w:val="0"/>
          <w:numId w:val="11"/>
        </w:numPr>
      </w:pPr>
      <w:r>
        <w:t>Summary of 2015 NHTS changes in questions from the 2009 NHTS</w:t>
      </w:r>
    </w:p>
    <w:p w:rsidR="00A13803" w:rsidRDefault="00465CF4" w:rsidP="00465CF4">
      <w:pPr>
        <w:pStyle w:val="L1-FlLSp12"/>
        <w:numPr>
          <w:ilvl w:val="0"/>
          <w:numId w:val="11"/>
        </w:numPr>
      </w:pPr>
      <w:r>
        <w:t>Example of Web Retrieval survey</w:t>
      </w:r>
      <w:r w:rsidR="00542F3B" w:rsidRPr="00DB5DBD">
        <w:tab/>
      </w:r>
    </w:p>
    <w:p w:rsidR="00E63C8B" w:rsidRDefault="00E63C8B" w:rsidP="00E63C8B">
      <w:pPr>
        <w:pStyle w:val="ListParagraph"/>
        <w:numPr>
          <w:ilvl w:val="0"/>
          <w:numId w:val="11"/>
        </w:numPr>
      </w:pPr>
      <w:r>
        <w:t>Transportation Research Circular, No. E-C178, October 2013 (</w:t>
      </w:r>
      <w:hyperlink r:id="rId14" w:history="1">
        <w:r>
          <w:rPr>
            <w:rStyle w:val="Hyperlink"/>
          </w:rPr>
          <w:t>http://onlinepubs.trb.org/onlinepubs/circulars/ec178.pdf</w:t>
        </w:r>
      </w:hyperlink>
    </w:p>
    <w:p w:rsidR="00E63C8B" w:rsidRDefault="00E63C8B" w:rsidP="00E63C8B">
      <w:pPr>
        <w:pStyle w:val="L1-FlLSp12"/>
        <w:ind w:left="270"/>
      </w:pPr>
    </w:p>
    <w:sectPr w:rsidR="00E63C8B" w:rsidSect="0006754B">
      <w:footerReference w:type="default" r:id="rId15"/>
      <w:pgSz w:w="12240" w:h="15840" w:code="1"/>
      <w:pgMar w:top="1440" w:right="1440" w:bottom="1440"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8A3F7B" w15:done="0"/>
  <w15:commentEx w15:paraId="7A142755" w15:done="0"/>
  <w15:commentEx w15:paraId="028A3F7D" w15:done="0"/>
  <w15:commentEx w15:paraId="200623C3" w15:done="0"/>
  <w15:commentEx w15:paraId="028A3F7F" w15:done="0"/>
  <w15:commentEx w15:paraId="028A3F80" w15:done="0"/>
  <w15:commentEx w15:paraId="028A3F81" w15:done="0"/>
  <w15:commentEx w15:paraId="028A3F82" w15:done="0"/>
  <w15:commentEx w15:paraId="028A3F83" w15:done="0"/>
  <w15:commentEx w15:paraId="028A3F84" w15:done="0"/>
  <w15:commentEx w15:paraId="028A3F85" w15:done="0"/>
  <w15:commentEx w15:paraId="028A3F86" w15:done="0"/>
  <w15:commentEx w15:paraId="028A3F87" w15:done="0"/>
  <w15:commentEx w15:paraId="028A3F88" w15:done="0"/>
  <w15:commentEx w15:paraId="028A3F89" w15:done="0"/>
  <w15:commentEx w15:paraId="028A3F8A" w15:done="0"/>
  <w15:commentEx w15:paraId="028A3F8B" w15:done="0"/>
  <w15:commentEx w15:paraId="028A3F8C" w15:done="0"/>
  <w15:commentEx w15:paraId="028A3F8D" w15:done="0"/>
  <w15:commentEx w15:paraId="028A3F8E" w15:done="0"/>
  <w15:commentEx w15:paraId="028A3F8F" w15:done="0"/>
  <w15:commentEx w15:paraId="028A3F90" w15:done="0"/>
  <w15:commentEx w15:paraId="028A3F91" w15:done="0"/>
  <w15:commentEx w15:paraId="028A3F92" w15:done="0"/>
  <w15:commentEx w15:paraId="028A3F93" w15:done="0"/>
  <w15:commentEx w15:paraId="028A3F94" w15:done="0"/>
  <w15:commentEx w15:paraId="028A3FA3" w15:done="0"/>
  <w15:commentEx w15:paraId="028A3FA4" w15:done="0"/>
  <w15:commentEx w15:paraId="028A3FA5" w15:done="0"/>
  <w15:commentEx w15:paraId="028A3FA6" w15:done="0"/>
  <w15:commentEx w15:paraId="6780D560" w15:done="0"/>
  <w15:commentEx w15:paraId="028A3FA7" w15:done="0"/>
  <w15:commentEx w15:paraId="028A3FA8" w15:done="0"/>
  <w15:commentEx w15:paraId="028A3FA9" w15:done="0"/>
  <w15:commentEx w15:paraId="028A3FAA" w15:done="0"/>
  <w15:commentEx w15:paraId="028A3FAB" w15:done="0"/>
  <w15:commentEx w15:paraId="028A3FAC" w15:done="0"/>
  <w15:commentEx w15:paraId="028A3FAD" w15:done="0"/>
  <w15:commentEx w15:paraId="028A3FAE" w15:done="0"/>
  <w15:commentEx w15:paraId="028A3FAF" w15:done="0"/>
  <w15:commentEx w15:paraId="028A3FB0" w15:done="0"/>
  <w15:commentEx w15:paraId="028A3FB1" w15:done="0"/>
  <w15:commentEx w15:paraId="028A3FB2" w15:done="0"/>
  <w15:commentEx w15:paraId="028A3FB3" w15:done="0"/>
  <w15:commentEx w15:paraId="028A3FB4" w15:done="0"/>
  <w15:commentEx w15:paraId="028A3FB5" w15:done="0"/>
  <w15:commentEx w15:paraId="028A3FB6" w15:done="0"/>
  <w15:commentEx w15:paraId="028A3FB7" w15:done="0"/>
  <w15:commentEx w15:paraId="028A3FB8" w15:done="0"/>
  <w15:commentEx w15:paraId="028A3FB9" w15:done="0"/>
  <w15:commentEx w15:paraId="028A3FBA" w15:done="0"/>
  <w15:commentEx w15:paraId="028A3FBB" w15:done="0"/>
  <w15:commentEx w15:paraId="028A3FBC" w15:done="0"/>
  <w15:commentEx w15:paraId="15E5699E" w15:done="0"/>
  <w15:commentEx w15:paraId="028A3FBD" w15:done="0"/>
  <w15:commentEx w15:paraId="028A3FC0" w15:done="0"/>
  <w15:commentEx w15:paraId="028A3FC1" w15:done="0"/>
  <w15:commentEx w15:paraId="028A3FC2" w15:done="0"/>
  <w15:commentEx w15:paraId="028A3FC3" w15:done="0"/>
  <w15:commentEx w15:paraId="028A3FC4" w15:done="0"/>
  <w15:commentEx w15:paraId="028A3FC5" w15:done="0"/>
  <w15:commentEx w15:paraId="028A3FC6" w15:done="0"/>
  <w15:commentEx w15:paraId="028A3FC7" w15:done="0"/>
  <w15:commentEx w15:paraId="028A3FC8" w15:done="0"/>
  <w15:commentEx w15:paraId="028A3FC9" w15:done="0"/>
  <w15:commentEx w15:paraId="028A3FCA" w15:done="0"/>
  <w15:commentEx w15:paraId="028A3F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75" w:rsidRDefault="00304275">
      <w:r>
        <w:separator/>
      </w:r>
    </w:p>
  </w:endnote>
  <w:endnote w:type="continuationSeparator" w:id="0">
    <w:p w:rsidR="00304275" w:rsidRDefault="00304275">
      <w:r>
        <w:continuationSeparator/>
      </w:r>
    </w:p>
  </w:endnote>
  <w:endnote w:type="continuationNotice" w:id="1">
    <w:p w:rsidR="00304275" w:rsidRDefault="003042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276634"/>
      <w:docPartObj>
        <w:docPartGallery w:val="Page Numbers (Bottom of Page)"/>
        <w:docPartUnique/>
      </w:docPartObj>
    </w:sdtPr>
    <w:sdtEndPr>
      <w:rPr>
        <w:noProof/>
      </w:rPr>
    </w:sdtEndPr>
    <w:sdtContent>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304275" w:rsidRPr="00FC6A16" w:rsidTr="00525C26">
          <w:trPr>
            <w:cantSplit/>
            <w:trHeight w:hRule="exact" w:val="120"/>
          </w:trPr>
          <w:tc>
            <w:tcPr>
              <w:tcW w:w="4097" w:type="dxa"/>
              <w:tcBorders>
                <w:top w:val="single" w:sz="4" w:space="0" w:color="007DA4"/>
              </w:tcBorders>
              <w:vAlign w:val="center"/>
            </w:tcPr>
            <w:p w:rsidR="00304275" w:rsidRPr="00FC6A16" w:rsidRDefault="00304275" w:rsidP="00BD6D4F">
              <w:pPr>
                <w:spacing w:line="180" w:lineRule="atLeast"/>
                <w:rPr>
                  <w:sz w:val="14"/>
                </w:rPr>
              </w:pPr>
            </w:p>
          </w:tc>
          <w:tc>
            <w:tcPr>
              <w:tcW w:w="1481" w:type="dxa"/>
              <w:tcBorders>
                <w:top w:val="single" w:sz="4" w:space="0" w:color="007DA4"/>
              </w:tcBorders>
              <w:vAlign w:val="center"/>
            </w:tcPr>
            <w:p w:rsidR="00304275" w:rsidRPr="00FC6A16" w:rsidRDefault="00304275" w:rsidP="00BD6D4F">
              <w:pPr>
                <w:ind w:right="360"/>
                <w:jc w:val="center"/>
              </w:pPr>
            </w:p>
          </w:tc>
          <w:tc>
            <w:tcPr>
              <w:tcW w:w="2157" w:type="dxa"/>
              <w:tcBorders>
                <w:top w:val="single" w:sz="4" w:space="0" w:color="007DA4"/>
              </w:tcBorders>
              <w:vAlign w:val="center"/>
            </w:tcPr>
            <w:p w:rsidR="00304275" w:rsidRPr="00FC6A16" w:rsidRDefault="00304275" w:rsidP="00BD6D4F">
              <w:pPr>
                <w:jc w:val="center"/>
              </w:pPr>
            </w:p>
          </w:tc>
          <w:tc>
            <w:tcPr>
              <w:tcW w:w="1625" w:type="dxa"/>
              <w:tcBorders>
                <w:top w:val="single" w:sz="4" w:space="0" w:color="007DA4"/>
              </w:tcBorders>
              <w:tcMar>
                <w:left w:w="288" w:type="dxa"/>
              </w:tcMar>
              <w:vAlign w:val="center"/>
            </w:tcPr>
            <w:p w:rsidR="00304275" w:rsidRPr="00FC6A16" w:rsidRDefault="00304275" w:rsidP="00BD6D4F">
              <w:pPr>
                <w:jc w:val="center"/>
              </w:pPr>
            </w:p>
          </w:tc>
        </w:tr>
        <w:tr w:rsidR="00304275" w:rsidRPr="00FC6A16" w:rsidTr="00525C26">
          <w:trPr>
            <w:cantSplit/>
          </w:trPr>
          <w:tc>
            <w:tcPr>
              <w:tcW w:w="4097" w:type="dxa"/>
              <w:vAlign w:val="center"/>
            </w:tcPr>
            <w:p w:rsidR="00304275" w:rsidRPr="006C3581" w:rsidRDefault="00304275" w:rsidP="00BD6D4F">
              <w:pPr>
                <w:spacing w:line="180" w:lineRule="atLeast"/>
                <w:rPr>
                  <w:sz w:val="14"/>
                  <w:szCs w:val="16"/>
                </w:rPr>
              </w:pPr>
            </w:p>
          </w:tc>
          <w:tc>
            <w:tcPr>
              <w:tcW w:w="1481" w:type="dxa"/>
              <w:tcBorders>
                <w:right w:val="single" w:sz="4" w:space="0" w:color="007DA4"/>
              </w:tcBorders>
              <w:vAlign w:val="center"/>
            </w:tcPr>
            <w:p w:rsidR="00304275" w:rsidRPr="00FC6A16" w:rsidRDefault="00304275" w:rsidP="00BD6D4F">
              <w:pPr>
                <w:ind w:right="360"/>
                <w:jc w:val="center"/>
              </w:pPr>
              <w:r w:rsidRPr="00FC6A16">
                <w:rPr>
                  <w:rStyle w:val="PageNumber"/>
                  <w:b/>
                </w:rPr>
                <w:fldChar w:fldCharType="begin"/>
              </w:r>
              <w:r w:rsidRPr="00FC6A16">
                <w:rPr>
                  <w:rStyle w:val="PageNumber"/>
                  <w:b/>
                </w:rPr>
                <w:instrText xml:space="preserve"> PAGE </w:instrText>
              </w:r>
              <w:r w:rsidRPr="00FC6A16">
                <w:rPr>
                  <w:rStyle w:val="PageNumber"/>
                  <w:b/>
                </w:rPr>
                <w:fldChar w:fldCharType="separate"/>
              </w:r>
              <w:r w:rsidR="00FB0621">
                <w:rPr>
                  <w:rStyle w:val="PageNumber"/>
                  <w:b/>
                  <w:noProof/>
                </w:rPr>
                <w:t>20</w:t>
              </w:r>
              <w:r w:rsidRPr="00FC6A16">
                <w:rPr>
                  <w:rStyle w:val="PageNumber"/>
                  <w:b/>
                </w:rPr>
                <w:fldChar w:fldCharType="end"/>
              </w:r>
            </w:p>
          </w:tc>
          <w:tc>
            <w:tcPr>
              <w:tcW w:w="2157" w:type="dxa"/>
              <w:tcBorders>
                <w:left w:val="single" w:sz="4" w:space="0" w:color="007DA4"/>
                <w:right w:val="single" w:sz="4" w:space="0" w:color="007DA4"/>
              </w:tcBorders>
              <w:vAlign w:val="center"/>
            </w:tcPr>
            <w:p w:rsidR="00304275" w:rsidRPr="003B782A" w:rsidRDefault="00304275" w:rsidP="006C3581">
              <w:pPr>
                <w:rPr>
                  <w:b/>
                  <w:sz w:val="16"/>
                </w:rPr>
              </w:pPr>
            </w:p>
          </w:tc>
          <w:tc>
            <w:tcPr>
              <w:tcW w:w="1625" w:type="dxa"/>
              <w:tcBorders>
                <w:left w:val="single" w:sz="4" w:space="0" w:color="007DA4"/>
              </w:tcBorders>
              <w:vAlign w:val="center"/>
            </w:tcPr>
            <w:p w:rsidR="00304275" w:rsidRPr="00FC6A16" w:rsidRDefault="00304275" w:rsidP="00BD6D4F">
              <w:pPr>
                <w:ind w:left="720" w:hanging="720"/>
                <w:jc w:val="center"/>
              </w:pPr>
            </w:p>
          </w:tc>
        </w:tr>
      </w:tbl>
      <w:p w:rsidR="00304275" w:rsidRDefault="00304275" w:rsidP="00133DD7">
        <w:pPr>
          <w:pStyle w:val="SL-FlLftSgl"/>
          <w:spacing w:line="40" w:lineRule="exac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75" w:rsidRDefault="00304275">
      <w:r>
        <w:separator/>
      </w:r>
    </w:p>
  </w:footnote>
  <w:footnote w:type="continuationSeparator" w:id="0">
    <w:p w:rsidR="00304275" w:rsidRDefault="00304275">
      <w:r>
        <w:continuationSeparator/>
      </w:r>
    </w:p>
  </w:footnote>
  <w:footnote w:type="continuationNotice" w:id="1">
    <w:p w:rsidR="00304275" w:rsidRDefault="00304275">
      <w:pPr>
        <w:spacing w:line="240" w:lineRule="auto"/>
      </w:pPr>
    </w:p>
  </w:footnote>
  <w:footnote w:id="2">
    <w:p w:rsidR="00304275" w:rsidRPr="007F17F7" w:rsidRDefault="00304275" w:rsidP="00716643">
      <w:pPr>
        <w:pStyle w:val="NoSpacing"/>
        <w:rPr>
          <w:rFonts w:ascii="Times New Roman" w:hAnsi="Times New Roman" w:cs="Times New Roman"/>
          <w:sz w:val="18"/>
          <w:szCs w:val="18"/>
        </w:rPr>
      </w:pPr>
      <w:r w:rsidRPr="007F17F7">
        <w:rPr>
          <w:rStyle w:val="FootnoteReference"/>
          <w:rFonts w:ascii="Times New Roman" w:hAnsi="Times New Roman" w:cs="Times New Roman"/>
          <w:sz w:val="18"/>
          <w:szCs w:val="18"/>
        </w:rPr>
        <w:footnoteRef/>
      </w:r>
      <w:r w:rsidRPr="007F17F7">
        <w:rPr>
          <w:rFonts w:ascii="Times New Roman" w:hAnsi="Times New Roman" w:cs="Times New Roman"/>
          <w:sz w:val="18"/>
          <w:szCs w:val="18"/>
        </w:rPr>
        <w:t xml:space="preserve"> </w:t>
      </w:r>
      <w:proofErr w:type="gramStart"/>
      <w:r w:rsidRPr="007F17F7">
        <w:rPr>
          <w:rFonts w:ascii="Times New Roman" w:hAnsi="Times New Roman" w:cs="Times New Roman"/>
          <w:sz w:val="18"/>
          <w:szCs w:val="18"/>
        </w:rPr>
        <w:t>Blumberg, S.J., and Luke, J.V. (2014).</w:t>
      </w:r>
      <w:proofErr w:type="gramEnd"/>
      <w:r w:rsidRPr="007F17F7">
        <w:rPr>
          <w:rFonts w:ascii="Times New Roman" w:hAnsi="Times New Roman" w:cs="Times New Roman"/>
          <w:sz w:val="18"/>
          <w:szCs w:val="18"/>
        </w:rPr>
        <w:t xml:space="preserve"> </w:t>
      </w:r>
      <w:r w:rsidRPr="007F17F7">
        <w:rPr>
          <w:rFonts w:ascii="Times New Roman" w:hAnsi="Times New Roman" w:cs="Times New Roman"/>
          <w:i/>
          <w:sz w:val="18"/>
          <w:szCs w:val="18"/>
        </w:rPr>
        <w:t>Wireless substitution: Early release of estimates from the National Health Interview Survey, July – December 2013</w:t>
      </w:r>
      <w:r w:rsidRPr="007F17F7">
        <w:rPr>
          <w:rFonts w:ascii="Times New Roman" w:hAnsi="Times New Roman" w:cs="Times New Roman"/>
          <w:sz w:val="18"/>
          <w:szCs w:val="18"/>
        </w:rPr>
        <w:t xml:space="preserve">. </w:t>
      </w:r>
      <w:proofErr w:type="gramStart"/>
      <w:r w:rsidRPr="007F17F7">
        <w:rPr>
          <w:rFonts w:ascii="Times New Roman" w:hAnsi="Times New Roman" w:cs="Times New Roman"/>
          <w:sz w:val="18"/>
          <w:szCs w:val="18"/>
        </w:rPr>
        <w:t>National Center for Health Statistics.</w:t>
      </w:r>
      <w:proofErr w:type="gramEnd"/>
      <w:r w:rsidRPr="007F17F7">
        <w:rPr>
          <w:rFonts w:ascii="Times New Roman" w:hAnsi="Times New Roman" w:cs="Times New Roman"/>
          <w:sz w:val="18"/>
          <w:szCs w:val="18"/>
        </w:rPr>
        <w:t xml:space="preserve"> </w:t>
      </w:r>
      <w:proofErr w:type="gramStart"/>
      <w:r w:rsidRPr="007F17F7">
        <w:rPr>
          <w:rFonts w:ascii="Times New Roman" w:hAnsi="Times New Roman" w:cs="Times New Roman"/>
          <w:sz w:val="18"/>
          <w:szCs w:val="18"/>
        </w:rPr>
        <w:t>Available from http://www.cdc.gov/nchs/nhis.htm.</w:t>
      </w:r>
      <w:proofErr w:type="gramEnd"/>
    </w:p>
  </w:footnote>
  <w:footnote w:id="3">
    <w:p w:rsidR="00304275" w:rsidRDefault="00304275">
      <w:pPr>
        <w:pStyle w:val="FootnoteText"/>
      </w:pPr>
      <w:r>
        <w:rPr>
          <w:rStyle w:val="FootnoteReference"/>
        </w:rPr>
        <w:footnoteRef/>
      </w:r>
      <w:r>
        <w:t xml:space="preserve"> </w:t>
      </w:r>
      <w:proofErr w:type="gramStart"/>
      <w:r>
        <w:t xml:space="preserve">Roth, S.B., Han, D. and </w:t>
      </w:r>
      <w:proofErr w:type="spellStart"/>
      <w:r>
        <w:t>Montaquila</w:t>
      </w:r>
      <w:proofErr w:type="spellEnd"/>
      <w:r>
        <w:t>, J.M. (2013).</w:t>
      </w:r>
      <w:proofErr w:type="gramEnd"/>
      <w:r>
        <w:t xml:space="preserve"> The ABS Frame: Quality and considerations. </w:t>
      </w:r>
      <w:proofErr w:type="gramStart"/>
      <w:r>
        <w:t>Survey Practice, 6(4).</w:t>
      </w:r>
      <w:proofErr w:type="gramEnd"/>
      <w:r>
        <w:t xml:space="preserve"> </w:t>
      </w:r>
      <w:proofErr w:type="gramStart"/>
      <w:r>
        <w:t>Available from http://surveypractice.org/index.php/SurveyPractice/article/view/73/pdf.</w:t>
      </w:r>
      <w:proofErr w:type="gramEnd"/>
    </w:p>
  </w:footnote>
  <w:footnote w:id="4">
    <w:p w:rsidR="00304275" w:rsidRPr="006C4436" w:rsidRDefault="00304275" w:rsidP="00AB2DAF">
      <w:pPr>
        <w:pStyle w:val="FootnoteText"/>
        <w:spacing w:before="0"/>
        <w:rPr>
          <w:szCs w:val="18"/>
        </w:rPr>
      </w:pPr>
      <w:r w:rsidRPr="007F17F7">
        <w:rPr>
          <w:rStyle w:val="FootnoteReference"/>
          <w:szCs w:val="18"/>
        </w:rPr>
        <w:footnoteRef/>
      </w:r>
      <w:r w:rsidRPr="007F17F7">
        <w:rPr>
          <w:szCs w:val="18"/>
        </w:rPr>
        <w:t xml:space="preserve"> </w:t>
      </w:r>
      <w:proofErr w:type="spellStart"/>
      <w:r w:rsidRPr="007F17F7">
        <w:rPr>
          <w:szCs w:val="18"/>
          <w:shd w:val="clear" w:color="auto" w:fill="FFFFFF"/>
        </w:rPr>
        <w:t>Iannacchione</w:t>
      </w:r>
      <w:proofErr w:type="spellEnd"/>
      <w:r w:rsidRPr="007F17F7">
        <w:rPr>
          <w:szCs w:val="18"/>
          <w:shd w:val="clear" w:color="auto" w:fill="FFFFFF"/>
        </w:rPr>
        <w:t xml:space="preserve">, Vincent G. </w:t>
      </w:r>
      <w:proofErr w:type="gramStart"/>
      <w:r w:rsidRPr="007F17F7">
        <w:rPr>
          <w:szCs w:val="18"/>
          <w:shd w:val="clear" w:color="auto" w:fill="FFFFFF"/>
        </w:rPr>
        <w:t>The changing role of address-based sampling in survey</w:t>
      </w:r>
      <w:r>
        <w:rPr>
          <w:szCs w:val="18"/>
          <w:shd w:val="clear" w:color="auto" w:fill="FFFFFF"/>
        </w:rPr>
        <w:t xml:space="preserve"> </w:t>
      </w:r>
      <w:r w:rsidRPr="006C4436">
        <w:rPr>
          <w:szCs w:val="18"/>
          <w:shd w:val="clear" w:color="auto" w:fill="FFFFFF"/>
        </w:rPr>
        <w:t>research.</w:t>
      </w:r>
      <w:proofErr w:type="gramEnd"/>
      <w:r w:rsidRPr="006C4436">
        <w:rPr>
          <w:rStyle w:val="apple-converted-space"/>
          <w:szCs w:val="18"/>
          <w:shd w:val="clear" w:color="auto" w:fill="FFFFFF"/>
        </w:rPr>
        <w:t> </w:t>
      </w:r>
      <w:r w:rsidRPr="006C4436">
        <w:rPr>
          <w:i/>
          <w:iCs/>
          <w:szCs w:val="18"/>
          <w:shd w:val="clear" w:color="auto" w:fill="FFFFFF"/>
        </w:rPr>
        <w:t>Public Opinion Quarterly</w:t>
      </w:r>
      <w:r w:rsidRPr="006C4436">
        <w:rPr>
          <w:rStyle w:val="apple-converted-space"/>
          <w:szCs w:val="18"/>
          <w:shd w:val="clear" w:color="auto" w:fill="FFFFFF"/>
        </w:rPr>
        <w:t> </w:t>
      </w:r>
      <w:r w:rsidRPr="006C4436">
        <w:rPr>
          <w:szCs w:val="18"/>
          <w:shd w:val="clear" w:color="auto" w:fill="FFFFFF"/>
        </w:rPr>
        <w:t>75.3 (2011): 556-575.</w:t>
      </w:r>
    </w:p>
  </w:footnote>
  <w:footnote w:id="5">
    <w:p w:rsidR="00304275" w:rsidRDefault="00304275" w:rsidP="00AB2DAF">
      <w:pPr>
        <w:pStyle w:val="FootnoteText"/>
        <w:spacing w:before="0"/>
      </w:pPr>
      <w:r>
        <w:rPr>
          <w:rStyle w:val="FootnoteReference"/>
        </w:rPr>
        <w:footnoteRef/>
      </w:r>
      <w:r>
        <w:t xml:space="preserve"> </w:t>
      </w:r>
      <w:proofErr w:type="spellStart"/>
      <w:r>
        <w:t>Iannacchione</w:t>
      </w:r>
      <w:proofErr w:type="spellEnd"/>
      <w:r>
        <w:t xml:space="preserve"> (2011) showed that the number of addresses in the CDS and its No-Stat file combined is virtually identical to the Census Bureau’s estimate of the number of housing units; the author noted that while there is not a one-to-one association between these, this offers evidence of virtually complete coverage.</w:t>
      </w:r>
    </w:p>
  </w:footnote>
  <w:footnote w:id="6">
    <w:p w:rsidR="00304275" w:rsidRPr="00716643" w:rsidRDefault="00304275" w:rsidP="00F00D5B">
      <w:pPr>
        <w:spacing w:line="240" w:lineRule="auto"/>
        <w:rPr>
          <w:sz w:val="18"/>
          <w:szCs w:val="18"/>
        </w:rPr>
      </w:pPr>
      <w:r w:rsidRPr="003115FF">
        <w:rPr>
          <w:rStyle w:val="FootnoteReference"/>
          <w:sz w:val="18"/>
          <w:szCs w:val="18"/>
        </w:rPr>
        <w:footnoteRef/>
      </w:r>
      <w:r w:rsidRPr="003115FF">
        <w:rPr>
          <w:sz w:val="18"/>
          <w:szCs w:val="18"/>
        </w:rPr>
        <w:t xml:space="preserve"> </w:t>
      </w:r>
      <w:proofErr w:type="gramStart"/>
      <w:r w:rsidRPr="003115FF">
        <w:rPr>
          <w:sz w:val="18"/>
          <w:szCs w:val="18"/>
        </w:rPr>
        <w:t xml:space="preserve">Shook-Sa, B. E., </w:t>
      </w:r>
      <w:proofErr w:type="spellStart"/>
      <w:r w:rsidRPr="003115FF">
        <w:rPr>
          <w:sz w:val="18"/>
          <w:szCs w:val="18"/>
        </w:rPr>
        <w:t>Currivan</w:t>
      </w:r>
      <w:proofErr w:type="spellEnd"/>
      <w:r w:rsidRPr="003115FF">
        <w:rPr>
          <w:sz w:val="18"/>
          <w:szCs w:val="18"/>
        </w:rPr>
        <w:t xml:space="preserve">, D. B., McMichael, J. P., and </w:t>
      </w:r>
      <w:proofErr w:type="spellStart"/>
      <w:r w:rsidRPr="003115FF">
        <w:rPr>
          <w:sz w:val="18"/>
          <w:szCs w:val="18"/>
        </w:rPr>
        <w:t>Iannacchione</w:t>
      </w:r>
      <w:proofErr w:type="spellEnd"/>
      <w:r w:rsidRPr="003115FF">
        <w:rPr>
          <w:sz w:val="18"/>
          <w:szCs w:val="18"/>
        </w:rPr>
        <w:t>, V. G. (2013).</w:t>
      </w:r>
      <w:proofErr w:type="gramEnd"/>
      <w:r w:rsidRPr="003115FF">
        <w:rPr>
          <w:sz w:val="18"/>
          <w:szCs w:val="18"/>
        </w:rPr>
        <w:t xml:space="preserve"> Extending the Coverage of Address-Based Sampling Frames Beyond the USPS Computerized Delivery Sequence File. </w:t>
      </w:r>
      <w:proofErr w:type="gramStart"/>
      <w:r w:rsidRPr="003115FF">
        <w:rPr>
          <w:i/>
          <w:iCs/>
          <w:sz w:val="18"/>
          <w:szCs w:val="18"/>
        </w:rPr>
        <w:t>Public opinion quarterly</w:t>
      </w:r>
      <w:r w:rsidRPr="003115FF">
        <w:rPr>
          <w:sz w:val="18"/>
          <w:szCs w:val="18"/>
        </w:rPr>
        <w:t xml:space="preserve">, </w:t>
      </w:r>
      <w:r w:rsidRPr="003115FF">
        <w:rPr>
          <w:i/>
          <w:iCs/>
          <w:sz w:val="18"/>
          <w:szCs w:val="18"/>
        </w:rPr>
        <w:t>77</w:t>
      </w:r>
      <w:r w:rsidRPr="003115FF">
        <w:rPr>
          <w:sz w:val="18"/>
          <w:szCs w:val="18"/>
        </w:rPr>
        <w:t>(4), 994-1005.</w:t>
      </w:r>
      <w:proofErr w:type="gramEnd"/>
    </w:p>
  </w:footnote>
  <w:footnote w:id="7">
    <w:p w:rsidR="00304275" w:rsidRPr="00716643" w:rsidRDefault="00304275" w:rsidP="00A0337E">
      <w:pPr>
        <w:spacing w:line="240" w:lineRule="auto"/>
        <w:rPr>
          <w:color w:val="000000"/>
          <w:sz w:val="18"/>
          <w:szCs w:val="18"/>
          <w:u w:val="single"/>
        </w:rPr>
      </w:pPr>
      <w:r w:rsidRPr="003115FF">
        <w:rPr>
          <w:rStyle w:val="FootnoteReference"/>
          <w:sz w:val="18"/>
          <w:szCs w:val="18"/>
        </w:rPr>
        <w:footnoteRef/>
      </w:r>
      <w:r w:rsidRPr="003115FF">
        <w:rPr>
          <w:sz w:val="18"/>
          <w:szCs w:val="18"/>
        </w:rPr>
        <w:t xml:space="preserve"> </w:t>
      </w:r>
      <w:r w:rsidRPr="003115FF">
        <w:rPr>
          <w:color w:val="000000"/>
          <w:sz w:val="18"/>
          <w:szCs w:val="18"/>
        </w:rPr>
        <w:t xml:space="preserve">Blumberg </w:t>
      </w:r>
      <w:proofErr w:type="gramStart"/>
      <w:r w:rsidRPr="003115FF">
        <w:rPr>
          <w:color w:val="000000"/>
          <w:sz w:val="18"/>
          <w:szCs w:val="18"/>
        </w:rPr>
        <w:t>SJ,</w:t>
      </w:r>
      <w:proofErr w:type="gramEnd"/>
      <w:r w:rsidRPr="003115FF">
        <w:rPr>
          <w:color w:val="000000"/>
          <w:sz w:val="18"/>
          <w:szCs w:val="18"/>
        </w:rPr>
        <w:t xml:space="preserve"> and Luke JV. Wireless substitution: Early release of estimates from the National Health Interview Survey, July-December 2009. </w:t>
      </w:r>
      <w:proofErr w:type="gramStart"/>
      <w:r w:rsidRPr="003115FF">
        <w:rPr>
          <w:color w:val="000000"/>
          <w:sz w:val="18"/>
          <w:szCs w:val="18"/>
        </w:rPr>
        <w:t>National Center for Health Statistics.</w:t>
      </w:r>
      <w:proofErr w:type="gramEnd"/>
      <w:r w:rsidRPr="003115FF">
        <w:rPr>
          <w:color w:val="000000"/>
          <w:sz w:val="18"/>
          <w:szCs w:val="18"/>
        </w:rPr>
        <w:t xml:space="preserve"> May 2010. Available from: </w:t>
      </w:r>
      <w:hyperlink r:id="rId1" w:history="1">
        <w:r w:rsidRPr="003115FF">
          <w:rPr>
            <w:color w:val="000000"/>
            <w:sz w:val="18"/>
            <w:szCs w:val="18"/>
            <w:u w:val="single"/>
          </w:rPr>
          <w:t>/</w:t>
        </w:r>
        <w:proofErr w:type="spellStart"/>
        <w:r w:rsidRPr="003115FF">
          <w:rPr>
            <w:color w:val="000000"/>
            <w:sz w:val="18"/>
            <w:szCs w:val="18"/>
            <w:u w:val="single"/>
          </w:rPr>
          <w:t>nchs</w:t>
        </w:r>
        <w:proofErr w:type="spellEnd"/>
        <w:r w:rsidRPr="003115FF">
          <w:rPr>
            <w:color w:val="000000"/>
            <w:sz w:val="18"/>
            <w:szCs w:val="18"/>
            <w:u w:val="single"/>
          </w:rPr>
          <w:t>/nhis.htm</w:t>
        </w:r>
      </w:hyperlink>
    </w:p>
  </w:footnote>
  <w:footnote w:id="8">
    <w:p w:rsidR="00304275" w:rsidRPr="003115FF" w:rsidRDefault="00304275" w:rsidP="00716643">
      <w:pPr>
        <w:spacing w:line="240" w:lineRule="auto"/>
        <w:rPr>
          <w:sz w:val="18"/>
          <w:szCs w:val="18"/>
        </w:rPr>
      </w:pPr>
      <w:r w:rsidRPr="003115FF">
        <w:rPr>
          <w:rStyle w:val="FootnoteReference"/>
          <w:sz w:val="18"/>
          <w:szCs w:val="18"/>
        </w:rPr>
        <w:footnoteRef/>
      </w:r>
      <w:r w:rsidRPr="003115FF">
        <w:rPr>
          <w:sz w:val="18"/>
          <w:szCs w:val="18"/>
        </w:rPr>
        <w:t xml:space="preserve"> </w:t>
      </w:r>
      <w:proofErr w:type="gramStart"/>
      <w:r w:rsidRPr="003115FF">
        <w:rPr>
          <w:sz w:val="18"/>
          <w:szCs w:val="18"/>
        </w:rPr>
        <w:t xml:space="preserve">Boyle, J., </w:t>
      </w:r>
      <w:proofErr w:type="spellStart"/>
      <w:r w:rsidRPr="003115FF">
        <w:rPr>
          <w:sz w:val="18"/>
          <w:szCs w:val="18"/>
        </w:rPr>
        <w:t>Bucuvalas</w:t>
      </w:r>
      <w:proofErr w:type="spellEnd"/>
      <w:r w:rsidRPr="003115FF">
        <w:rPr>
          <w:sz w:val="18"/>
          <w:szCs w:val="18"/>
        </w:rPr>
        <w:t xml:space="preserve">, M., </w:t>
      </w:r>
      <w:proofErr w:type="spellStart"/>
      <w:r w:rsidRPr="003115FF">
        <w:rPr>
          <w:sz w:val="18"/>
          <w:szCs w:val="18"/>
        </w:rPr>
        <w:t>Piekarski</w:t>
      </w:r>
      <w:proofErr w:type="spellEnd"/>
      <w:r w:rsidRPr="003115FF">
        <w:rPr>
          <w:sz w:val="18"/>
          <w:szCs w:val="18"/>
        </w:rPr>
        <w:t>, L., and Weiss, A. (2009).</w:t>
      </w:r>
      <w:proofErr w:type="gramEnd"/>
      <w:r w:rsidRPr="003115FF">
        <w:rPr>
          <w:sz w:val="18"/>
          <w:szCs w:val="18"/>
        </w:rPr>
        <w:t xml:space="preserve"> Zero banks: Coverage error and bias in RDD samples based on hundred banks with listed numbers. </w:t>
      </w:r>
      <w:r w:rsidRPr="003115FF">
        <w:rPr>
          <w:i/>
          <w:iCs/>
          <w:sz w:val="18"/>
          <w:szCs w:val="18"/>
        </w:rPr>
        <w:t>Public Opinion Quarterly, 73(4)</w:t>
      </w:r>
      <w:r w:rsidRPr="003115FF">
        <w:rPr>
          <w:sz w:val="18"/>
          <w:szCs w:val="18"/>
        </w:rPr>
        <w:t>, 729-750.</w:t>
      </w:r>
    </w:p>
  </w:footnote>
  <w:footnote w:id="9">
    <w:p w:rsidR="00304275" w:rsidRPr="003115FF" w:rsidRDefault="00304275" w:rsidP="00716643">
      <w:pPr>
        <w:spacing w:line="240" w:lineRule="auto"/>
        <w:rPr>
          <w:sz w:val="18"/>
          <w:szCs w:val="18"/>
        </w:rPr>
      </w:pPr>
      <w:r w:rsidRPr="003115FF">
        <w:rPr>
          <w:rStyle w:val="FootnoteReference"/>
          <w:sz w:val="18"/>
          <w:szCs w:val="18"/>
        </w:rPr>
        <w:footnoteRef/>
      </w:r>
      <w:r w:rsidRPr="003115FF">
        <w:rPr>
          <w:sz w:val="18"/>
          <w:szCs w:val="18"/>
        </w:rPr>
        <w:t xml:space="preserve"> </w:t>
      </w:r>
      <w:proofErr w:type="spellStart"/>
      <w:proofErr w:type="gramStart"/>
      <w:r w:rsidRPr="003115FF">
        <w:rPr>
          <w:sz w:val="18"/>
          <w:szCs w:val="18"/>
        </w:rPr>
        <w:t>Fahimi</w:t>
      </w:r>
      <w:proofErr w:type="spellEnd"/>
      <w:r w:rsidRPr="003115FF">
        <w:rPr>
          <w:sz w:val="18"/>
          <w:szCs w:val="18"/>
        </w:rPr>
        <w:t xml:space="preserve">, M., </w:t>
      </w:r>
      <w:proofErr w:type="spellStart"/>
      <w:r w:rsidRPr="003115FF">
        <w:rPr>
          <w:sz w:val="18"/>
          <w:szCs w:val="18"/>
        </w:rPr>
        <w:t>Kulp</w:t>
      </w:r>
      <w:proofErr w:type="spellEnd"/>
      <w:r w:rsidRPr="003115FF">
        <w:rPr>
          <w:sz w:val="18"/>
          <w:szCs w:val="18"/>
        </w:rPr>
        <w:t>, D., and Brick, J.M. (2009).</w:t>
      </w:r>
      <w:proofErr w:type="gramEnd"/>
      <w:r w:rsidRPr="003115FF">
        <w:rPr>
          <w:sz w:val="18"/>
          <w:szCs w:val="18"/>
        </w:rPr>
        <w:t xml:space="preserve"> </w:t>
      </w:r>
      <w:proofErr w:type="gramStart"/>
      <w:r w:rsidRPr="003115FF">
        <w:rPr>
          <w:sz w:val="18"/>
          <w:szCs w:val="18"/>
        </w:rPr>
        <w:t>A reassessment of list-assisted RDD methodology.</w:t>
      </w:r>
      <w:proofErr w:type="gramEnd"/>
      <w:r w:rsidRPr="003115FF">
        <w:rPr>
          <w:sz w:val="18"/>
          <w:szCs w:val="18"/>
        </w:rPr>
        <w:t xml:space="preserve"> </w:t>
      </w:r>
      <w:proofErr w:type="gramStart"/>
      <w:r w:rsidRPr="003115FF">
        <w:rPr>
          <w:i/>
          <w:iCs/>
          <w:sz w:val="18"/>
          <w:szCs w:val="18"/>
        </w:rPr>
        <w:t xml:space="preserve">Public Opinion Quarterly, 73(4), </w:t>
      </w:r>
      <w:r w:rsidRPr="003115FF">
        <w:rPr>
          <w:sz w:val="18"/>
          <w:szCs w:val="18"/>
        </w:rPr>
        <w:t>751- 760.</w:t>
      </w:r>
      <w:proofErr w:type="gramEnd"/>
    </w:p>
  </w:footnote>
  <w:footnote w:id="10">
    <w:p w:rsidR="00304275" w:rsidRPr="003115FF" w:rsidRDefault="00304275" w:rsidP="00716643">
      <w:pPr>
        <w:spacing w:line="240" w:lineRule="auto"/>
        <w:rPr>
          <w:sz w:val="18"/>
          <w:szCs w:val="18"/>
        </w:rPr>
      </w:pPr>
      <w:r w:rsidRPr="003115FF">
        <w:rPr>
          <w:rStyle w:val="FootnoteReference"/>
          <w:sz w:val="18"/>
          <w:szCs w:val="18"/>
        </w:rPr>
        <w:footnoteRef/>
      </w:r>
      <w:r w:rsidRPr="003115FF">
        <w:rPr>
          <w:sz w:val="18"/>
          <w:szCs w:val="18"/>
        </w:rPr>
        <w:t xml:space="preserve"> </w:t>
      </w:r>
      <w:proofErr w:type="gramStart"/>
      <w:r w:rsidRPr="003115FF">
        <w:rPr>
          <w:sz w:val="18"/>
          <w:szCs w:val="18"/>
        </w:rPr>
        <w:t>Barron, M. and Zhao, Z. (2010)</w:t>
      </w:r>
      <w:r w:rsidRPr="003115FF">
        <w:rPr>
          <w:i/>
          <w:iCs/>
          <w:sz w:val="18"/>
          <w:szCs w:val="18"/>
        </w:rPr>
        <w:t>.</w:t>
      </w:r>
      <w:proofErr w:type="gramEnd"/>
      <w:r w:rsidRPr="003115FF">
        <w:rPr>
          <w:i/>
          <w:iCs/>
          <w:sz w:val="18"/>
          <w:szCs w:val="18"/>
        </w:rPr>
        <w:t xml:space="preserve"> </w:t>
      </w:r>
      <w:proofErr w:type="gramStart"/>
      <w:r w:rsidRPr="003115FF">
        <w:rPr>
          <w:sz w:val="18"/>
          <w:szCs w:val="18"/>
        </w:rPr>
        <w:t xml:space="preserve">Measuring </w:t>
      </w:r>
      <w:proofErr w:type="spellStart"/>
      <w:r w:rsidRPr="003115FF">
        <w:rPr>
          <w:sz w:val="18"/>
          <w:szCs w:val="18"/>
        </w:rPr>
        <w:t>undercoverage</w:t>
      </w:r>
      <w:proofErr w:type="spellEnd"/>
      <w:r w:rsidRPr="003115FF">
        <w:rPr>
          <w:sz w:val="18"/>
          <w:szCs w:val="18"/>
        </w:rPr>
        <w:t xml:space="preserve"> of landline telephone population in 1+ 100 bank surveys.</w:t>
      </w:r>
      <w:proofErr w:type="gramEnd"/>
      <w:r w:rsidRPr="003115FF">
        <w:rPr>
          <w:sz w:val="18"/>
          <w:szCs w:val="18"/>
        </w:rPr>
        <w:t xml:space="preserve"> </w:t>
      </w:r>
      <w:proofErr w:type="gramStart"/>
      <w:r w:rsidRPr="003115FF">
        <w:rPr>
          <w:sz w:val="18"/>
          <w:szCs w:val="18"/>
        </w:rPr>
        <w:t>Presented at the 65th Annual Conference of the American Association for Public Opinion Research.</w:t>
      </w:r>
      <w:proofErr w:type="gramEnd"/>
    </w:p>
  </w:footnote>
  <w:footnote w:id="11">
    <w:p w:rsidR="00304275" w:rsidRPr="00716643" w:rsidRDefault="00304275" w:rsidP="00716643">
      <w:pPr>
        <w:spacing w:line="240" w:lineRule="auto"/>
        <w:rPr>
          <w:sz w:val="18"/>
          <w:szCs w:val="18"/>
        </w:rPr>
      </w:pPr>
      <w:r w:rsidRPr="003115FF">
        <w:rPr>
          <w:rStyle w:val="FootnoteReference"/>
          <w:sz w:val="18"/>
          <w:szCs w:val="18"/>
        </w:rPr>
        <w:footnoteRef/>
      </w:r>
      <w:r w:rsidRPr="003115FF">
        <w:rPr>
          <w:sz w:val="18"/>
          <w:szCs w:val="18"/>
        </w:rPr>
        <w:t xml:space="preserve"> </w:t>
      </w:r>
      <w:proofErr w:type="gramStart"/>
      <w:r w:rsidRPr="003115FF">
        <w:rPr>
          <w:sz w:val="18"/>
          <w:szCs w:val="18"/>
        </w:rPr>
        <w:t xml:space="preserve">Barron, M., Barron, M., Kelly, J., Montgomery, R., Singleton, J., Shin, H. C., </w:t>
      </w:r>
      <w:proofErr w:type="spellStart"/>
      <w:r w:rsidRPr="003115FF">
        <w:rPr>
          <w:sz w:val="18"/>
          <w:szCs w:val="18"/>
        </w:rPr>
        <w:t>Skalland</w:t>
      </w:r>
      <w:proofErr w:type="spellEnd"/>
      <w:r w:rsidRPr="003115FF">
        <w:rPr>
          <w:sz w:val="18"/>
          <w:szCs w:val="18"/>
        </w:rPr>
        <w:t xml:space="preserve">, B., Tao, X., and </w:t>
      </w:r>
      <w:proofErr w:type="spellStart"/>
      <w:r w:rsidRPr="003115FF">
        <w:rPr>
          <w:sz w:val="18"/>
          <w:szCs w:val="18"/>
        </w:rPr>
        <w:t>Wolter</w:t>
      </w:r>
      <w:proofErr w:type="spellEnd"/>
      <w:r w:rsidRPr="003115FF">
        <w:rPr>
          <w:sz w:val="18"/>
          <w:szCs w:val="18"/>
        </w:rPr>
        <w:t>, K. (2013).</w:t>
      </w:r>
      <w:proofErr w:type="gramEnd"/>
      <w:r w:rsidRPr="003115FF">
        <w:rPr>
          <w:sz w:val="18"/>
          <w:szCs w:val="18"/>
        </w:rPr>
        <w:t xml:space="preserve"> More on the extent of </w:t>
      </w:r>
      <w:proofErr w:type="spellStart"/>
      <w:r w:rsidRPr="003115FF">
        <w:rPr>
          <w:sz w:val="18"/>
          <w:szCs w:val="18"/>
        </w:rPr>
        <w:t>undercoverage</w:t>
      </w:r>
      <w:proofErr w:type="spellEnd"/>
      <w:r w:rsidRPr="003115FF">
        <w:rPr>
          <w:sz w:val="18"/>
          <w:szCs w:val="18"/>
        </w:rPr>
        <w:t xml:space="preserve"> in RDD telephone surveys due to the omission of 0- banks. </w:t>
      </w:r>
      <w:proofErr w:type="gramStart"/>
      <w:r w:rsidRPr="003115FF">
        <w:rPr>
          <w:i/>
          <w:iCs/>
          <w:sz w:val="18"/>
          <w:szCs w:val="18"/>
        </w:rPr>
        <w:t>Survey Practice</w:t>
      </w:r>
      <w:r w:rsidRPr="003115FF">
        <w:rPr>
          <w:sz w:val="18"/>
          <w:szCs w:val="18"/>
        </w:rPr>
        <w:t xml:space="preserve">, </w:t>
      </w:r>
      <w:r w:rsidRPr="003115FF">
        <w:rPr>
          <w:i/>
          <w:iCs/>
          <w:sz w:val="18"/>
          <w:szCs w:val="18"/>
        </w:rPr>
        <w:t>3</w:t>
      </w:r>
      <w:r w:rsidRPr="003115FF">
        <w:rPr>
          <w:sz w:val="18"/>
          <w:szCs w:val="18"/>
        </w:rPr>
        <w:t>(2).</w:t>
      </w:r>
      <w:proofErr w:type="gramEnd"/>
    </w:p>
  </w:footnote>
  <w:footnote w:id="12">
    <w:p w:rsidR="00304275" w:rsidRDefault="00304275" w:rsidP="008F0039">
      <w:pPr>
        <w:pStyle w:val="FootnoteText"/>
      </w:pPr>
      <w:r>
        <w:rPr>
          <w:rStyle w:val="FootnoteReference"/>
        </w:rPr>
        <w:footnoteRef/>
      </w:r>
      <w:r>
        <w:t xml:space="preserve"> </w:t>
      </w:r>
      <w:proofErr w:type="spellStart"/>
      <w:r w:rsidRPr="00BE4D39">
        <w:rPr>
          <w:color w:val="222222"/>
          <w:szCs w:val="20"/>
        </w:rPr>
        <w:t>Särndal</w:t>
      </w:r>
      <w:proofErr w:type="spellEnd"/>
      <w:r w:rsidRPr="00BE4D39">
        <w:rPr>
          <w:color w:val="222222"/>
          <w:szCs w:val="20"/>
        </w:rPr>
        <w:t xml:space="preserve">, C. E., and </w:t>
      </w:r>
      <w:proofErr w:type="spellStart"/>
      <w:r w:rsidRPr="00BE4D39">
        <w:rPr>
          <w:color w:val="222222"/>
          <w:szCs w:val="20"/>
        </w:rPr>
        <w:t>Lundström</w:t>
      </w:r>
      <w:proofErr w:type="spellEnd"/>
      <w:r w:rsidRPr="00BE4D39">
        <w:rPr>
          <w:color w:val="222222"/>
          <w:szCs w:val="20"/>
        </w:rPr>
        <w:t xml:space="preserve">, S. (2005). </w:t>
      </w:r>
      <w:proofErr w:type="gramStart"/>
      <w:r w:rsidRPr="00BE4D39">
        <w:rPr>
          <w:i/>
          <w:iCs/>
          <w:color w:val="222222"/>
          <w:szCs w:val="20"/>
        </w:rPr>
        <w:t>Estimation in surveys with nonresponse</w:t>
      </w:r>
      <w:r w:rsidRPr="00BE4D39">
        <w:rPr>
          <w:color w:val="222222"/>
          <w:szCs w:val="20"/>
        </w:rPr>
        <w:t>.</w:t>
      </w:r>
      <w:proofErr w:type="gramEnd"/>
      <w:r w:rsidRPr="00BE4D39">
        <w:rPr>
          <w:color w:val="222222"/>
          <w:szCs w:val="20"/>
        </w:rPr>
        <w:t xml:space="preserve"> </w:t>
      </w:r>
      <w:proofErr w:type="gramStart"/>
      <w:r w:rsidRPr="00BE4D39">
        <w:rPr>
          <w:color w:val="222222"/>
          <w:szCs w:val="20"/>
        </w:rPr>
        <w:t>John Wiley &amp; Sons.</w:t>
      </w:r>
      <w:proofErr w:type="gramEnd"/>
    </w:p>
  </w:footnote>
  <w:footnote w:id="13">
    <w:p w:rsidR="00304275" w:rsidRDefault="00304275" w:rsidP="008F0039">
      <w:pPr>
        <w:pStyle w:val="FootnoteText"/>
        <w:spacing w:before="0"/>
      </w:pPr>
      <w:r>
        <w:rPr>
          <w:rStyle w:val="FootnoteReference"/>
        </w:rPr>
        <w:footnoteRef/>
      </w:r>
      <w:r>
        <w:t xml:space="preserve"> </w:t>
      </w:r>
      <w:proofErr w:type="gramStart"/>
      <w:r w:rsidRPr="00BE4D39">
        <w:rPr>
          <w:color w:val="222222"/>
          <w:szCs w:val="18"/>
        </w:rPr>
        <w:t xml:space="preserve">Groves, R. M., Couper, M. P., Presser, S., Singer, E., </w:t>
      </w:r>
      <w:proofErr w:type="spellStart"/>
      <w:r w:rsidRPr="00BE4D39">
        <w:rPr>
          <w:color w:val="222222"/>
          <w:szCs w:val="18"/>
        </w:rPr>
        <w:t>Tourangeau</w:t>
      </w:r>
      <w:proofErr w:type="spellEnd"/>
      <w:r w:rsidRPr="00BE4D39">
        <w:rPr>
          <w:color w:val="222222"/>
          <w:szCs w:val="18"/>
        </w:rPr>
        <w:t>, R., Acosta, G. P., and Nelson, L. (2006).</w:t>
      </w:r>
      <w:proofErr w:type="gramEnd"/>
      <w:r w:rsidRPr="00BE4D39">
        <w:rPr>
          <w:color w:val="222222"/>
          <w:szCs w:val="18"/>
        </w:rPr>
        <w:t xml:space="preserve"> </w:t>
      </w:r>
      <w:proofErr w:type="gramStart"/>
      <w:r w:rsidRPr="00BE4D39">
        <w:rPr>
          <w:color w:val="222222"/>
          <w:szCs w:val="18"/>
        </w:rPr>
        <w:t>Experiments in producing nonresponse bias.</w:t>
      </w:r>
      <w:proofErr w:type="gramEnd"/>
      <w:r w:rsidRPr="00BE4D39">
        <w:rPr>
          <w:color w:val="222222"/>
          <w:szCs w:val="18"/>
        </w:rPr>
        <w:t xml:space="preserve"> </w:t>
      </w:r>
      <w:r w:rsidRPr="00BE4D39">
        <w:rPr>
          <w:i/>
          <w:iCs/>
          <w:color w:val="222222"/>
          <w:szCs w:val="18"/>
        </w:rPr>
        <w:t>Public Opinion Quarterly</w:t>
      </w:r>
      <w:r w:rsidRPr="00BE4D39">
        <w:rPr>
          <w:color w:val="222222"/>
          <w:szCs w:val="18"/>
        </w:rPr>
        <w:t xml:space="preserve">, </w:t>
      </w:r>
      <w:r w:rsidRPr="00BE4D39">
        <w:rPr>
          <w:iCs/>
          <w:color w:val="222222"/>
          <w:szCs w:val="18"/>
        </w:rPr>
        <w:t>70</w:t>
      </w:r>
      <w:r w:rsidRPr="00BE4D39">
        <w:rPr>
          <w:color w:val="222222"/>
          <w:szCs w:val="18"/>
        </w:rPr>
        <w:t>(5), 720-736.</w:t>
      </w:r>
    </w:p>
  </w:footnote>
  <w:footnote w:id="14">
    <w:p w:rsidR="00304275" w:rsidRDefault="00304275" w:rsidP="008F0039">
      <w:pPr>
        <w:pStyle w:val="FootnoteText"/>
        <w:spacing w:before="0"/>
      </w:pPr>
      <w:r>
        <w:rPr>
          <w:rStyle w:val="FootnoteReference"/>
        </w:rPr>
        <w:footnoteRef/>
      </w:r>
      <w:r>
        <w:t xml:space="preserve"> </w:t>
      </w:r>
      <w:proofErr w:type="spellStart"/>
      <w:r w:rsidRPr="00BE4D39">
        <w:rPr>
          <w:color w:val="222222"/>
          <w:szCs w:val="20"/>
        </w:rPr>
        <w:t>Montaquila</w:t>
      </w:r>
      <w:proofErr w:type="spellEnd"/>
      <w:r w:rsidRPr="00BE4D39">
        <w:rPr>
          <w:color w:val="222222"/>
          <w:szCs w:val="20"/>
        </w:rPr>
        <w:t xml:space="preserve">, J. M., Brick, J. M., </w:t>
      </w:r>
      <w:proofErr w:type="spellStart"/>
      <w:r w:rsidRPr="00BE4D39">
        <w:rPr>
          <w:color w:val="222222"/>
          <w:szCs w:val="20"/>
        </w:rPr>
        <w:t>Hagedorn</w:t>
      </w:r>
      <w:proofErr w:type="spellEnd"/>
      <w:r w:rsidRPr="00BE4D39">
        <w:rPr>
          <w:color w:val="222222"/>
          <w:szCs w:val="20"/>
        </w:rPr>
        <w:t xml:space="preserve">, M. C., Kennedy, C., and </w:t>
      </w:r>
      <w:proofErr w:type="spellStart"/>
      <w:r w:rsidRPr="00BE4D39">
        <w:rPr>
          <w:color w:val="222222"/>
          <w:szCs w:val="20"/>
        </w:rPr>
        <w:t>Keeter</w:t>
      </w:r>
      <w:proofErr w:type="spellEnd"/>
      <w:r w:rsidRPr="00BE4D39">
        <w:rPr>
          <w:color w:val="222222"/>
          <w:szCs w:val="20"/>
        </w:rPr>
        <w:t xml:space="preserve">, S. (2007). Aspects of nonresponse bias in RDD telephone surveys. </w:t>
      </w:r>
      <w:proofErr w:type="gramStart"/>
      <w:r>
        <w:rPr>
          <w:color w:val="222222"/>
          <w:szCs w:val="20"/>
        </w:rPr>
        <w:t xml:space="preserve">In </w:t>
      </w:r>
      <w:r w:rsidRPr="00BE4D39">
        <w:rPr>
          <w:i/>
          <w:iCs/>
          <w:color w:val="222222"/>
          <w:szCs w:val="20"/>
        </w:rPr>
        <w:t>Advances in telephone survey methodology</w:t>
      </w:r>
      <w:r w:rsidRPr="00BE4D39">
        <w:rPr>
          <w:color w:val="222222"/>
          <w:szCs w:val="20"/>
        </w:rPr>
        <w:t xml:space="preserve"> </w:t>
      </w:r>
      <w:r>
        <w:rPr>
          <w:color w:val="222222"/>
          <w:szCs w:val="20"/>
        </w:rPr>
        <w:t xml:space="preserve">(pp. </w:t>
      </w:r>
      <w:r w:rsidRPr="00BE4D39">
        <w:rPr>
          <w:color w:val="222222"/>
          <w:szCs w:val="20"/>
        </w:rPr>
        <w:t>561-586</w:t>
      </w:r>
      <w:r>
        <w:rPr>
          <w:color w:val="222222"/>
          <w:szCs w:val="20"/>
        </w:rPr>
        <w:t>)</w:t>
      </w:r>
      <w:r w:rsidRPr="00BE4D39">
        <w:rPr>
          <w:color w:val="222222"/>
          <w:szCs w:val="20"/>
        </w:rPr>
        <w:t>.</w:t>
      </w:r>
      <w:proofErr w:type="gramEnd"/>
      <w:r>
        <w:rPr>
          <w:color w:val="222222"/>
          <w:szCs w:val="20"/>
        </w:rPr>
        <w:t xml:space="preserve"> NJ: Wiley &amp; Sons.</w:t>
      </w:r>
    </w:p>
  </w:footnote>
  <w:footnote w:id="15">
    <w:p w:rsidR="00304275" w:rsidRPr="009C375F" w:rsidRDefault="00304275" w:rsidP="003E6CDF">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szCs w:val="18"/>
        </w:rPr>
        <w:t xml:space="preserve">Han, D., </w:t>
      </w:r>
      <w:proofErr w:type="spellStart"/>
      <w:r w:rsidRPr="009C375F">
        <w:rPr>
          <w:szCs w:val="18"/>
        </w:rPr>
        <w:t>Montaquila</w:t>
      </w:r>
      <w:proofErr w:type="spellEnd"/>
      <w:r w:rsidRPr="009C375F">
        <w:rPr>
          <w:szCs w:val="18"/>
        </w:rPr>
        <w:t>, J., and Brick, J.M. (2013).</w:t>
      </w:r>
      <w:proofErr w:type="gramEnd"/>
      <w:r w:rsidRPr="009C375F">
        <w:rPr>
          <w:szCs w:val="18"/>
        </w:rPr>
        <w:t xml:space="preserve"> An </w:t>
      </w:r>
      <w:r>
        <w:rPr>
          <w:szCs w:val="18"/>
        </w:rPr>
        <w:t>e</w:t>
      </w:r>
      <w:r w:rsidRPr="009C375F">
        <w:rPr>
          <w:szCs w:val="18"/>
        </w:rPr>
        <w:t xml:space="preserve">valuation of </w:t>
      </w:r>
      <w:r>
        <w:rPr>
          <w:szCs w:val="18"/>
        </w:rPr>
        <w:t>i</w:t>
      </w:r>
      <w:r w:rsidRPr="009C375F">
        <w:rPr>
          <w:szCs w:val="18"/>
        </w:rPr>
        <w:t xml:space="preserve">ncentive </w:t>
      </w:r>
      <w:r>
        <w:rPr>
          <w:szCs w:val="18"/>
        </w:rPr>
        <w:t>e</w:t>
      </w:r>
      <w:r w:rsidRPr="009C375F">
        <w:rPr>
          <w:szCs w:val="18"/>
        </w:rPr>
        <w:t xml:space="preserve">xperiments in a </w:t>
      </w:r>
      <w:r>
        <w:rPr>
          <w:szCs w:val="18"/>
        </w:rPr>
        <w:t>t</w:t>
      </w:r>
      <w:r w:rsidRPr="009C375F">
        <w:rPr>
          <w:szCs w:val="18"/>
        </w:rPr>
        <w:t>wo-</w:t>
      </w:r>
      <w:r>
        <w:rPr>
          <w:szCs w:val="18"/>
        </w:rPr>
        <w:t>p</w:t>
      </w:r>
      <w:r w:rsidRPr="009C375F">
        <w:rPr>
          <w:szCs w:val="18"/>
        </w:rPr>
        <w:t xml:space="preserve">hase </w:t>
      </w:r>
      <w:r>
        <w:rPr>
          <w:szCs w:val="18"/>
        </w:rPr>
        <w:t>a</w:t>
      </w:r>
      <w:r w:rsidRPr="009C375F">
        <w:rPr>
          <w:szCs w:val="18"/>
        </w:rPr>
        <w:t>ddress-</w:t>
      </w:r>
      <w:r>
        <w:rPr>
          <w:szCs w:val="18"/>
        </w:rPr>
        <w:t>b</w:t>
      </w:r>
      <w:r w:rsidRPr="009C375F">
        <w:rPr>
          <w:szCs w:val="18"/>
        </w:rPr>
        <w:t xml:space="preserve">ased </w:t>
      </w:r>
      <w:r>
        <w:rPr>
          <w:szCs w:val="18"/>
        </w:rPr>
        <w:t>s</w:t>
      </w:r>
      <w:r w:rsidRPr="009C375F">
        <w:rPr>
          <w:szCs w:val="18"/>
        </w:rPr>
        <w:t xml:space="preserve">ample </w:t>
      </w:r>
      <w:r>
        <w:rPr>
          <w:szCs w:val="18"/>
        </w:rPr>
        <w:t>m</w:t>
      </w:r>
      <w:r w:rsidRPr="009C375F">
        <w:rPr>
          <w:szCs w:val="18"/>
        </w:rPr>
        <w:t xml:space="preserve">ail </w:t>
      </w:r>
      <w:r>
        <w:rPr>
          <w:szCs w:val="18"/>
        </w:rPr>
        <w:t>s</w:t>
      </w:r>
      <w:r w:rsidRPr="009C375F">
        <w:rPr>
          <w:szCs w:val="18"/>
        </w:rPr>
        <w:t>urvey</w:t>
      </w:r>
      <w:r>
        <w:rPr>
          <w:szCs w:val="18"/>
        </w:rPr>
        <w:t>.</w:t>
      </w:r>
      <w:r w:rsidRPr="009C375F">
        <w:rPr>
          <w:szCs w:val="18"/>
        </w:rPr>
        <w:t xml:space="preserve"> </w:t>
      </w:r>
      <w:r w:rsidRPr="009C375F">
        <w:rPr>
          <w:i/>
          <w:szCs w:val="18"/>
        </w:rPr>
        <w:t>Survey Research Methods</w:t>
      </w:r>
      <w:r w:rsidRPr="009C375F">
        <w:rPr>
          <w:szCs w:val="18"/>
        </w:rPr>
        <w:t>, 7, 207-218.</w:t>
      </w:r>
    </w:p>
  </w:footnote>
  <w:footnote w:id="16">
    <w:p w:rsidR="00304275" w:rsidRPr="009C375F" w:rsidRDefault="00304275" w:rsidP="003E6CDF">
      <w:pPr>
        <w:pStyle w:val="FootnoteText"/>
        <w:spacing w:before="0" w:line="240" w:lineRule="auto"/>
        <w:rPr>
          <w:szCs w:val="18"/>
        </w:rPr>
      </w:pPr>
      <w:r w:rsidRPr="009C375F">
        <w:rPr>
          <w:rStyle w:val="FootnoteReference"/>
          <w:szCs w:val="18"/>
        </w:rPr>
        <w:footnoteRef/>
      </w:r>
      <w:r w:rsidRPr="009C375F">
        <w:rPr>
          <w:szCs w:val="18"/>
        </w:rPr>
        <w:t xml:space="preserve"> </w:t>
      </w:r>
      <w:proofErr w:type="spellStart"/>
      <w:proofErr w:type="gramStart"/>
      <w:r w:rsidRPr="009C375F">
        <w:rPr>
          <w:szCs w:val="18"/>
        </w:rPr>
        <w:t>Dillman</w:t>
      </w:r>
      <w:proofErr w:type="spellEnd"/>
      <w:r w:rsidRPr="009C375F">
        <w:rPr>
          <w:szCs w:val="18"/>
        </w:rPr>
        <w:t xml:space="preserve">, </w:t>
      </w:r>
      <w:r>
        <w:rPr>
          <w:szCs w:val="18"/>
        </w:rPr>
        <w:t>D.</w:t>
      </w:r>
      <w:r w:rsidRPr="009C375F">
        <w:rPr>
          <w:szCs w:val="18"/>
        </w:rPr>
        <w:t xml:space="preserve">, Smyth, </w:t>
      </w:r>
      <w:r>
        <w:rPr>
          <w:szCs w:val="18"/>
        </w:rPr>
        <w:t xml:space="preserve">J., </w:t>
      </w:r>
      <w:r w:rsidRPr="009C375F">
        <w:rPr>
          <w:szCs w:val="18"/>
        </w:rPr>
        <w:t>and Christian</w:t>
      </w:r>
      <w:r>
        <w:rPr>
          <w:szCs w:val="18"/>
        </w:rPr>
        <w:t>, L</w:t>
      </w:r>
      <w:r w:rsidRPr="009C375F">
        <w:rPr>
          <w:szCs w:val="18"/>
        </w:rPr>
        <w:t>. (2009)</w:t>
      </w:r>
      <w:r w:rsidRPr="009C375F">
        <w:rPr>
          <w:i/>
          <w:szCs w:val="18"/>
        </w:rPr>
        <w:t>.</w:t>
      </w:r>
      <w:proofErr w:type="gramEnd"/>
      <w:r w:rsidRPr="009C375F">
        <w:rPr>
          <w:i/>
          <w:szCs w:val="18"/>
        </w:rPr>
        <w:t xml:space="preserve"> Internet, </w:t>
      </w:r>
      <w:r>
        <w:rPr>
          <w:i/>
          <w:szCs w:val="18"/>
        </w:rPr>
        <w:t>m</w:t>
      </w:r>
      <w:r w:rsidRPr="009C375F">
        <w:rPr>
          <w:i/>
          <w:szCs w:val="18"/>
        </w:rPr>
        <w:t xml:space="preserve">ail, and </w:t>
      </w:r>
      <w:r>
        <w:rPr>
          <w:i/>
          <w:szCs w:val="18"/>
        </w:rPr>
        <w:t>m</w:t>
      </w:r>
      <w:r w:rsidRPr="009C375F">
        <w:rPr>
          <w:i/>
          <w:szCs w:val="18"/>
        </w:rPr>
        <w:t>ixed-</w:t>
      </w:r>
      <w:r>
        <w:rPr>
          <w:i/>
          <w:szCs w:val="18"/>
        </w:rPr>
        <w:t>m</w:t>
      </w:r>
      <w:r w:rsidRPr="009C375F">
        <w:rPr>
          <w:i/>
          <w:szCs w:val="18"/>
        </w:rPr>
        <w:t xml:space="preserve">ode </w:t>
      </w:r>
      <w:r>
        <w:rPr>
          <w:i/>
          <w:szCs w:val="18"/>
        </w:rPr>
        <w:t>s</w:t>
      </w:r>
      <w:r w:rsidRPr="009C375F">
        <w:rPr>
          <w:i/>
          <w:szCs w:val="18"/>
        </w:rPr>
        <w:t xml:space="preserve">urveys: The </w:t>
      </w:r>
      <w:r>
        <w:rPr>
          <w:i/>
          <w:szCs w:val="18"/>
        </w:rPr>
        <w:t>t</w:t>
      </w:r>
      <w:r w:rsidRPr="009C375F">
        <w:rPr>
          <w:i/>
          <w:szCs w:val="18"/>
        </w:rPr>
        <w:t xml:space="preserve">ailored </w:t>
      </w:r>
      <w:r>
        <w:rPr>
          <w:i/>
          <w:szCs w:val="18"/>
        </w:rPr>
        <w:t>d</w:t>
      </w:r>
      <w:r w:rsidRPr="009C375F">
        <w:rPr>
          <w:i/>
          <w:szCs w:val="18"/>
        </w:rPr>
        <w:t xml:space="preserve">esign </w:t>
      </w:r>
      <w:r>
        <w:rPr>
          <w:i/>
          <w:szCs w:val="18"/>
        </w:rPr>
        <w:t>m</w:t>
      </w:r>
      <w:r w:rsidRPr="009C375F">
        <w:rPr>
          <w:i/>
          <w:szCs w:val="18"/>
        </w:rPr>
        <w:t>ethod</w:t>
      </w:r>
      <w:r w:rsidRPr="009C375F">
        <w:rPr>
          <w:szCs w:val="18"/>
        </w:rPr>
        <w:t>. Hoboken, NJ</w:t>
      </w:r>
      <w:r>
        <w:rPr>
          <w:szCs w:val="18"/>
        </w:rPr>
        <w:t>:</w:t>
      </w:r>
      <w:r w:rsidRPr="009C375F">
        <w:rPr>
          <w:szCs w:val="18"/>
        </w:rPr>
        <w:t xml:space="preserve"> John Wiley &amp; Sons.</w:t>
      </w:r>
    </w:p>
  </w:footnote>
  <w:footnote w:id="17">
    <w:p w:rsidR="00304275" w:rsidRPr="009C375F" w:rsidRDefault="00304275" w:rsidP="003E6CDF">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color w:val="222222"/>
          <w:szCs w:val="18"/>
          <w:shd w:val="clear" w:color="auto" w:fill="FFFFFF"/>
        </w:rPr>
        <w:t xml:space="preserve">Messer, </w:t>
      </w:r>
      <w:r>
        <w:rPr>
          <w:color w:val="222222"/>
          <w:szCs w:val="18"/>
          <w:shd w:val="clear" w:color="auto" w:fill="FFFFFF"/>
        </w:rPr>
        <w:t>B.</w:t>
      </w:r>
      <w:r w:rsidRPr="009C375F">
        <w:rPr>
          <w:color w:val="222222"/>
          <w:szCs w:val="18"/>
          <w:shd w:val="clear" w:color="auto" w:fill="FFFFFF"/>
        </w:rPr>
        <w:t>L</w:t>
      </w:r>
      <w:r>
        <w:rPr>
          <w:color w:val="222222"/>
          <w:szCs w:val="18"/>
          <w:shd w:val="clear" w:color="auto" w:fill="FFFFFF"/>
        </w:rPr>
        <w:t>.,</w:t>
      </w:r>
      <w:r w:rsidRPr="009C375F">
        <w:rPr>
          <w:color w:val="222222"/>
          <w:szCs w:val="18"/>
          <w:shd w:val="clear" w:color="auto" w:fill="FFFFFF"/>
        </w:rPr>
        <w:t xml:space="preserve"> and </w:t>
      </w:r>
      <w:proofErr w:type="spellStart"/>
      <w:r w:rsidRPr="009C375F">
        <w:rPr>
          <w:color w:val="222222"/>
          <w:szCs w:val="18"/>
          <w:shd w:val="clear" w:color="auto" w:fill="FFFFFF"/>
        </w:rPr>
        <w:t>Dillman</w:t>
      </w:r>
      <w:proofErr w:type="spellEnd"/>
      <w:r>
        <w:rPr>
          <w:color w:val="222222"/>
          <w:szCs w:val="18"/>
          <w:shd w:val="clear" w:color="auto" w:fill="FFFFFF"/>
        </w:rPr>
        <w:t>, D</w:t>
      </w:r>
      <w:r w:rsidRPr="009C375F">
        <w:rPr>
          <w:color w:val="222222"/>
          <w:szCs w:val="18"/>
          <w:shd w:val="clear" w:color="auto" w:fill="FFFFFF"/>
        </w:rPr>
        <w:t>. (2011).</w:t>
      </w:r>
      <w:proofErr w:type="gramEnd"/>
      <w:r w:rsidRPr="009C375F">
        <w:rPr>
          <w:color w:val="222222"/>
          <w:szCs w:val="18"/>
          <w:shd w:val="clear" w:color="auto" w:fill="FFFFFF"/>
        </w:rPr>
        <w:t xml:space="preserve"> </w:t>
      </w:r>
      <w:proofErr w:type="gramStart"/>
      <w:r w:rsidRPr="009C375F">
        <w:rPr>
          <w:color w:val="222222"/>
          <w:szCs w:val="18"/>
          <w:shd w:val="clear" w:color="auto" w:fill="FFFFFF"/>
        </w:rPr>
        <w:t>Surveying the general public over the internet using address-based sampling and mail contact procedures.</w:t>
      </w:r>
      <w:proofErr w:type="gramEnd"/>
      <w:r w:rsidRPr="009C375F">
        <w:rPr>
          <w:color w:val="222222"/>
          <w:szCs w:val="18"/>
          <w:shd w:val="clear" w:color="auto" w:fill="FFFFFF"/>
        </w:rPr>
        <w:t xml:space="preserve"> </w:t>
      </w:r>
      <w:r w:rsidRPr="009C375F">
        <w:rPr>
          <w:i/>
          <w:iCs/>
          <w:color w:val="222222"/>
          <w:szCs w:val="18"/>
          <w:shd w:val="clear" w:color="auto" w:fill="FFFFFF"/>
        </w:rPr>
        <w:t>Public Opinion Quarterly</w:t>
      </w:r>
      <w:r>
        <w:rPr>
          <w:i/>
          <w:iCs/>
          <w:color w:val="222222"/>
          <w:szCs w:val="18"/>
          <w:shd w:val="clear" w:color="auto" w:fill="FFFFFF"/>
        </w:rPr>
        <w:t>,</w:t>
      </w:r>
      <w:r w:rsidRPr="009C375F">
        <w:rPr>
          <w:rStyle w:val="apple-converted-space"/>
          <w:color w:val="222222"/>
          <w:szCs w:val="18"/>
          <w:shd w:val="clear" w:color="auto" w:fill="FFFFFF"/>
        </w:rPr>
        <w:t> </w:t>
      </w:r>
      <w:r w:rsidRPr="009C375F">
        <w:rPr>
          <w:color w:val="222222"/>
          <w:szCs w:val="18"/>
          <w:shd w:val="clear" w:color="auto" w:fill="FFFFFF"/>
        </w:rPr>
        <w:t>75</w:t>
      </w:r>
      <w:r>
        <w:rPr>
          <w:color w:val="222222"/>
          <w:szCs w:val="18"/>
          <w:shd w:val="clear" w:color="auto" w:fill="FFFFFF"/>
        </w:rPr>
        <w:t>(3),</w:t>
      </w:r>
      <w:r w:rsidRPr="009C375F">
        <w:rPr>
          <w:color w:val="222222"/>
          <w:szCs w:val="18"/>
          <w:shd w:val="clear" w:color="auto" w:fill="FFFFFF"/>
        </w:rPr>
        <w:t xml:space="preserve"> 429-457.</w:t>
      </w:r>
    </w:p>
  </w:footnote>
  <w:footnote w:id="18">
    <w:p w:rsidR="00304275" w:rsidRPr="009C375F" w:rsidRDefault="00304275" w:rsidP="003E6CDF">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szCs w:val="18"/>
        </w:rPr>
        <w:t xml:space="preserve">Millar, </w:t>
      </w:r>
      <w:r>
        <w:rPr>
          <w:szCs w:val="18"/>
        </w:rPr>
        <w:t>M.,</w:t>
      </w:r>
      <w:r w:rsidRPr="009C375F">
        <w:rPr>
          <w:szCs w:val="18"/>
        </w:rPr>
        <w:t xml:space="preserve"> and </w:t>
      </w:r>
      <w:proofErr w:type="spellStart"/>
      <w:r w:rsidRPr="009C375F">
        <w:rPr>
          <w:szCs w:val="18"/>
        </w:rPr>
        <w:t>Dillman</w:t>
      </w:r>
      <w:proofErr w:type="spellEnd"/>
      <w:r>
        <w:rPr>
          <w:szCs w:val="18"/>
        </w:rPr>
        <w:t>, D</w:t>
      </w:r>
      <w:r w:rsidRPr="009C375F">
        <w:rPr>
          <w:szCs w:val="18"/>
        </w:rPr>
        <w:t>. (2011).</w:t>
      </w:r>
      <w:proofErr w:type="gramEnd"/>
      <w:r w:rsidRPr="009C375F">
        <w:rPr>
          <w:szCs w:val="18"/>
        </w:rPr>
        <w:t xml:space="preserve"> </w:t>
      </w:r>
      <w:proofErr w:type="gramStart"/>
      <w:r w:rsidRPr="009C375F">
        <w:rPr>
          <w:szCs w:val="18"/>
        </w:rPr>
        <w:t xml:space="preserve">Improving </w:t>
      </w:r>
      <w:r>
        <w:rPr>
          <w:szCs w:val="18"/>
        </w:rPr>
        <w:t>r</w:t>
      </w:r>
      <w:r w:rsidRPr="009C375F">
        <w:rPr>
          <w:szCs w:val="18"/>
        </w:rPr>
        <w:t xml:space="preserve">esponse to </w:t>
      </w:r>
      <w:r>
        <w:rPr>
          <w:szCs w:val="18"/>
        </w:rPr>
        <w:t>w</w:t>
      </w:r>
      <w:r w:rsidRPr="009C375F">
        <w:rPr>
          <w:szCs w:val="18"/>
        </w:rPr>
        <w:t xml:space="preserve">eb and </w:t>
      </w:r>
      <w:r>
        <w:rPr>
          <w:szCs w:val="18"/>
        </w:rPr>
        <w:t>m</w:t>
      </w:r>
      <w:r w:rsidRPr="009C375F">
        <w:rPr>
          <w:szCs w:val="18"/>
        </w:rPr>
        <w:t>ixed-</w:t>
      </w:r>
      <w:r>
        <w:rPr>
          <w:szCs w:val="18"/>
        </w:rPr>
        <w:t>m</w:t>
      </w:r>
      <w:r w:rsidRPr="009C375F">
        <w:rPr>
          <w:szCs w:val="18"/>
        </w:rPr>
        <w:t xml:space="preserve">ode </w:t>
      </w:r>
      <w:r>
        <w:rPr>
          <w:szCs w:val="18"/>
        </w:rPr>
        <w:t>s</w:t>
      </w:r>
      <w:r w:rsidRPr="009C375F">
        <w:rPr>
          <w:szCs w:val="18"/>
        </w:rPr>
        <w:t>urveys.</w:t>
      </w:r>
      <w:proofErr w:type="gramEnd"/>
      <w:r w:rsidRPr="009C375F">
        <w:rPr>
          <w:szCs w:val="18"/>
        </w:rPr>
        <w:t xml:space="preserve"> </w:t>
      </w:r>
      <w:r w:rsidRPr="009C375F">
        <w:rPr>
          <w:i/>
          <w:szCs w:val="18"/>
        </w:rPr>
        <w:t>Public Opinion Quarterly</w:t>
      </w:r>
      <w:r w:rsidRPr="009C375F">
        <w:rPr>
          <w:szCs w:val="18"/>
        </w:rPr>
        <w:t>, 75, 249</w:t>
      </w:r>
      <w:r>
        <w:rPr>
          <w:szCs w:val="18"/>
        </w:rPr>
        <w:t>-</w:t>
      </w:r>
      <w:r w:rsidRPr="009C375F">
        <w:rPr>
          <w:szCs w:val="18"/>
        </w:rPr>
        <w:t>269.</w:t>
      </w:r>
    </w:p>
  </w:footnote>
  <w:footnote w:id="19">
    <w:p w:rsidR="00304275" w:rsidRPr="009C375F" w:rsidRDefault="00304275" w:rsidP="003E6CDF">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szCs w:val="18"/>
        </w:rPr>
        <w:t xml:space="preserve">Ormond, </w:t>
      </w:r>
      <w:r>
        <w:rPr>
          <w:szCs w:val="18"/>
        </w:rPr>
        <w:t>B.</w:t>
      </w:r>
      <w:r w:rsidRPr="009C375F">
        <w:rPr>
          <w:szCs w:val="18"/>
        </w:rPr>
        <w:t xml:space="preserve">A., Triplett, </w:t>
      </w:r>
      <w:r>
        <w:rPr>
          <w:szCs w:val="18"/>
        </w:rPr>
        <w:t>T</w:t>
      </w:r>
      <w:r w:rsidRPr="009C375F">
        <w:rPr>
          <w:szCs w:val="18"/>
        </w:rPr>
        <w:t>.</w:t>
      </w:r>
      <w:r>
        <w:rPr>
          <w:szCs w:val="18"/>
        </w:rPr>
        <w:t>,</w:t>
      </w:r>
      <w:r w:rsidRPr="009C375F">
        <w:rPr>
          <w:szCs w:val="18"/>
        </w:rPr>
        <w:t xml:space="preserve"> Long, </w:t>
      </w:r>
      <w:r>
        <w:rPr>
          <w:szCs w:val="18"/>
        </w:rPr>
        <w:t>S.K.,</w:t>
      </w:r>
      <w:r w:rsidRPr="009C375F">
        <w:rPr>
          <w:szCs w:val="18"/>
        </w:rPr>
        <w:t xml:space="preserve"> </w:t>
      </w:r>
      <w:proofErr w:type="spellStart"/>
      <w:r w:rsidRPr="009C375F">
        <w:rPr>
          <w:szCs w:val="18"/>
        </w:rPr>
        <w:t>Dutwin</w:t>
      </w:r>
      <w:proofErr w:type="spellEnd"/>
      <w:r>
        <w:rPr>
          <w:szCs w:val="18"/>
        </w:rPr>
        <w:t>, D.,</w:t>
      </w:r>
      <w:r w:rsidRPr="009C375F">
        <w:rPr>
          <w:szCs w:val="18"/>
        </w:rPr>
        <w:t xml:space="preserve"> and </w:t>
      </w:r>
      <w:proofErr w:type="spellStart"/>
      <w:r w:rsidRPr="009C375F">
        <w:rPr>
          <w:szCs w:val="18"/>
        </w:rPr>
        <w:t>Rapoport</w:t>
      </w:r>
      <w:proofErr w:type="spellEnd"/>
      <w:r>
        <w:rPr>
          <w:szCs w:val="18"/>
        </w:rPr>
        <w:t>, R</w:t>
      </w:r>
      <w:r w:rsidRPr="009C375F">
        <w:rPr>
          <w:szCs w:val="18"/>
        </w:rPr>
        <w:t>. (2010).</w:t>
      </w:r>
      <w:proofErr w:type="gramEnd"/>
      <w:r w:rsidRPr="009C375F">
        <w:rPr>
          <w:szCs w:val="18"/>
        </w:rPr>
        <w:t xml:space="preserve"> 2009 District of Columbia Health Insurance Survey: Methodology </w:t>
      </w:r>
      <w:r>
        <w:rPr>
          <w:szCs w:val="18"/>
        </w:rPr>
        <w:t>r</w:t>
      </w:r>
      <w:r w:rsidRPr="009C375F">
        <w:rPr>
          <w:szCs w:val="18"/>
        </w:rPr>
        <w:t>eport.</w:t>
      </w:r>
      <w:r>
        <w:rPr>
          <w:szCs w:val="18"/>
        </w:rPr>
        <w:t xml:space="preserve"> </w:t>
      </w:r>
      <w:proofErr w:type="gramStart"/>
      <w:r>
        <w:rPr>
          <w:szCs w:val="18"/>
        </w:rPr>
        <w:t>Available from</w:t>
      </w:r>
      <w:r w:rsidRPr="009C375F">
        <w:rPr>
          <w:szCs w:val="18"/>
        </w:rPr>
        <w:t xml:space="preserve"> </w:t>
      </w:r>
      <w:hyperlink r:id="rId2" w:history="1">
        <w:r w:rsidRPr="009C375F">
          <w:rPr>
            <w:rStyle w:val="Hyperlink"/>
            <w:szCs w:val="18"/>
          </w:rPr>
          <w:t>http://www.urban.org/publications/1001376.html</w:t>
        </w:r>
      </w:hyperlink>
      <w:r w:rsidRPr="009C375F">
        <w:rPr>
          <w:szCs w:val="18"/>
        </w:rPr>
        <w:t>.</w:t>
      </w:r>
      <w:proofErr w:type="gramEnd"/>
    </w:p>
  </w:footnote>
  <w:footnote w:id="20">
    <w:p w:rsidR="00304275" w:rsidRPr="009C375F" w:rsidRDefault="00304275" w:rsidP="003E6CDF">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szCs w:val="18"/>
        </w:rPr>
        <w:t xml:space="preserve">Ormond, </w:t>
      </w:r>
      <w:r>
        <w:rPr>
          <w:szCs w:val="18"/>
        </w:rPr>
        <w:t>B.</w:t>
      </w:r>
      <w:r w:rsidRPr="009C375F">
        <w:rPr>
          <w:szCs w:val="18"/>
        </w:rPr>
        <w:t xml:space="preserve">A., Triplett, </w:t>
      </w:r>
      <w:r>
        <w:rPr>
          <w:szCs w:val="18"/>
        </w:rPr>
        <w:t xml:space="preserve">T., </w:t>
      </w:r>
      <w:r w:rsidRPr="009C375F">
        <w:rPr>
          <w:szCs w:val="18"/>
        </w:rPr>
        <w:t xml:space="preserve">Long, </w:t>
      </w:r>
      <w:r>
        <w:rPr>
          <w:szCs w:val="18"/>
        </w:rPr>
        <w:t xml:space="preserve">S.K., </w:t>
      </w:r>
      <w:proofErr w:type="spellStart"/>
      <w:r w:rsidRPr="009C375F">
        <w:rPr>
          <w:szCs w:val="18"/>
        </w:rPr>
        <w:t>Dutwin</w:t>
      </w:r>
      <w:proofErr w:type="spellEnd"/>
      <w:r>
        <w:rPr>
          <w:szCs w:val="18"/>
        </w:rPr>
        <w:t>, D.,</w:t>
      </w:r>
      <w:r w:rsidRPr="009C375F">
        <w:rPr>
          <w:szCs w:val="18"/>
        </w:rPr>
        <w:t xml:space="preserve"> and </w:t>
      </w:r>
      <w:proofErr w:type="spellStart"/>
      <w:r w:rsidRPr="009C375F">
        <w:rPr>
          <w:szCs w:val="18"/>
        </w:rPr>
        <w:t>Rapoport</w:t>
      </w:r>
      <w:proofErr w:type="spellEnd"/>
      <w:r>
        <w:rPr>
          <w:szCs w:val="18"/>
        </w:rPr>
        <w:t>, R.</w:t>
      </w:r>
      <w:r w:rsidRPr="009C375F">
        <w:rPr>
          <w:szCs w:val="18"/>
        </w:rPr>
        <w:t xml:space="preserve"> (2010).</w:t>
      </w:r>
      <w:proofErr w:type="gramEnd"/>
      <w:r w:rsidRPr="009C375F">
        <w:rPr>
          <w:szCs w:val="18"/>
        </w:rPr>
        <w:t xml:space="preserve"> 2009 District of Columbia Health Insurance Survey: Methodology </w:t>
      </w:r>
      <w:r>
        <w:rPr>
          <w:szCs w:val="18"/>
        </w:rPr>
        <w:t>r</w:t>
      </w:r>
      <w:r w:rsidRPr="009C375F">
        <w:rPr>
          <w:szCs w:val="18"/>
        </w:rPr>
        <w:t>eport.</w:t>
      </w:r>
      <w:r>
        <w:rPr>
          <w:szCs w:val="18"/>
        </w:rPr>
        <w:t xml:space="preserve"> </w:t>
      </w:r>
      <w:proofErr w:type="gramStart"/>
      <w:r>
        <w:rPr>
          <w:szCs w:val="18"/>
        </w:rPr>
        <w:t>Available from</w:t>
      </w:r>
      <w:r w:rsidRPr="009C375F">
        <w:rPr>
          <w:szCs w:val="18"/>
        </w:rPr>
        <w:t xml:space="preserve"> </w:t>
      </w:r>
      <w:hyperlink r:id="rId3" w:history="1">
        <w:r w:rsidRPr="009C375F">
          <w:rPr>
            <w:rStyle w:val="Hyperlink"/>
            <w:szCs w:val="18"/>
          </w:rPr>
          <w:t>http://www.urban.org/publications/1001376.html</w:t>
        </w:r>
      </w:hyperlink>
      <w:r w:rsidRPr="009C375F">
        <w:rPr>
          <w:szCs w:val="18"/>
        </w:rPr>
        <w:t>.</w:t>
      </w:r>
      <w:proofErr w:type="gramEnd"/>
    </w:p>
  </w:footnote>
  <w:footnote w:id="21">
    <w:p w:rsidR="00304275" w:rsidRPr="00A92D09" w:rsidRDefault="00304275">
      <w:pPr>
        <w:pStyle w:val="FootnoteText"/>
      </w:pPr>
      <w:r>
        <w:rPr>
          <w:rStyle w:val="FootnoteReference"/>
        </w:rPr>
        <w:footnoteRef/>
      </w:r>
      <w:r>
        <w:t xml:space="preserve"> </w:t>
      </w:r>
      <w:proofErr w:type="gramStart"/>
      <w:r>
        <w:t xml:space="preserve">Smyth, J.D., </w:t>
      </w:r>
      <w:proofErr w:type="spellStart"/>
      <w:r>
        <w:t>Dillman</w:t>
      </w:r>
      <w:proofErr w:type="spellEnd"/>
      <w:r>
        <w:t>, D.A., Christian, L.M., and O’Neill, A. (2010).</w:t>
      </w:r>
      <w:proofErr w:type="gramEnd"/>
      <w:r>
        <w:t xml:space="preserve"> </w:t>
      </w:r>
      <w:proofErr w:type="gramStart"/>
      <w:r>
        <w:t>Using the Internet to survey small towns and communities: Limitations and possibilities in the early 21</w:t>
      </w:r>
      <w:r w:rsidRPr="00AB2DAF">
        <w:rPr>
          <w:vertAlign w:val="superscript"/>
        </w:rPr>
        <w:t>st</w:t>
      </w:r>
      <w:r>
        <w:t xml:space="preserve"> century.</w:t>
      </w:r>
      <w:proofErr w:type="gramEnd"/>
      <w:r>
        <w:t xml:space="preserve"> </w:t>
      </w:r>
      <w:r>
        <w:rPr>
          <w:i/>
        </w:rPr>
        <w:t>American Behavioral Scientist, 53</w:t>
      </w:r>
      <w:r>
        <w:t>, 1423-1448.</w:t>
      </w:r>
    </w:p>
  </w:footnote>
  <w:footnote w:id="22">
    <w:p w:rsidR="00304275" w:rsidRPr="009C375F" w:rsidRDefault="00304275" w:rsidP="0016171C">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szCs w:val="18"/>
        </w:rPr>
        <w:t>Brick,</w:t>
      </w:r>
      <w:r>
        <w:rPr>
          <w:szCs w:val="18"/>
        </w:rPr>
        <w:t xml:space="preserve"> </w:t>
      </w:r>
      <w:r w:rsidRPr="009C375F">
        <w:rPr>
          <w:szCs w:val="18"/>
        </w:rPr>
        <w:t>J.</w:t>
      </w:r>
      <w:r>
        <w:rPr>
          <w:szCs w:val="18"/>
        </w:rPr>
        <w:t>M.</w:t>
      </w:r>
      <w:r w:rsidRPr="009C375F">
        <w:rPr>
          <w:szCs w:val="18"/>
        </w:rPr>
        <w:t xml:space="preserve">, Williams, </w:t>
      </w:r>
      <w:r>
        <w:rPr>
          <w:szCs w:val="18"/>
        </w:rPr>
        <w:t>D.</w:t>
      </w:r>
      <w:r w:rsidRPr="009C375F">
        <w:rPr>
          <w:szCs w:val="18"/>
        </w:rPr>
        <w:t xml:space="preserve">, and </w:t>
      </w:r>
      <w:proofErr w:type="spellStart"/>
      <w:r w:rsidRPr="009C375F">
        <w:rPr>
          <w:szCs w:val="18"/>
        </w:rPr>
        <w:t>Montaquila</w:t>
      </w:r>
      <w:proofErr w:type="spellEnd"/>
      <w:r>
        <w:rPr>
          <w:szCs w:val="18"/>
        </w:rPr>
        <w:t>, J</w:t>
      </w:r>
      <w:r w:rsidRPr="009C375F">
        <w:rPr>
          <w:szCs w:val="18"/>
        </w:rPr>
        <w:t>. (2011).</w:t>
      </w:r>
      <w:proofErr w:type="gramEnd"/>
      <w:r w:rsidRPr="009C375F">
        <w:rPr>
          <w:szCs w:val="18"/>
        </w:rPr>
        <w:t xml:space="preserve"> Address-</w:t>
      </w:r>
      <w:r>
        <w:rPr>
          <w:szCs w:val="18"/>
        </w:rPr>
        <w:t>b</w:t>
      </w:r>
      <w:r w:rsidRPr="009C375F">
        <w:rPr>
          <w:szCs w:val="18"/>
        </w:rPr>
        <w:t xml:space="preserve">ased </w:t>
      </w:r>
      <w:r>
        <w:rPr>
          <w:szCs w:val="18"/>
        </w:rPr>
        <w:t>s</w:t>
      </w:r>
      <w:r w:rsidRPr="009C375F">
        <w:rPr>
          <w:szCs w:val="18"/>
        </w:rPr>
        <w:t xml:space="preserve">ampling for </w:t>
      </w:r>
      <w:r>
        <w:rPr>
          <w:szCs w:val="18"/>
        </w:rPr>
        <w:t>s</w:t>
      </w:r>
      <w:r w:rsidRPr="009C375F">
        <w:rPr>
          <w:szCs w:val="18"/>
        </w:rPr>
        <w:t xml:space="preserve">ubpopulation </w:t>
      </w:r>
      <w:r>
        <w:rPr>
          <w:szCs w:val="18"/>
        </w:rPr>
        <w:t>s</w:t>
      </w:r>
      <w:r w:rsidRPr="009C375F">
        <w:rPr>
          <w:szCs w:val="18"/>
        </w:rPr>
        <w:t xml:space="preserve">urveys. </w:t>
      </w:r>
      <w:r w:rsidRPr="009C375F">
        <w:rPr>
          <w:i/>
          <w:iCs/>
          <w:szCs w:val="18"/>
        </w:rPr>
        <w:t>Public Opinion Quarterly</w:t>
      </w:r>
      <w:r w:rsidRPr="009C375F">
        <w:rPr>
          <w:szCs w:val="18"/>
        </w:rPr>
        <w:t>, 75, 409-428.</w:t>
      </w:r>
    </w:p>
  </w:footnote>
  <w:footnote w:id="23">
    <w:p w:rsidR="00304275" w:rsidRPr="009C375F" w:rsidRDefault="00304275" w:rsidP="0016171C">
      <w:pPr>
        <w:pStyle w:val="FootnoteText"/>
        <w:spacing w:before="0" w:line="240" w:lineRule="auto"/>
        <w:rPr>
          <w:szCs w:val="18"/>
        </w:rPr>
      </w:pPr>
      <w:r w:rsidRPr="009C375F">
        <w:rPr>
          <w:rStyle w:val="FootnoteReference"/>
          <w:szCs w:val="18"/>
        </w:rPr>
        <w:footnoteRef/>
      </w:r>
      <w:r w:rsidRPr="009C375F">
        <w:rPr>
          <w:szCs w:val="18"/>
        </w:rPr>
        <w:t xml:space="preserve"> Edwards, S., Brick, J.M., and </w:t>
      </w:r>
      <w:proofErr w:type="spellStart"/>
      <w:r w:rsidRPr="009C375F">
        <w:rPr>
          <w:szCs w:val="18"/>
        </w:rPr>
        <w:t>Lohr</w:t>
      </w:r>
      <w:proofErr w:type="spellEnd"/>
      <w:r w:rsidRPr="009C375F">
        <w:rPr>
          <w:szCs w:val="18"/>
        </w:rPr>
        <w:t xml:space="preserve">, S. (2013). </w:t>
      </w:r>
      <w:r w:rsidRPr="00094A0B">
        <w:rPr>
          <w:i/>
          <w:szCs w:val="18"/>
        </w:rPr>
        <w:t>Sample performance and cost in a two-stage ABS design with telephone interviewing</w:t>
      </w:r>
      <w:r w:rsidRPr="009C375F">
        <w:rPr>
          <w:szCs w:val="18"/>
        </w:rPr>
        <w:t>. Paper presented at AAPOR Conference, Boston, MA</w:t>
      </w:r>
      <w:r>
        <w:rPr>
          <w:szCs w:val="18"/>
        </w:rPr>
        <w:t>.</w:t>
      </w:r>
    </w:p>
  </w:footnote>
  <w:footnote w:id="24">
    <w:p w:rsidR="00304275" w:rsidRPr="009C375F" w:rsidRDefault="00304275" w:rsidP="0016171C">
      <w:pPr>
        <w:pStyle w:val="FootnoteText"/>
        <w:spacing w:before="0" w:line="240" w:lineRule="auto"/>
        <w:rPr>
          <w:szCs w:val="18"/>
        </w:rPr>
      </w:pPr>
      <w:r w:rsidRPr="009C375F">
        <w:rPr>
          <w:rStyle w:val="FootnoteReference"/>
          <w:szCs w:val="18"/>
        </w:rPr>
        <w:footnoteRef/>
      </w:r>
      <w:proofErr w:type="gramStart"/>
      <w:r w:rsidRPr="009C375F">
        <w:rPr>
          <w:szCs w:val="18"/>
        </w:rPr>
        <w:t>,</w:t>
      </w:r>
      <w:proofErr w:type="spellStart"/>
      <w:r w:rsidRPr="009C375F">
        <w:rPr>
          <w:szCs w:val="18"/>
        </w:rPr>
        <w:t>Leslyn</w:t>
      </w:r>
      <w:proofErr w:type="spellEnd"/>
      <w:proofErr w:type="gramEnd"/>
      <w:r w:rsidRPr="009C375F">
        <w:rPr>
          <w:szCs w:val="18"/>
        </w:rPr>
        <w:t xml:space="preserve">, </w:t>
      </w:r>
      <w:r>
        <w:rPr>
          <w:szCs w:val="18"/>
        </w:rPr>
        <w:t xml:space="preserve">H., </w:t>
      </w:r>
      <w:proofErr w:type="spellStart"/>
      <w:r w:rsidRPr="009C375F">
        <w:rPr>
          <w:szCs w:val="18"/>
        </w:rPr>
        <w:t>ZuWallack</w:t>
      </w:r>
      <w:proofErr w:type="spellEnd"/>
      <w:r>
        <w:rPr>
          <w:szCs w:val="18"/>
        </w:rPr>
        <w:t>, R.,</w:t>
      </w:r>
      <w:r w:rsidRPr="009C375F">
        <w:rPr>
          <w:szCs w:val="18"/>
        </w:rPr>
        <w:t xml:space="preserve"> and Eggers</w:t>
      </w:r>
      <w:r>
        <w:rPr>
          <w:szCs w:val="18"/>
        </w:rPr>
        <w:t>, F.</w:t>
      </w:r>
      <w:r w:rsidRPr="009C375F">
        <w:rPr>
          <w:szCs w:val="18"/>
        </w:rPr>
        <w:t xml:space="preserve"> (2012). </w:t>
      </w:r>
      <w:r w:rsidRPr="00094A0B">
        <w:rPr>
          <w:i/>
          <w:szCs w:val="18"/>
        </w:rPr>
        <w:t>Fair market rent survey design: Results of methodological experiment</w:t>
      </w:r>
      <w:r w:rsidRPr="009C375F">
        <w:rPr>
          <w:szCs w:val="18"/>
        </w:rPr>
        <w:t>.</w:t>
      </w:r>
      <w:r>
        <w:rPr>
          <w:szCs w:val="18"/>
        </w:rPr>
        <w:t xml:space="preserve"> </w:t>
      </w:r>
      <w:proofErr w:type="gramStart"/>
      <w:r>
        <w:rPr>
          <w:szCs w:val="18"/>
        </w:rPr>
        <w:t>U.S. Department of Housing and Urban Development.</w:t>
      </w:r>
      <w:proofErr w:type="gramEnd"/>
      <w:r>
        <w:rPr>
          <w:szCs w:val="18"/>
        </w:rPr>
        <w:t xml:space="preserve"> Available from </w:t>
      </w:r>
      <w:hyperlink r:id="rId4" w:history="1">
        <w:r w:rsidRPr="008F46E5">
          <w:rPr>
            <w:rStyle w:val="Hyperlink"/>
            <w:szCs w:val="18"/>
          </w:rPr>
          <w:t>http://www.huduser.org/portal/datasets/fmr/fmr2013p/FMR_Surveys_Experiment_Report_rev.pdf</w:t>
        </w:r>
      </w:hyperlink>
      <w:r>
        <w:rPr>
          <w:szCs w:val="18"/>
        </w:rPr>
        <w:t xml:space="preserve"> </w:t>
      </w:r>
    </w:p>
  </w:footnote>
  <w:footnote w:id="25">
    <w:p w:rsidR="00304275" w:rsidRPr="009C375F" w:rsidRDefault="00304275" w:rsidP="0016171C">
      <w:pPr>
        <w:pStyle w:val="FootnoteText"/>
        <w:spacing w:before="0" w:line="240" w:lineRule="auto"/>
        <w:rPr>
          <w:szCs w:val="18"/>
        </w:rPr>
      </w:pPr>
      <w:r w:rsidRPr="009C375F">
        <w:rPr>
          <w:rStyle w:val="FootnoteReference"/>
          <w:szCs w:val="18"/>
        </w:rPr>
        <w:footnoteRef/>
      </w:r>
      <w:r w:rsidRPr="009C375F">
        <w:rPr>
          <w:szCs w:val="18"/>
        </w:rPr>
        <w:t xml:space="preserve"> </w:t>
      </w:r>
      <w:proofErr w:type="gramStart"/>
      <w:r w:rsidRPr="009C375F">
        <w:rPr>
          <w:szCs w:val="18"/>
        </w:rPr>
        <w:t xml:space="preserve">Johnson, </w:t>
      </w:r>
      <w:r>
        <w:rPr>
          <w:szCs w:val="18"/>
        </w:rPr>
        <w:t>P.,</w:t>
      </w:r>
      <w:r w:rsidRPr="009C375F">
        <w:rPr>
          <w:szCs w:val="18"/>
        </w:rPr>
        <w:t xml:space="preserve"> and Williams</w:t>
      </w:r>
      <w:r>
        <w:rPr>
          <w:szCs w:val="18"/>
        </w:rPr>
        <w:t>, D</w:t>
      </w:r>
      <w:r w:rsidRPr="009C375F">
        <w:rPr>
          <w:szCs w:val="18"/>
        </w:rPr>
        <w:t>. (2010).</w:t>
      </w:r>
      <w:proofErr w:type="gramEnd"/>
      <w:r w:rsidRPr="009C375F">
        <w:rPr>
          <w:szCs w:val="18"/>
        </w:rPr>
        <w:t xml:space="preserve"> </w:t>
      </w:r>
      <w:proofErr w:type="gramStart"/>
      <w:r w:rsidRPr="009C375F">
        <w:rPr>
          <w:szCs w:val="18"/>
        </w:rPr>
        <w:t xml:space="preserve">Comparing ABS vs </w:t>
      </w:r>
      <w:r>
        <w:rPr>
          <w:szCs w:val="18"/>
        </w:rPr>
        <w:t>l</w:t>
      </w:r>
      <w:r w:rsidRPr="009C375F">
        <w:rPr>
          <w:szCs w:val="18"/>
        </w:rPr>
        <w:t xml:space="preserve">andline RDD </w:t>
      </w:r>
      <w:r>
        <w:rPr>
          <w:szCs w:val="18"/>
        </w:rPr>
        <w:t>s</w:t>
      </w:r>
      <w:r w:rsidRPr="009C375F">
        <w:rPr>
          <w:szCs w:val="18"/>
        </w:rPr>
        <w:t xml:space="preserve">ampling </w:t>
      </w:r>
      <w:r>
        <w:rPr>
          <w:szCs w:val="18"/>
        </w:rPr>
        <w:t>f</w:t>
      </w:r>
      <w:r w:rsidRPr="009C375F">
        <w:rPr>
          <w:szCs w:val="18"/>
        </w:rPr>
        <w:t xml:space="preserve">rames on the </w:t>
      </w:r>
      <w:r>
        <w:rPr>
          <w:szCs w:val="18"/>
        </w:rPr>
        <w:t>p</w:t>
      </w:r>
      <w:r w:rsidRPr="009C375F">
        <w:rPr>
          <w:szCs w:val="18"/>
        </w:rPr>
        <w:t xml:space="preserve">hone </w:t>
      </w:r>
      <w:r>
        <w:rPr>
          <w:szCs w:val="18"/>
        </w:rPr>
        <w:t>m</w:t>
      </w:r>
      <w:r w:rsidRPr="009C375F">
        <w:rPr>
          <w:szCs w:val="18"/>
        </w:rPr>
        <w:t>ode.</w:t>
      </w:r>
      <w:proofErr w:type="gramEnd"/>
      <w:r w:rsidRPr="009C375F">
        <w:rPr>
          <w:szCs w:val="18"/>
        </w:rPr>
        <w:t xml:space="preserve"> </w:t>
      </w:r>
      <w:proofErr w:type="gramStart"/>
      <w:r w:rsidRPr="007523A6">
        <w:rPr>
          <w:i/>
          <w:szCs w:val="18"/>
        </w:rPr>
        <w:t>Survey Practice</w:t>
      </w:r>
      <w:r>
        <w:rPr>
          <w:szCs w:val="18"/>
        </w:rPr>
        <w:t>, 3(3).</w:t>
      </w:r>
      <w:proofErr w:type="gramEnd"/>
      <w:r>
        <w:rPr>
          <w:szCs w:val="18"/>
        </w:rPr>
        <w:t xml:space="preserve"> Available from </w:t>
      </w:r>
      <w:hyperlink r:id="rId5" w:history="1">
        <w:r w:rsidRPr="00A25330">
          <w:rPr>
            <w:rStyle w:val="Hyperlink"/>
            <w:szCs w:val="18"/>
          </w:rPr>
          <w:t>http://surveypractice.org/index.php/SurveyPractice/article/viewFile/251/pdf</w:t>
        </w:r>
      </w:hyperlink>
      <w:r>
        <w:rPr>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91B"/>
    <w:multiLevelType w:val="hybridMultilevel"/>
    <w:tmpl w:val="BD60908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nsid w:val="049507F6"/>
    <w:multiLevelType w:val="hybridMultilevel"/>
    <w:tmpl w:val="1864FD4C"/>
    <w:lvl w:ilvl="0" w:tplc="C160133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B4B7256"/>
    <w:multiLevelType w:val="hybridMultilevel"/>
    <w:tmpl w:val="3EB05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30F27"/>
    <w:multiLevelType w:val="hybridMultilevel"/>
    <w:tmpl w:val="026C4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B086AF7E"/>
    <w:lvl w:ilvl="0" w:tplc="FD205D4C">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C74920"/>
    <w:multiLevelType w:val="hybridMultilevel"/>
    <w:tmpl w:val="C34E1880"/>
    <w:lvl w:ilvl="0" w:tplc="04090005">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3D6BAD"/>
    <w:multiLevelType w:val="hybridMultilevel"/>
    <w:tmpl w:val="1BDC45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32495D27"/>
    <w:multiLevelType w:val="singleLevel"/>
    <w:tmpl w:val="36864356"/>
    <w:lvl w:ilvl="0">
      <w:start w:val="1"/>
      <w:numFmt w:val="bullet"/>
      <w:pStyle w:val="N2-2ndBullet"/>
      <w:lvlText w:val="–"/>
      <w:lvlJc w:val="left"/>
      <w:pPr>
        <w:tabs>
          <w:tab w:val="num" w:pos="1728"/>
        </w:tabs>
        <w:ind w:left="1728" w:hanging="576"/>
      </w:pPr>
      <w:rPr>
        <w:rFonts w:ascii="Times New Roman" w:hAnsi="Times New Roman" w:cs="Times New Roman" w:hint="default"/>
        <w:sz w:val="28"/>
        <w:szCs w:val="36"/>
      </w:rPr>
    </w:lvl>
  </w:abstractNum>
  <w:abstractNum w:abstractNumId="8">
    <w:nsid w:val="35B22A15"/>
    <w:multiLevelType w:val="multilevel"/>
    <w:tmpl w:val="590A4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F222BA"/>
    <w:multiLevelType w:val="hybridMultilevel"/>
    <w:tmpl w:val="0A34D132"/>
    <w:lvl w:ilvl="0" w:tplc="0409000F">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C06784"/>
    <w:multiLevelType w:val="hybridMultilevel"/>
    <w:tmpl w:val="F23ED1DE"/>
    <w:lvl w:ilvl="0" w:tplc="45DED60E">
      <w:start w:val="1"/>
      <w:numFmt w:val="decimal"/>
      <w:lvlText w:val="%1."/>
      <w:lvlJc w:val="left"/>
      <w:pPr>
        <w:tabs>
          <w:tab w:val="num" w:pos="720"/>
        </w:tabs>
        <w:ind w:left="720" w:hanging="720"/>
      </w:pPr>
    </w:lvl>
    <w:lvl w:ilvl="1" w:tplc="4544BBD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E272F80"/>
    <w:multiLevelType w:val="hybridMultilevel"/>
    <w:tmpl w:val="F878CE72"/>
    <w:lvl w:ilvl="0" w:tplc="9D64A222">
      <w:start w:val="1"/>
      <w:numFmt w:val="decimal"/>
      <w:pStyle w:val="N3-3rdBullet"/>
      <w:lvlText w:val="%1."/>
      <w:lvlJc w:val="left"/>
      <w:pPr>
        <w:tabs>
          <w:tab w:val="num" w:pos="2304"/>
        </w:tabs>
        <w:ind w:left="2304" w:hanging="576"/>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491D2D"/>
    <w:multiLevelType w:val="hybridMultilevel"/>
    <w:tmpl w:val="D47066E8"/>
    <w:lvl w:ilvl="0" w:tplc="712ADB20">
      <w:start w:val="1"/>
      <w:numFmt w:val="bullet"/>
      <w:pStyle w:val="N1-1stBullet"/>
      <w:lvlText w:val=""/>
      <w:lvlJc w:val="left"/>
      <w:pPr>
        <w:tabs>
          <w:tab w:val="num" w:pos="1152"/>
        </w:tabs>
        <w:ind w:left="1152" w:hanging="576"/>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9D4BC1"/>
    <w:multiLevelType w:val="hybridMultilevel"/>
    <w:tmpl w:val="1E309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A7249C"/>
    <w:multiLevelType w:val="hybridMultilevel"/>
    <w:tmpl w:val="5EB6D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32B6408"/>
    <w:multiLevelType w:val="hybridMultilevel"/>
    <w:tmpl w:val="AF4EBC8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6">
    <w:nsid w:val="53A40EBA"/>
    <w:multiLevelType w:val="hybridMultilevel"/>
    <w:tmpl w:val="3EDE2CB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nsid w:val="54EB087F"/>
    <w:multiLevelType w:val="hybridMultilevel"/>
    <w:tmpl w:val="4FFE1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957877"/>
    <w:multiLevelType w:val="hybridMultilevel"/>
    <w:tmpl w:val="9F3E9942"/>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19">
    <w:nsid w:val="5D973C69"/>
    <w:multiLevelType w:val="hybridMultilevel"/>
    <w:tmpl w:val="A0F6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5D5B3A"/>
    <w:multiLevelType w:val="hybridMultilevel"/>
    <w:tmpl w:val="1B10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AC5253"/>
    <w:multiLevelType w:val="hybridMultilevel"/>
    <w:tmpl w:val="1E309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BC1859"/>
    <w:multiLevelType w:val="hybridMultilevel"/>
    <w:tmpl w:val="693692C6"/>
    <w:lvl w:ilvl="0" w:tplc="2D0C9FD8">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F6E30"/>
    <w:multiLevelType w:val="hybridMultilevel"/>
    <w:tmpl w:val="7A02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E2DBA"/>
    <w:multiLevelType w:val="hybridMultilevel"/>
    <w:tmpl w:val="E004769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7E317B9E"/>
    <w:multiLevelType w:val="hybridMultilevel"/>
    <w:tmpl w:val="428696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22"/>
  </w:num>
  <w:num w:numId="5">
    <w:abstractNumId w:val="12"/>
  </w:num>
  <w:num w:numId="6">
    <w:abstractNumId w:val="9"/>
  </w:num>
  <w:num w:numId="7">
    <w:abstractNumId w:val="21"/>
  </w:num>
  <w:num w:numId="8">
    <w:abstractNumId w:val="13"/>
  </w:num>
  <w:num w:numId="9">
    <w:abstractNumId w:val="23"/>
  </w:num>
  <w:num w:numId="10">
    <w:abstractNumId w:val="19"/>
  </w:num>
  <w:num w:numId="11">
    <w:abstractNumId w:val="25"/>
  </w:num>
  <w:num w:numId="12">
    <w:abstractNumId w:val="5"/>
  </w:num>
  <w:num w:numId="13">
    <w:abstractNumId w:val="24"/>
  </w:num>
  <w:num w:numId="14">
    <w:abstractNumId w:val="14"/>
  </w:num>
  <w:num w:numId="15">
    <w:abstractNumId w:val="0"/>
  </w:num>
  <w:num w:numId="16">
    <w:abstractNumId w:val="18"/>
  </w:num>
  <w:num w:numId="17">
    <w:abstractNumId w:val="3"/>
  </w:num>
  <w:num w:numId="18">
    <w:abstractNumId w:val="17"/>
  </w:num>
  <w:num w:numId="19">
    <w:abstractNumId w:val="6"/>
  </w:num>
  <w:num w:numId="20">
    <w:abstractNumId w:val="15"/>
  </w:num>
  <w:num w:numId="21">
    <w:abstractNumId w:val="20"/>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
  </w:num>
  <w:num w:numId="26">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Wilhelm">
    <w15:presenceInfo w15:providerId="AD" w15:userId="S-1-5-21-3700044642-3984148119-4146703450-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A871421-1C80-4AF5-B103-F31C929C95CA}"/>
    <w:docVar w:name="dgnword-eventsink" w:val="33738824"/>
  </w:docVars>
  <w:rsids>
    <w:rsidRoot w:val="003F225B"/>
    <w:rsid w:val="00002766"/>
    <w:rsid w:val="00002779"/>
    <w:rsid w:val="00003955"/>
    <w:rsid w:val="00004273"/>
    <w:rsid w:val="00004416"/>
    <w:rsid w:val="00004D6A"/>
    <w:rsid w:val="00005846"/>
    <w:rsid w:val="0000659C"/>
    <w:rsid w:val="00006674"/>
    <w:rsid w:val="00007BC2"/>
    <w:rsid w:val="00010390"/>
    <w:rsid w:val="00011AA2"/>
    <w:rsid w:val="00012175"/>
    <w:rsid w:val="000127EF"/>
    <w:rsid w:val="00012D33"/>
    <w:rsid w:val="00012FE1"/>
    <w:rsid w:val="000135C1"/>
    <w:rsid w:val="0001442C"/>
    <w:rsid w:val="000162AD"/>
    <w:rsid w:val="000177AC"/>
    <w:rsid w:val="0002084A"/>
    <w:rsid w:val="0002315C"/>
    <w:rsid w:val="00023A38"/>
    <w:rsid w:val="00024125"/>
    <w:rsid w:val="00024579"/>
    <w:rsid w:val="00024737"/>
    <w:rsid w:val="000257F7"/>
    <w:rsid w:val="00027E15"/>
    <w:rsid w:val="00030ACA"/>
    <w:rsid w:val="00031233"/>
    <w:rsid w:val="0003287B"/>
    <w:rsid w:val="00032F34"/>
    <w:rsid w:val="000330E2"/>
    <w:rsid w:val="0003351B"/>
    <w:rsid w:val="00033D00"/>
    <w:rsid w:val="000350E9"/>
    <w:rsid w:val="0003598E"/>
    <w:rsid w:val="0003684E"/>
    <w:rsid w:val="00036AF4"/>
    <w:rsid w:val="00036B4C"/>
    <w:rsid w:val="00036FB4"/>
    <w:rsid w:val="000379B6"/>
    <w:rsid w:val="000403FD"/>
    <w:rsid w:val="000405F3"/>
    <w:rsid w:val="00041597"/>
    <w:rsid w:val="00043611"/>
    <w:rsid w:val="00043871"/>
    <w:rsid w:val="000447C2"/>
    <w:rsid w:val="00044BB0"/>
    <w:rsid w:val="00044EA7"/>
    <w:rsid w:val="00047ECD"/>
    <w:rsid w:val="00051FAB"/>
    <w:rsid w:val="000528F5"/>
    <w:rsid w:val="00055B76"/>
    <w:rsid w:val="00055DCD"/>
    <w:rsid w:val="00055EAC"/>
    <w:rsid w:val="00056772"/>
    <w:rsid w:val="00057925"/>
    <w:rsid w:val="00062843"/>
    <w:rsid w:val="0006498E"/>
    <w:rsid w:val="00064A3C"/>
    <w:rsid w:val="00064D2D"/>
    <w:rsid w:val="0006519F"/>
    <w:rsid w:val="00066207"/>
    <w:rsid w:val="000668DB"/>
    <w:rsid w:val="0006754B"/>
    <w:rsid w:val="00067D0B"/>
    <w:rsid w:val="0007081A"/>
    <w:rsid w:val="000724D4"/>
    <w:rsid w:val="00073632"/>
    <w:rsid w:val="00073F2D"/>
    <w:rsid w:val="00076495"/>
    <w:rsid w:val="0008261D"/>
    <w:rsid w:val="00082AD5"/>
    <w:rsid w:val="0008360F"/>
    <w:rsid w:val="00085602"/>
    <w:rsid w:val="00086EB6"/>
    <w:rsid w:val="00091A23"/>
    <w:rsid w:val="00091ADD"/>
    <w:rsid w:val="00092B39"/>
    <w:rsid w:val="000937C1"/>
    <w:rsid w:val="00094A0B"/>
    <w:rsid w:val="00095162"/>
    <w:rsid w:val="000965AB"/>
    <w:rsid w:val="00096CAF"/>
    <w:rsid w:val="0009728E"/>
    <w:rsid w:val="00097E23"/>
    <w:rsid w:val="000A1B86"/>
    <w:rsid w:val="000A2D34"/>
    <w:rsid w:val="000A327F"/>
    <w:rsid w:val="000A40D3"/>
    <w:rsid w:val="000A4769"/>
    <w:rsid w:val="000A52A3"/>
    <w:rsid w:val="000A570F"/>
    <w:rsid w:val="000A583A"/>
    <w:rsid w:val="000A61C4"/>
    <w:rsid w:val="000A6BA9"/>
    <w:rsid w:val="000B1153"/>
    <w:rsid w:val="000B1D8E"/>
    <w:rsid w:val="000B2388"/>
    <w:rsid w:val="000B2A50"/>
    <w:rsid w:val="000B52D7"/>
    <w:rsid w:val="000B55C5"/>
    <w:rsid w:val="000B5AD9"/>
    <w:rsid w:val="000C10E0"/>
    <w:rsid w:val="000C1AB6"/>
    <w:rsid w:val="000C1BBF"/>
    <w:rsid w:val="000C2047"/>
    <w:rsid w:val="000C2DBB"/>
    <w:rsid w:val="000C33DB"/>
    <w:rsid w:val="000C3A51"/>
    <w:rsid w:val="000C3D33"/>
    <w:rsid w:val="000C45B6"/>
    <w:rsid w:val="000C47A1"/>
    <w:rsid w:val="000D02CD"/>
    <w:rsid w:val="000D4E96"/>
    <w:rsid w:val="000D51B5"/>
    <w:rsid w:val="000D6F84"/>
    <w:rsid w:val="000D7333"/>
    <w:rsid w:val="000E0545"/>
    <w:rsid w:val="000E06D4"/>
    <w:rsid w:val="000E07BE"/>
    <w:rsid w:val="000E09D4"/>
    <w:rsid w:val="000E3E16"/>
    <w:rsid w:val="000E414A"/>
    <w:rsid w:val="000E7CD1"/>
    <w:rsid w:val="000F0B21"/>
    <w:rsid w:val="000F2A09"/>
    <w:rsid w:val="000F3666"/>
    <w:rsid w:val="000F3913"/>
    <w:rsid w:val="000F391E"/>
    <w:rsid w:val="000F3A67"/>
    <w:rsid w:val="000F4CFB"/>
    <w:rsid w:val="000F4F96"/>
    <w:rsid w:val="000F52CC"/>
    <w:rsid w:val="000F67C0"/>
    <w:rsid w:val="00101C84"/>
    <w:rsid w:val="00101D79"/>
    <w:rsid w:val="00102AB7"/>
    <w:rsid w:val="00104845"/>
    <w:rsid w:val="0010603C"/>
    <w:rsid w:val="00106ACC"/>
    <w:rsid w:val="001102C2"/>
    <w:rsid w:val="0011085E"/>
    <w:rsid w:val="00110CB9"/>
    <w:rsid w:val="00110F99"/>
    <w:rsid w:val="00113BF9"/>
    <w:rsid w:val="0011464C"/>
    <w:rsid w:val="00114C6E"/>
    <w:rsid w:val="00115865"/>
    <w:rsid w:val="0011737C"/>
    <w:rsid w:val="00117411"/>
    <w:rsid w:val="00120959"/>
    <w:rsid w:val="00120A32"/>
    <w:rsid w:val="001218B2"/>
    <w:rsid w:val="00121A4A"/>
    <w:rsid w:val="00121DD0"/>
    <w:rsid w:val="00127859"/>
    <w:rsid w:val="001302AA"/>
    <w:rsid w:val="00130B7B"/>
    <w:rsid w:val="00130D29"/>
    <w:rsid w:val="00130E8D"/>
    <w:rsid w:val="001313F6"/>
    <w:rsid w:val="001334CB"/>
    <w:rsid w:val="00133CD0"/>
    <w:rsid w:val="00133DD7"/>
    <w:rsid w:val="001342E7"/>
    <w:rsid w:val="00134748"/>
    <w:rsid w:val="00134EFB"/>
    <w:rsid w:val="00135032"/>
    <w:rsid w:val="0013505D"/>
    <w:rsid w:val="00135F6D"/>
    <w:rsid w:val="00137948"/>
    <w:rsid w:val="00140215"/>
    <w:rsid w:val="00141CFE"/>
    <w:rsid w:val="00142A79"/>
    <w:rsid w:val="00142D49"/>
    <w:rsid w:val="00142E7E"/>
    <w:rsid w:val="00142FFF"/>
    <w:rsid w:val="00143D2E"/>
    <w:rsid w:val="0014499A"/>
    <w:rsid w:val="001454B6"/>
    <w:rsid w:val="001478C9"/>
    <w:rsid w:val="00147D20"/>
    <w:rsid w:val="001507F7"/>
    <w:rsid w:val="00150F32"/>
    <w:rsid w:val="00151A36"/>
    <w:rsid w:val="00152B01"/>
    <w:rsid w:val="001545D0"/>
    <w:rsid w:val="001547D0"/>
    <w:rsid w:val="00156208"/>
    <w:rsid w:val="00156375"/>
    <w:rsid w:val="001570DD"/>
    <w:rsid w:val="0015756D"/>
    <w:rsid w:val="0016171C"/>
    <w:rsid w:val="00162909"/>
    <w:rsid w:val="00162F39"/>
    <w:rsid w:val="00163016"/>
    <w:rsid w:val="00163F4A"/>
    <w:rsid w:val="0016459A"/>
    <w:rsid w:val="001659AC"/>
    <w:rsid w:val="00165C8F"/>
    <w:rsid w:val="001661D1"/>
    <w:rsid w:val="00167FA4"/>
    <w:rsid w:val="00172D3D"/>
    <w:rsid w:val="001730F8"/>
    <w:rsid w:val="001737AA"/>
    <w:rsid w:val="00173CEE"/>
    <w:rsid w:val="00173E45"/>
    <w:rsid w:val="00175FB2"/>
    <w:rsid w:val="0017613E"/>
    <w:rsid w:val="001768BA"/>
    <w:rsid w:val="0017777A"/>
    <w:rsid w:val="00177A7E"/>
    <w:rsid w:val="001818DE"/>
    <w:rsid w:val="00182669"/>
    <w:rsid w:val="00183121"/>
    <w:rsid w:val="00184A10"/>
    <w:rsid w:val="001858B6"/>
    <w:rsid w:val="0018600E"/>
    <w:rsid w:val="001873FE"/>
    <w:rsid w:val="00187ACA"/>
    <w:rsid w:val="001909C1"/>
    <w:rsid w:val="00192A0C"/>
    <w:rsid w:val="001935B4"/>
    <w:rsid w:val="00195211"/>
    <w:rsid w:val="00195BC9"/>
    <w:rsid w:val="00197D90"/>
    <w:rsid w:val="001A0E9C"/>
    <w:rsid w:val="001A10A2"/>
    <w:rsid w:val="001A4494"/>
    <w:rsid w:val="001A5D9A"/>
    <w:rsid w:val="001A60EB"/>
    <w:rsid w:val="001A726C"/>
    <w:rsid w:val="001A75FD"/>
    <w:rsid w:val="001A7E9E"/>
    <w:rsid w:val="001A7FAB"/>
    <w:rsid w:val="001B0322"/>
    <w:rsid w:val="001B118E"/>
    <w:rsid w:val="001B2790"/>
    <w:rsid w:val="001B5FF2"/>
    <w:rsid w:val="001B6AA1"/>
    <w:rsid w:val="001B7240"/>
    <w:rsid w:val="001C20C6"/>
    <w:rsid w:val="001C5EF3"/>
    <w:rsid w:val="001C69DD"/>
    <w:rsid w:val="001C7C8C"/>
    <w:rsid w:val="001D0187"/>
    <w:rsid w:val="001D0542"/>
    <w:rsid w:val="001D1B63"/>
    <w:rsid w:val="001D1F70"/>
    <w:rsid w:val="001D2F97"/>
    <w:rsid w:val="001D3648"/>
    <w:rsid w:val="001D3B71"/>
    <w:rsid w:val="001D4579"/>
    <w:rsid w:val="001D49BF"/>
    <w:rsid w:val="001D4DEA"/>
    <w:rsid w:val="001D5D44"/>
    <w:rsid w:val="001D5D4B"/>
    <w:rsid w:val="001D6614"/>
    <w:rsid w:val="001D7CF3"/>
    <w:rsid w:val="001E141D"/>
    <w:rsid w:val="001E1467"/>
    <w:rsid w:val="001E16B1"/>
    <w:rsid w:val="001E3800"/>
    <w:rsid w:val="001E5F24"/>
    <w:rsid w:val="001E6079"/>
    <w:rsid w:val="001E6B94"/>
    <w:rsid w:val="001E766B"/>
    <w:rsid w:val="001E7E8C"/>
    <w:rsid w:val="001F1BDE"/>
    <w:rsid w:val="001F31A4"/>
    <w:rsid w:val="001F4BCD"/>
    <w:rsid w:val="001F570F"/>
    <w:rsid w:val="001F5D0F"/>
    <w:rsid w:val="001F6D50"/>
    <w:rsid w:val="001F75F1"/>
    <w:rsid w:val="00201F30"/>
    <w:rsid w:val="00203EFB"/>
    <w:rsid w:val="0020415E"/>
    <w:rsid w:val="0020506A"/>
    <w:rsid w:val="0020526D"/>
    <w:rsid w:val="0020541E"/>
    <w:rsid w:val="0020563B"/>
    <w:rsid w:val="002068F2"/>
    <w:rsid w:val="00210549"/>
    <w:rsid w:val="00210B12"/>
    <w:rsid w:val="00212FFB"/>
    <w:rsid w:val="0021462D"/>
    <w:rsid w:val="00214B46"/>
    <w:rsid w:val="0021534A"/>
    <w:rsid w:val="002161EA"/>
    <w:rsid w:val="002167C6"/>
    <w:rsid w:val="00216F85"/>
    <w:rsid w:val="0021778C"/>
    <w:rsid w:val="00217A7A"/>
    <w:rsid w:val="00217E30"/>
    <w:rsid w:val="00221743"/>
    <w:rsid w:val="00222817"/>
    <w:rsid w:val="00222B66"/>
    <w:rsid w:val="0022318F"/>
    <w:rsid w:val="002240C2"/>
    <w:rsid w:val="0022458B"/>
    <w:rsid w:val="00226886"/>
    <w:rsid w:val="00230142"/>
    <w:rsid w:val="002312A8"/>
    <w:rsid w:val="002338F0"/>
    <w:rsid w:val="00234C36"/>
    <w:rsid w:val="0023553C"/>
    <w:rsid w:val="0023795B"/>
    <w:rsid w:val="00240A66"/>
    <w:rsid w:val="00240B55"/>
    <w:rsid w:val="0024127F"/>
    <w:rsid w:val="00241AEC"/>
    <w:rsid w:val="00246EDB"/>
    <w:rsid w:val="00250049"/>
    <w:rsid w:val="00250847"/>
    <w:rsid w:val="00250AF0"/>
    <w:rsid w:val="00253599"/>
    <w:rsid w:val="002538CC"/>
    <w:rsid w:val="00253AA1"/>
    <w:rsid w:val="00253EC0"/>
    <w:rsid w:val="00256DAC"/>
    <w:rsid w:val="00257926"/>
    <w:rsid w:val="002604E6"/>
    <w:rsid w:val="00260998"/>
    <w:rsid w:val="00261398"/>
    <w:rsid w:val="00262BD5"/>
    <w:rsid w:val="00264C33"/>
    <w:rsid w:val="00265BD3"/>
    <w:rsid w:val="00266495"/>
    <w:rsid w:val="00266ED6"/>
    <w:rsid w:val="00267642"/>
    <w:rsid w:val="00270BEC"/>
    <w:rsid w:val="00270C6F"/>
    <w:rsid w:val="00270FAA"/>
    <w:rsid w:val="0027106B"/>
    <w:rsid w:val="002718B0"/>
    <w:rsid w:val="00272C8A"/>
    <w:rsid w:val="00274046"/>
    <w:rsid w:val="002747D9"/>
    <w:rsid w:val="00274983"/>
    <w:rsid w:val="00275D6C"/>
    <w:rsid w:val="00281947"/>
    <w:rsid w:val="00282312"/>
    <w:rsid w:val="0028319C"/>
    <w:rsid w:val="00283310"/>
    <w:rsid w:val="00283ED2"/>
    <w:rsid w:val="0028441E"/>
    <w:rsid w:val="00285163"/>
    <w:rsid w:val="002851B1"/>
    <w:rsid w:val="0028565E"/>
    <w:rsid w:val="00285B33"/>
    <w:rsid w:val="00285C26"/>
    <w:rsid w:val="00287031"/>
    <w:rsid w:val="00287E0E"/>
    <w:rsid w:val="00287F2E"/>
    <w:rsid w:val="00290152"/>
    <w:rsid w:val="0029076B"/>
    <w:rsid w:val="002921AF"/>
    <w:rsid w:val="002948EE"/>
    <w:rsid w:val="00294F1C"/>
    <w:rsid w:val="00297FEE"/>
    <w:rsid w:val="002A0B99"/>
    <w:rsid w:val="002A16B8"/>
    <w:rsid w:val="002A280E"/>
    <w:rsid w:val="002A29C5"/>
    <w:rsid w:val="002A6821"/>
    <w:rsid w:val="002A7164"/>
    <w:rsid w:val="002A71FD"/>
    <w:rsid w:val="002B168E"/>
    <w:rsid w:val="002B1D10"/>
    <w:rsid w:val="002B20E6"/>
    <w:rsid w:val="002B21AA"/>
    <w:rsid w:val="002B220F"/>
    <w:rsid w:val="002B46D3"/>
    <w:rsid w:val="002B46F1"/>
    <w:rsid w:val="002B4BA1"/>
    <w:rsid w:val="002B4ED9"/>
    <w:rsid w:val="002B5AFE"/>
    <w:rsid w:val="002B7874"/>
    <w:rsid w:val="002B7BBC"/>
    <w:rsid w:val="002C09BD"/>
    <w:rsid w:val="002C18BF"/>
    <w:rsid w:val="002C1CFB"/>
    <w:rsid w:val="002C2BBC"/>
    <w:rsid w:val="002C3CF8"/>
    <w:rsid w:val="002C4B6C"/>
    <w:rsid w:val="002C4E15"/>
    <w:rsid w:val="002C51BD"/>
    <w:rsid w:val="002C6222"/>
    <w:rsid w:val="002D02FA"/>
    <w:rsid w:val="002D04F0"/>
    <w:rsid w:val="002D1420"/>
    <w:rsid w:val="002D17D2"/>
    <w:rsid w:val="002D23FC"/>
    <w:rsid w:val="002D3ADA"/>
    <w:rsid w:val="002D3E8C"/>
    <w:rsid w:val="002D41DD"/>
    <w:rsid w:val="002D48F1"/>
    <w:rsid w:val="002D48FA"/>
    <w:rsid w:val="002D7A48"/>
    <w:rsid w:val="002E2ACD"/>
    <w:rsid w:val="002E3416"/>
    <w:rsid w:val="002E4232"/>
    <w:rsid w:val="002E4CDB"/>
    <w:rsid w:val="002E56C4"/>
    <w:rsid w:val="002E5995"/>
    <w:rsid w:val="002E6C9D"/>
    <w:rsid w:val="002E7499"/>
    <w:rsid w:val="002F0F19"/>
    <w:rsid w:val="002F2193"/>
    <w:rsid w:val="002F2520"/>
    <w:rsid w:val="002F3B76"/>
    <w:rsid w:val="002F4934"/>
    <w:rsid w:val="002F4F39"/>
    <w:rsid w:val="002F61EE"/>
    <w:rsid w:val="002F6F1C"/>
    <w:rsid w:val="00302E5C"/>
    <w:rsid w:val="00303067"/>
    <w:rsid w:val="00304009"/>
    <w:rsid w:val="00304275"/>
    <w:rsid w:val="003055C5"/>
    <w:rsid w:val="00307833"/>
    <w:rsid w:val="00310828"/>
    <w:rsid w:val="00311946"/>
    <w:rsid w:val="00312C13"/>
    <w:rsid w:val="00313582"/>
    <w:rsid w:val="00313F10"/>
    <w:rsid w:val="0031556F"/>
    <w:rsid w:val="00315646"/>
    <w:rsid w:val="00316018"/>
    <w:rsid w:val="003168F3"/>
    <w:rsid w:val="00316C7D"/>
    <w:rsid w:val="003179D3"/>
    <w:rsid w:val="003204A2"/>
    <w:rsid w:val="003215F8"/>
    <w:rsid w:val="00321D46"/>
    <w:rsid w:val="0032383B"/>
    <w:rsid w:val="003254C7"/>
    <w:rsid w:val="003254F9"/>
    <w:rsid w:val="00325D22"/>
    <w:rsid w:val="0032678D"/>
    <w:rsid w:val="0033168C"/>
    <w:rsid w:val="00332556"/>
    <w:rsid w:val="00332D5C"/>
    <w:rsid w:val="003341B0"/>
    <w:rsid w:val="00335A56"/>
    <w:rsid w:val="00336C29"/>
    <w:rsid w:val="003404BD"/>
    <w:rsid w:val="00341897"/>
    <w:rsid w:val="003428EB"/>
    <w:rsid w:val="00344183"/>
    <w:rsid w:val="003463F7"/>
    <w:rsid w:val="00347E3D"/>
    <w:rsid w:val="00353CF6"/>
    <w:rsid w:val="00354EC5"/>
    <w:rsid w:val="003579BC"/>
    <w:rsid w:val="0036020B"/>
    <w:rsid w:val="00362518"/>
    <w:rsid w:val="003638C3"/>
    <w:rsid w:val="00364413"/>
    <w:rsid w:val="00367E0B"/>
    <w:rsid w:val="00370EFC"/>
    <w:rsid w:val="00371E2A"/>
    <w:rsid w:val="00372D82"/>
    <w:rsid w:val="0037469F"/>
    <w:rsid w:val="00375322"/>
    <w:rsid w:val="003755F0"/>
    <w:rsid w:val="003759B9"/>
    <w:rsid w:val="003775B9"/>
    <w:rsid w:val="0038100C"/>
    <w:rsid w:val="00381EE7"/>
    <w:rsid w:val="00381F9F"/>
    <w:rsid w:val="00383C13"/>
    <w:rsid w:val="00383C29"/>
    <w:rsid w:val="0038519C"/>
    <w:rsid w:val="003866FB"/>
    <w:rsid w:val="00387201"/>
    <w:rsid w:val="00390350"/>
    <w:rsid w:val="00394F9C"/>
    <w:rsid w:val="00395128"/>
    <w:rsid w:val="00395BE7"/>
    <w:rsid w:val="00396AC2"/>
    <w:rsid w:val="0039761C"/>
    <w:rsid w:val="0039792F"/>
    <w:rsid w:val="00397B0B"/>
    <w:rsid w:val="003A0D2F"/>
    <w:rsid w:val="003A21A3"/>
    <w:rsid w:val="003A33F2"/>
    <w:rsid w:val="003A4615"/>
    <w:rsid w:val="003A4CED"/>
    <w:rsid w:val="003A4D5A"/>
    <w:rsid w:val="003A6AB6"/>
    <w:rsid w:val="003B0BE3"/>
    <w:rsid w:val="003B119C"/>
    <w:rsid w:val="003B1209"/>
    <w:rsid w:val="003B1BE2"/>
    <w:rsid w:val="003B1D3C"/>
    <w:rsid w:val="003B34E8"/>
    <w:rsid w:val="003B53BD"/>
    <w:rsid w:val="003B5545"/>
    <w:rsid w:val="003B61D1"/>
    <w:rsid w:val="003B782A"/>
    <w:rsid w:val="003B7E27"/>
    <w:rsid w:val="003C01F9"/>
    <w:rsid w:val="003C074D"/>
    <w:rsid w:val="003C0C0A"/>
    <w:rsid w:val="003C3199"/>
    <w:rsid w:val="003C4E21"/>
    <w:rsid w:val="003C5AF3"/>
    <w:rsid w:val="003C7DDC"/>
    <w:rsid w:val="003C7E2A"/>
    <w:rsid w:val="003D1F4B"/>
    <w:rsid w:val="003D21E8"/>
    <w:rsid w:val="003D21F9"/>
    <w:rsid w:val="003D27A8"/>
    <w:rsid w:val="003D40B5"/>
    <w:rsid w:val="003D4F8F"/>
    <w:rsid w:val="003E0CA9"/>
    <w:rsid w:val="003E25EF"/>
    <w:rsid w:val="003E2B2A"/>
    <w:rsid w:val="003E51BC"/>
    <w:rsid w:val="003E6CDF"/>
    <w:rsid w:val="003E6D0C"/>
    <w:rsid w:val="003F043B"/>
    <w:rsid w:val="003F0510"/>
    <w:rsid w:val="003F0E9A"/>
    <w:rsid w:val="003F2148"/>
    <w:rsid w:val="003F225B"/>
    <w:rsid w:val="003F353B"/>
    <w:rsid w:val="003F6027"/>
    <w:rsid w:val="003F6243"/>
    <w:rsid w:val="003F7A34"/>
    <w:rsid w:val="004016BD"/>
    <w:rsid w:val="00401BB2"/>
    <w:rsid w:val="00401C75"/>
    <w:rsid w:val="00403570"/>
    <w:rsid w:val="004039A0"/>
    <w:rsid w:val="004040D0"/>
    <w:rsid w:val="00406145"/>
    <w:rsid w:val="004071C6"/>
    <w:rsid w:val="00407231"/>
    <w:rsid w:val="00410D3A"/>
    <w:rsid w:val="00411CAD"/>
    <w:rsid w:val="0041251B"/>
    <w:rsid w:val="00412DE9"/>
    <w:rsid w:val="0041379E"/>
    <w:rsid w:val="004148C4"/>
    <w:rsid w:val="00417779"/>
    <w:rsid w:val="00417D3C"/>
    <w:rsid w:val="0042128B"/>
    <w:rsid w:val="00421EB5"/>
    <w:rsid w:val="00425CB7"/>
    <w:rsid w:val="00425DFA"/>
    <w:rsid w:val="00430A0B"/>
    <w:rsid w:val="004324E3"/>
    <w:rsid w:val="00432CD0"/>
    <w:rsid w:val="00433E61"/>
    <w:rsid w:val="004343AF"/>
    <w:rsid w:val="00434B92"/>
    <w:rsid w:val="00434D08"/>
    <w:rsid w:val="004379C5"/>
    <w:rsid w:val="0044058C"/>
    <w:rsid w:val="004451A9"/>
    <w:rsid w:val="00445401"/>
    <w:rsid w:val="00446ED9"/>
    <w:rsid w:val="0044703A"/>
    <w:rsid w:val="004470A1"/>
    <w:rsid w:val="004473BE"/>
    <w:rsid w:val="0045008B"/>
    <w:rsid w:val="004518B6"/>
    <w:rsid w:val="0045217B"/>
    <w:rsid w:val="004528FC"/>
    <w:rsid w:val="00452AC4"/>
    <w:rsid w:val="00452C2F"/>
    <w:rsid w:val="004551C9"/>
    <w:rsid w:val="004611D6"/>
    <w:rsid w:val="004616F7"/>
    <w:rsid w:val="00461B08"/>
    <w:rsid w:val="00461D2F"/>
    <w:rsid w:val="0046279F"/>
    <w:rsid w:val="0046588C"/>
    <w:rsid w:val="00465CF4"/>
    <w:rsid w:val="004660F2"/>
    <w:rsid w:val="00467867"/>
    <w:rsid w:val="0047041E"/>
    <w:rsid w:val="00470555"/>
    <w:rsid w:val="004739A9"/>
    <w:rsid w:val="00473A94"/>
    <w:rsid w:val="00474718"/>
    <w:rsid w:val="00474786"/>
    <w:rsid w:val="004762B0"/>
    <w:rsid w:val="00476BA1"/>
    <w:rsid w:val="0047745D"/>
    <w:rsid w:val="004774AB"/>
    <w:rsid w:val="00477528"/>
    <w:rsid w:val="00477E55"/>
    <w:rsid w:val="00481DB2"/>
    <w:rsid w:val="004829CB"/>
    <w:rsid w:val="00486A17"/>
    <w:rsid w:val="004874FA"/>
    <w:rsid w:val="00487F69"/>
    <w:rsid w:val="004973E9"/>
    <w:rsid w:val="004A0AE3"/>
    <w:rsid w:val="004A15D4"/>
    <w:rsid w:val="004A22A3"/>
    <w:rsid w:val="004A52AE"/>
    <w:rsid w:val="004A6C52"/>
    <w:rsid w:val="004B1016"/>
    <w:rsid w:val="004B3AEF"/>
    <w:rsid w:val="004B3B7A"/>
    <w:rsid w:val="004B3D10"/>
    <w:rsid w:val="004B40ED"/>
    <w:rsid w:val="004B4165"/>
    <w:rsid w:val="004B5DE7"/>
    <w:rsid w:val="004B6888"/>
    <w:rsid w:val="004B7511"/>
    <w:rsid w:val="004C040C"/>
    <w:rsid w:val="004C2A1C"/>
    <w:rsid w:val="004C301C"/>
    <w:rsid w:val="004C534E"/>
    <w:rsid w:val="004C59DA"/>
    <w:rsid w:val="004C5DDC"/>
    <w:rsid w:val="004C5F67"/>
    <w:rsid w:val="004D06DB"/>
    <w:rsid w:val="004D0D4C"/>
    <w:rsid w:val="004D1425"/>
    <w:rsid w:val="004D1C4C"/>
    <w:rsid w:val="004D3719"/>
    <w:rsid w:val="004D3C31"/>
    <w:rsid w:val="004D3CAD"/>
    <w:rsid w:val="004D3EEE"/>
    <w:rsid w:val="004D4014"/>
    <w:rsid w:val="004D4086"/>
    <w:rsid w:val="004D4D6B"/>
    <w:rsid w:val="004D555C"/>
    <w:rsid w:val="004E0647"/>
    <w:rsid w:val="004E066D"/>
    <w:rsid w:val="004E08FD"/>
    <w:rsid w:val="004E1BC0"/>
    <w:rsid w:val="004E229B"/>
    <w:rsid w:val="004E2ACE"/>
    <w:rsid w:val="004E469E"/>
    <w:rsid w:val="004E7AC1"/>
    <w:rsid w:val="004E7CBD"/>
    <w:rsid w:val="004F03A1"/>
    <w:rsid w:val="004F1464"/>
    <w:rsid w:val="004F304D"/>
    <w:rsid w:val="004F4550"/>
    <w:rsid w:val="004F4D20"/>
    <w:rsid w:val="004F501D"/>
    <w:rsid w:val="004F542B"/>
    <w:rsid w:val="004F652C"/>
    <w:rsid w:val="004F75B1"/>
    <w:rsid w:val="004F7761"/>
    <w:rsid w:val="004F7967"/>
    <w:rsid w:val="00501025"/>
    <w:rsid w:val="00501D7C"/>
    <w:rsid w:val="005025D6"/>
    <w:rsid w:val="00504668"/>
    <w:rsid w:val="00504DC7"/>
    <w:rsid w:val="00506B88"/>
    <w:rsid w:val="005072DC"/>
    <w:rsid w:val="005072F6"/>
    <w:rsid w:val="00510329"/>
    <w:rsid w:val="00510966"/>
    <w:rsid w:val="005109BF"/>
    <w:rsid w:val="00510CB5"/>
    <w:rsid w:val="00512740"/>
    <w:rsid w:val="0051424F"/>
    <w:rsid w:val="005148E8"/>
    <w:rsid w:val="00514CD5"/>
    <w:rsid w:val="00514DC6"/>
    <w:rsid w:val="0051764A"/>
    <w:rsid w:val="00517BD9"/>
    <w:rsid w:val="00520D57"/>
    <w:rsid w:val="00520F9B"/>
    <w:rsid w:val="005232B3"/>
    <w:rsid w:val="00523777"/>
    <w:rsid w:val="005239C9"/>
    <w:rsid w:val="00524051"/>
    <w:rsid w:val="00524790"/>
    <w:rsid w:val="005247D7"/>
    <w:rsid w:val="00524CFE"/>
    <w:rsid w:val="00525C26"/>
    <w:rsid w:val="00526FDE"/>
    <w:rsid w:val="00527865"/>
    <w:rsid w:val="00527C8D"/>
    <w:rsid w:val="00530C79"/>
    <w:rsid w:val="00531F09"/>
    <w:rsid w:val="00532135"/>
    <w:rsid w:val="0053244A"/>
    <w:rsid w:val="00532A5B"/>
    <w:rsid w:val="005351F5"/>
    <w:rsid w:val="00535B64"/>
    <w:rsid w:val="00537644"/>
    <w:rsid w:val="00537C6D"/>
    <w:rsid w:val="00542F3B"/>
    <w:rsid w:val="005439AB"/>
    <w:rsid w:val="005453F2"/>
    <w:rsid w:val="00545A92"/>
    <w:rsid w:val="0054667D"/>
    <w:rsid w:val="00546685"/>
    <w:rsid w:val="00547038"/>
    <w:rsid w:val="005470F4"/>
    <w:rsid w:val="00547561"/>
    <w:rsid w:val="0055053D"/>
    <w:rsid w:val="00550FE3"/>
    <w:rsid w:val="00551C7E"/>
    <w:rsid w:val="00553963"/>
    <w:rsid w:val="00555559"/>
    <w:rsid w:val="0055680B"/>
    <w:rsid w:val="0055711C"/>
    <w:rsid w:val="00557C7D"/>
    <w:rsid w:val="00560083"/>
    <w:rsid w:val="005603C3"/>
    <w:rsid w:val="005605D0"/>
    <w:rsid w:val="005631C1"/>
    <w:rsid w:val="00564378"/>
    <w:rsid w:val="00570385"/>
    <w:rsid w:val="00571B91"/>
    <w:rsid w:val="005723A2"/>
    <w:rsid w:val="0057493F"/>
    <w:rsid w:val="00576FA7"/>
    <w:rsid w:val="0057737A"/>
    <w:rsid w:val="00577ABB"/>
    <w:rsid w:val="00580B23"/>
    <w:rsid w:val="00582438"/>
    <w:rsid w:val="00583571"/>
    <w:rsid w:val="0058381F"/>
    <w:rsid w:val="00583CB1"/>
    <w:rsid w:val="00583DFF"/>
    <w:rsid w:val="005854C4"/>
    <w:rsid w:val="00585B84"/>
    <w:rsid w:val="00585BF9"/>
    <w:rsid w:val="005864D8"/>
    <w:rsid w:val="0058679A"/>
    <w:rsid w:val="00586DCD"/>
    <w:rsid w:val="0058714C"/>
    <w:rsid w:val="00587DAD"/>
    <w:rsid w:val="00590464"/>
    <w:rsid w:val="00590B39"/>
    <w:rsid w:val="00591058"/>
    <w:rsid w:val="005924AD"/>
    <w:rsid w:val="00592ED4"/>
    <w:rsid w:val="0059449A"/>
    <w:rsid w:val="005963BB"/>
    <w:rsid w:val="00596C37"/>
    <w:rsid w:val="00597318"/>
    <w:rsid w:val="005A0173"/>
    <w:rsid w:val="005A0896"/>
    <w:rsid w:val="005A1FF7"/>
    <w:rsid w:val="005A29D1"/>
    <w:rsid w:val="005A32E5"/>
    <w:rsid w:val="005A40ED"/>
    <w:rsid w:val="005A4292"/>
    <w:rsid w:val="005A50C4"/>
    <w:rsid w:val="005A643C"/>
    <w:rsid w:val="005A7F70"/>
    <w:rsid w:val="005B0C0F"/>
    <w:rsid w:val="005B219D"/>
    <w:rsid w:val="005B2610"/>
    <w:rsid w:val="005B2AA6"/>
    <w:rsid w:val="005B3002"/>
    <w:rsid w:val="005B306D"/>
    <w:rsid w:val="005B4597"/>
    <w:rsid w:val="005B5917"/>
    <w:rsid w:val="005B5F94"/>
    <w:rsid w:val="005B6C9E"/>
    <w:rsid w:val="005B714D"/>
    <w:rsid w:val="005C1C12"/>
    <w:rsid w:val="005C25EF"/>
    <w:rsid w:val="005C2A4A"/>
    <w:rsid w:val="005C4355"/>
    <w:rsid w:val="005C54CB"/>
    <w:rsid w:val="005C5942"/>
    <w:rsid w:val="005C5968"/>
    <w:rsid w:val="005C5B1E"/>
    <w:rsid w:val="005C6C89"/>
    <w:rsid w:val="005C72DD"/>
    <w:rsid w:val="005D1174"/>
    <w:rsid w:val="005D33A2"/>
    <w:rsid w:val="005D33B7"/>
    <w:rsid w:val="005D4675"/>
    <w:rsid w:val="005D5752"/>
    <w:rsid w:val="005D5E72"/>
    <w:rsid w:val="005D7819"/>
    <w:rsid w:val="005D78D0"/>
    <w:rsid w:val="005E021B"/>
    <w:rsid w:val="005E0DE3"/>
    <w:rsid w:val="005E1001"/>
    <w:rsid w:val="005E3493"/>
    <w:rsid w:val="005E3AA1"/>
    <w:rsid w:val="005E5711"/>
    <w:rsid w:val="005E62E2"/>
    <w:rsid w:val="005F33C9"/>
    <w:rsid w:val="005F4E82"/>
    <w:rsid w:val="005F5509"/>
    <w:rsid w:val="005F5699"/>
    <w:rsid w:val="00601F46"/>
    <w:rsid w:val="006045F4"/>
    <w:rsid w:val="006054A1"/>
    <w:rsid w:val="006069EE"/>
    <w:rsid w:val="00607465"/>
    <w:rsid w:val="006075E1"/>
    <w:rsid w:val="0061146C"/>
    <w:rsid w:val="00611D05"/>
    <w:rsid w:val="00613B22"/>
    <w:rsid w:val="00614494"/>
    <w:rsid w:val="006164D8"/>
    <w:rsid w:val="00616FF8"/>
    <w:rsid w:val="00617B38"/>
    <w:rsid w:val="006200A3"/>
    <w:rsid w:val="0062143F"/>
    <w:rsid w:val="00622472"/>
    <w:rsid w:val="0062365F"/>
    <w:rsid w:val="00623E73"/>
    <w:rsid w:val="006243E7"/>
    <w:rsid w:val="00624EFF"/>
    <w:rsid w:val="0062573D"/>
    <w:rsid w:val="00625AE0"/>
    <w:rsid w:val="00625C19"/>
    <w:rsid w:val="00626974"/>
    <w:rsid w:val="00630484"/>
    <w:rsid w:val="006309D1"/>
    <w:rsid w:val="00631075"/>
    <w:rsid w:val="00632BAC"/>
    <w:rsid w:val="00636BC1"/>
    <w:rsid w:val="006371C3"/>
    <w:rsid w:val="006377C7"/>
    <w:rsid w:val="00640A2E"/>
    <w:rsid w:val="006420E0"/>
    <w:rsid w:val="00642CE5"/>
    <w:rsid w:val="0064307D"/>
    <w:rsid w:val="00643A31"/>
    <w:rsid w:val="00643F0A"/>
    <w:rsid w:val="00644471"/>
    <w:rsid w:val="00644808"/>
    <w:rsid w:val="006476D7"/>
    <w:rsid w:val="00647C62"/>
    <w:rsid w:val="00650989"/>
    <w:rsid w:val="00650D3E"/>
    <w:rsid w:val="00651DE5"/>
    <w:rsid w:val="006523A2"/>
    <w:rsid w:val="00653165"/>
    <w:rsid w:val="006531A5"/>
    <w:rsid w:val="00660C20"/>
    <w:rsid w:val="00662736"/>
    <w:rsid w:val="0066394D"/>
    <w:rsid w:val="00665D3B"/>
    <w:rsid w:val="00671E5D"/>
    <w:rsid w:val="0067302B"/>
    <w:rsid w:val="00673740"/>
    <w:rsid w:val="00673A95"/>
    <w:rsid w:val="00673C1A"/>
    <w:rsid w:val="00674590"/>
    <w:rsid w:val="0067461B"/>
    <w:rsid w:val="00674907"/>
    <w:rsid w:val="006756A3"/>
    <w:rsid w:val="00677DF5"/>
    <w:rsid w:val="00683D18"/>
    <w:rsid w:val="0068478C"/>
    <w:rsid w:val="006849A8"/>
    <w:rsid w:val="00686261"/>
    <w:rsid w:val="0068681A"/>
    <w:rsid w:val="0068762D"/>
    <w:rsid w:val="00687DDA"/>
    <w:rsid w:val="00691BED"/>
    <w:rsid w:val="006942E1"/>
    <w:rsid w:val="00695F3E"/>
    <w:rsid w:val="0069722A"/>
    <w:rsid w:val="00697296"/>
    <w:rsid w:val="006A1EE2"/>
    <w:rsid w:val="006A21A9"/>
    <w:rsid w:val="006A238C"/>
    <w:rsid w:val="006A3095"/>
    <w:rsid w:val="006A3368"/>
    <w:rsid w:val="006A3BE6"/>
    <w:rsid w:val="006A46F6"/>
    <w:rsid w:val="006A5815"/>
    <w:rsid w:val="006A6A85"/>
    <w:rsid w:val="006A6AFC"/>
    <w:rsid w:val="006A6C64"/>
    <w:rsid w:val="006B0586"/>
    <w:rsid w:val="006B0915"/>
    <w:rsid w:val="006B2E1B"/>
    <w:rsid w:val="006B43D4"/>
    <w:rsid w:val="006B478A"/>
    <w:rsid w:val="006B694A"/>
    <w:rsid w:val="006B78AB"/>
    <w:rsid w:val="006B7BFC"/>
    <w:rsid w:val="006C01D1"/>
    <w:rsid w:val="006C10E1"/>
    <w:rsid w:val="006C1E5C"/>
    <w:rsid w:val="006C2BF4"/>
    <w:rsid w:val="006C3581"/>
    <w:rsid w:val="006C4B9D"/>
    <w:rsid w:val="006C52CA"/>
    <w:rsid w:val="006C6591"/>
    <w:rsid w:val="006C69A8"/>
    <w:rsid w:val="006C7294"/>
    <w:rsid w:val="006D01C5"/>
    <w:rsid w:val="006D21F3"/>
    <w:rsid w:val="006D2433"/>
    <w:rsid w:val="006D2A93"/>
    <w:rsid w:val="006D3985"/>
    <w:rsid w:val="006D3BAA"/>
    <w:rsid w:val="006D4D9D"/>
    <w:rsid w:val="006D5F9F"/>
    <w:rsid w:val="006D7764"/>
    <w:rsid w:val="006E17BC"/>
    <w:rsid w:val="006E360F"/>
    <w:rsid w:val="006E3922"/>
    <w:rsid w:val="006E5D19"/>
    <w:rsid w:val="006E6185"/>
    <w:rsid w:val="006E65A5"/>
    <w:rsid w:val="006E70BD"/>
    <w:rsid w:val="006E7163"/>
    <w:rsid w:val="006E775D"/>
    <w:rsid w:val="006F1986"/>
    <w:rsid w:val="006F3548"/>
    <w:rsid w:val="006F3BF3"/>
    <w:rsid w:val="006F4879"/>
    <w:rsid w:val="006F595A"/>
    <w:rsid w:val="006F68FC"/>
    <w:rsid w:val="006F702C"/>
    <w:rsid w:val="00702A56"/>
    <w:rsid w:val="007033F8"/>
    <w:rsid w:val="007035CD"/>
    <w:rsid w:val="00704653"/>
    <w:rsid w:val="00705277"/>
    <w:rsid w:val="00705A09"/>
    <w:rsid w:val="007060A5"/>
    <w:rsid w:val="0070687D"/>
    <w:rsid w:val="00707153"/>
    <w:rsid w:val="00707A44"/>
    <w:rsid w:val="00707C50"/>
    <w:rsid w:val="007105B9"/>
    <w:rsid w:val="00712160"/>
    <w:rsid w:val="00714114"/>
    <w:rsid w:val="00714F7D"/>
    <w:rsid w:val="007153E6"/>
    <w:rsid w:val="00715576"/>
    <w:rsid w:val="00715F63"/>
    <w:rsid w:val="00716405"/>
    <w:rsid w:val="00716643"/>
    <w:rsid w:val="007176F6"/>
    <w:rsid w:val="00721588"/>
    <w:rsid w:val="00721871"/>
    <w:rsid w:val="00722CA4"/>
    <w:rsid w:val="0072337A"/>
    <w:rsid w:val="00725651"/>
    <w:rsid w:val="007258EC"/>
    <w:rsid w:val="00730309"/>
    <w:rsid w:val="007303E4"/>
    <w:rsid w:val="007304BD"/>
    <w:rsid w:val="00731591"/>
    <w:rsid w:val="00731A44"/>
    <w:rsid w:val="00731F5F"/>
    <w:rsid w:val="0073333F"/>
    <w:rsid w:val="00733387"/>
    <w:rsid w:val="00735B6A"/>
    <w:rsid w:val="0073615C"/>
    <w:rsid w:val="0073769A"/>
    <w:rsid w:val="007379B6"/>
    <w:rsid w:val="00737A35"/>
    <w:rsid w:val="00737CC9"/>
    <w:rsid w:val="00737E12"/>
    <w:rsid w:val="007411C0"/>
    <w:rsid w:val="0074167E"/>
    <w:rsid w:val="00741FAB"/>
    <w:rsid w:val="0074325E"/>
    <w:rsid w:val="00743434"/>
    <w:rsid w:val="00743739"/>
    <w:rsid w:val="00744128"/>
    <w:rsid w:val="00744B2A"/>
    <w:rsid w:val="007451A2"/>
    <w:rsid w:val="007455F0"/>
    <w:rsid w:val="007457BA"/>
    <w:rsid w:val="007467AE"/>
    <w:rsid w:val="00746D7E"/>
    <w:rsid w:val="00747377"/>
    <w:rsid w:val="007523A6"/>
    <w:rsid w:val="007523E9"/>
    <w:rsid w:val="007530D3"/>
    <w:rsid w:val="00753DC6"/>
    <w:rsid w:val="007556FA"/>
    <w:rsid w:val="00755703"/>
    <w:rsid w:val="00755BE2"/>
    <w:rsid w:val="007612AF"/>
    <w:rsid w:val="00761755"/>
    <w:rsid w:val="007620E7"/>
    <w:rsid w:val="007629A8"/>
    <w:rsid w:val="00764155"/>
    <w:rsid w:val="0076418D"/>
    <w:rsid w:val="00764C1D"/>
    <w:rsid w:val="00764D54"/>
    <w:rsid w:val="00764DE4"/>
    <w:rsid w:val="0077103C"/>
    <w:rsid w:val="00771F2D"/>
    <w:rsid w:val="0077336D"/>
    <w:rsid w:val="00774268"/>
    <w:rsid w:val="00774E48"/>
    <w:rsid w:val="00775ED3"/>
    <w:rsid w:val="0077680F"/>
    <w:rsid w:val="00776AF6"/>
    <w:rsid w:val="00776D6E"/>
    <w:rsid w:val="0077775D"/>
    <w:rsid w:val="00781984"/>
    <w:rsid w:val="0078228C"/>
    <w:rsid w:val="00782690"/>
    <w:rsid w:val="0078275D"/>
    <w:rsid w:val="007831DC"/>
    <w:rsid w:val="00784588"/>
    <w:rsid w:val="007848FD"/>
    <w:rsid w:val="0079128B"/>
    <w:rsid w:val="00791672"/>
    <w:rsid w:val="00792250"/>
    <w:rsid w:val="00792561"/>
    <w:rsid w:val="00793268"/>
    <w:rsid w:val="007954B5"/>
    <w:rsid w:val="00795FF0"/>
    <w:rsid w:val="007A1289"/>
    <w:rsid w:val="007A1393"/>
    <w:rsid w:val="007A1EAF"/>
    <w:rsid w:val="007A22F2"/>
    <w:rsid w:val="007A426A"/>
    <w:rsid w:val="007A432C"/>
    <w:rsid w:val="007A4875"/>
    <w:rsid w:val="007A4BF5"/>
    <w:rsid w:val="007A63A6"/>
    <w:rsid w:val="007A69B3"/>
    <w:rsid w:val="007A76FF"/>
    <w:rsid w:val="007A7CB3"/>
    <w:rsid w:val="007B083B"/>
    <w:rsid w:val="007B0D18"/>
    <w:rsid w:val="007B0DED"/>
    <w:rsid w:val="007B23F8"/>
    <w:rsid w:val="007B2F7D"/>
    <w:rsid w:val="007B32A4"/>
    <w:rsid w:val="007B3829"/>
    <w:rsid w:val="007B39FD"/>
    <w:rsid w:val="007B3BA7"/>
    <w:rsid w:val="007B4043"/>
    <w:rsid w:val="007B438F"/>
    <w:rsid w:val="007B480C"/>
    <w:rsid w:val="007B49BA"/>
    <w:rsid w:val="007B4DD9"/>
    <w:rsid w:val="007B5413"/>
    <w:rsid w:val="007B70E2"/>
    <w:rsid w:val="007B7AF3"/>
    <w:rsid w:val="007C0863"/>
    <w:rsid w:val="007C08DE"/>
    <w:rsid w:val="007C0946"/>
    <w:rsid w:val="007C12B6"/>
    <w:rsid w:val="007C22FB"/>
    <w:rsid w:val="007C2D80"/>
    <w:rsid w:val="007C40F1"/>
    <w:rsid w:val="007C5DB9"/>
    <w:rsid w:val="007D10DF"/>
    <w:rsid w:val="007D18E2"/>
    <w:rsid w:val="007D4619"/>
    <w:rsid w:val="007D4CCF"/>
    <w:rsid w:val="007D4F7A"/>
    <w:rsid w:val="007D5CB4"/>
    <w:rsid w:val="007D66BE"/>
    <w:rsid w:val="007D73F6"/>
    <w:rsid w:val="007D7BC2"/>
    <w:rsid w:val="007E0F95"/>
    <w:rsid w:val="007E2845"/>
    <w:rsid w:val="007E4A86"/>
    <w:rsid w:val="007E5269"/>
    <w:rsid w:val="007E6AB8"/>
    <w:rsid w:val="007E716E"/>
    <w:rsid w:val="007F148C"/>
    <w:rsid w:val="007F2243"/>
    <w:rsid w:val="007F294A"/>
    <w:rsid w:val="007F2A60"/>
    <w:rsid w:val="007F432D"/>
    <w:rsid w:val="007F47BD"/>
    <w:rsid w:val="007F5BE6"/>
    <w:rsid w:val="007F62AF"/>
    <w:rsid w:val="007F7956"/>
    <w:rsid w:val="007F7BE4"/>
    <w:rsid w:val="007F7DF9"/>
    <w:rsid w:val="0080239C"/>
    <w:rsid w:val="008025C9"/>
    <w:rsid w:val="00802EBB"/>
    <w:rsid w:val="00803655"/>
    <w:rsid w:val="00803990"/>
    <w:rsid w:val="00803EC8"/>
    <w:rsid w:val="008045E1"/>
    <w:rsid w:val="00804D43"/>
    <w:rsid w:val="008051B6"/>
    <w:rsid w:val="00805FBF"/>
    <w:rsid w:val="0081160F"/>
    <w:rsid w:val="00812C5C"/>
    <w:rsid w:val="008144DB"/>
    <w:rsid w:val="00814907"/>
    <w:rsid w:val="008149BC"/>
    <w:rsid w:val="00817473"/>
    <w:rsid w:val="008174D8"/>
    <w:rsid w:val="00817DCC"/>
    <w:rsid w:val="00817ED0"/>
    <w:rsid w:val="008203CF"/>
    <w:rsid w:val="00820C97"/>
    <w:rsid w:val="00821D7A"/>
    <w:rsid w:val="008234EA"/>
    <w:rsid w:val="00824480"/>
    <w:rsid w:val="00825321"/>
    <w:rsid w:val="00827F09"/>
    <w:rsid w:val="00827FC9"/>
    <w:rsid w:val="00831888"/>
    <w:rsid w:val="00831D37"/>
    <w:rsid w:val="00833ED7"/>
    <w:rsid w:val="00836002"/>
    <w:rsid w:val="008361FA"/>
    <w:rsid w:val="00836700"/>
    <w:rsid w:val="008368A1"/>
    <w:rsid w:val="00836A3A"/>
    <w:rsid w:val="00836FBA"/>
    <w:rsid w:val="0083786B"/>
    <w:rsid w:val="0084066F"/>
    <w:rsid w:val="00840DE6"/>
    <w:rsid w:val="008427FD"/>
    <w:rsid w:val="00842E33"/>
    <w:rsid w:val="008430FE"/>
    <w:rsid w:val="00843FCE"/>
    <w:rsid w:val="008443BA"/>
    <w:rsid w:val="008457D1"/>
    <w:rsid w:val="0084669F"/>
    <w:rsid w:val="00846A0D"/>
    <w:rsid w:val="00846F1B"/>
    <w:rsid w:val="008478CF"/>
    <w:rsid w:val="0085001D"/>
    <w:rsid w:val="00850A8B"/>
    <w:rsid w:val="00851A32"/>
    <w:rsid w:val="00851B6A"/>
    <w:rsid w:val="00851F99"/>
    <w:rsid w:val="00853851"/>
    <w:rsid w:val="00853AEB"/>
    <w:rsid w:val="00854859"/>
    <w:rsid w:val="008562F2"/>
    <w:rsid w:val="0086072C"/>
    <w:rsid w:val="00860DF8"/>
    <w:rsid w:val="00860FE2"/>
    <w:rsid w:val="008618D1"/>
    <w:rsid w:val="00862801"/>
    <w:rsid w:val="00862E37"/>
    <w:rsid w:val="00862EC0"/>
    <w:rsid w:val="00863077"/>
    <w:rsid w:val="0086324B"/>
    <w:rsid w:val="008642CF"/>
    <w:rsid w:val="00864459"/>
    <w:rsid w:val="00864E85"/>
    <w:rsid w:val="00865811"/>
    <w:rsid w:val="00866885"/>
    <w:rsid w:val="00867267"/>
    <w:rsid w:val="008702DD"/>
    <w:rsid w:val="00870701"/>
    <w:rsid w:val="00870D48"/>
    <w:rsid w:val="008716A8"/>
    <w:rsid w:val="0087381E"/>
    <w:rsid w:val="00874D03"/>
    <w:rsid w:val="00874E5C"/>
    <w:rsid w:val="008750B5"/>
    <w:rsid w:val="00881786"/>
    <w:rsid w:val="00881C29"/>
    <w:rsid w:val="00882872"/>
    <w:rsid w:val="00883215"/>
    <w:rsid w:val="00883797"/>
    <w:rsid w:val="008839BD"/>
    <w:rsid w:val="00883FCD"/>
    <w:rsid w:val="008863BD"/>
    <w:rsid w:val="00886A49"/>
    <w:rsid w:val="0088749C"/>
    <w:rsid w:val="008913D6"/>
    <w:rsid w:val="008926BB"/>
    <w:rsid w:val="00893224"/>
    <w:rsid w:val="00893C5D"/>
    <w:rsid w:val="00894318"/>
    <w:rsid w:val="00894610"/>
    <w:rsid w:val="00895E95"/>
    <w:rsid w:val="008969B8"/>
    <w:rsid w:val="008A098D"/>
    <w:rsid w:val="008A1AAA"/>
    <w:rsid w:val="008A225E"/>
    <w:rsid w:val="008A2556"/>
    <w:rsid w:val="008A4349"/>
    <w:rsid w:val="008A4740"/>
    <w:rsid w:val="008A6C20"/>
    <w:rsid w:val="008A792D"/>
    <w:rsid w:val="008B0F7F"/>
    <w:rsid w:val="008B346C"/>
    <w:rsid w:val="008B3575"/>
    <w:rsid w:val="008B435F"/>
    <w:rsid w:val="008C025F"/>
    <w:rsid w:val="008C0AFF"/>
    <w:rsid w:val="008C1FE8"/>
    <w:rsid w:val="008C356F"/>
    <w:rsid w:val="008C359E"/>
    <w:rsid w:val="008C4F5B"/>
    <w:rsid w:val="008C537D"/>
    <w:rsid w:val="008C6B71"/>
    <w:rsid w:val="008C6C37"/>
    <w:rsid w:val="008C7247"/>
    <w:rsid w:val="008C75E4"/>
    <w:rsid w:val="008C7797"/>
    <w:rsid w:val="008D23A3"/>
    <w:rsid w:val="008D3A04"/>
    <w:rsid w:val="008D3A1D"/>
    <w:rsid w:val="008D42AD"/>
    <w:rsid w:val="008D45A5"/>
    <w:rsid w:val="008D4BC0"/>
    <w:rsid w:val="008D5486"/>
    <w:rsid w:val="008D5ED4"/>
    <w:rsid w:val="008D6D71"/>
    <w:rsid w:val="008D78D6"/>
    <w:rsid w:val="008D7E42"/>
    <w:rsid w:val="008E03EA"/>
    <w:rsid w:val="008E0A62"/>
    <w:rsid w:val="008E0ADF"/>
    <w:rsid w:val="008E11A8"/>
    <w:rsid w:val="008E1D45"/>
    <w:rsid w:val="008E21E5"/>
    <w:rsid w:val="008E2623"/>
    <w:rsid w:val="008E3ED4"/>
    <w:rsid w:val="008E487A"/>
    <w:rsid w:val="008E5F06"/>
    <w:rsid w:val="008E6BEE"/>
    <w:rsid w:val="008E718F"/>
    <w:rsid w:val="008F0039"/>
    <w:rsid w:val="008F1244"/>
    <w:rsid w:val="008F161B"/>
    <w:rsid w:val="008F172A"/>
    <w:rsid w:val="008F2E6E"/>
    <w:rsid w:val="008F4881"/>
    <w:rsid w:val="008F4A6B"/>
    <w:rsid w:val="008F6843"/>
    <w:rsid w:val="008F7167"/>
    <w:rsid w:val="00900755"/>
    <w:rsid w:val="00900AF3"/>
    <w:rsid w:val="009012EC"/>
    <w:rsid w:val="009017C7"/>
    <w:rsid w:val="00903DFE"/>
    <w:rsid w:val="0090468E"/>
    <w:rsid w:val="009055DC"/>
    <w:rsid w:val="00905BF2"/>
    <w:rsid w:val="00907F4D"/>
    <w:rsid w:val="00911912"/>
    <w:rsid w:val="00911FBF"/>
    <w:rsid w:val="00912172"/>
    <w:rsid w:val="009126B8"/>
    <w:rsid w:val="009129E6"/>
    <w:rsid w:val="00914005"/>
    <w:rsid w:val="00914068"/>
    <w:rsid w:val="00914DCC"/>
    <w:rsid w:val="0091658A"/>
    <w:rsid w:val="0091674E"/>
    <w:rsid w:val="00920B75"/>
    <w:rsid w:val="009212BA"/>
    <w:rsid w:val="0092256E"/>
    <w:rsid w:val="00923737"/>
    <w:rsid w:val="00924117"/>
    <w:rsid w:val="00925748"/>
    <w:rsid w:val="00926E2C"/>
    <w:rsid w:val="009275E2"/>
    <w:rsid w:val="00930F73"/>
    <w:rsid w:val="00931C14"/>
    <w:rsid w:val="00932135"/>
    <w:rsid w:val="00932F49"/>
    <w:rsid w:val="009355F7"/>
    <w:rsid w:val="00935B93"/>
    <w:rsid w:val="00935ED1"/>
    <w:rsid w:val="00937F7D"/>
    <w:rsid w:val="00940319"/>
    <w:rsid w:val="0094082F"/>
    <w:rsid w:val="009414DF"/>
    <w:rsid w:val="00941E63"/>
    <w:rsid w:val="00943939"/>
    <w:rsid w:val="009439B5"/>
    <w:rsid w:val="0094483F"/>
    <w:rsid w:val="0094545E"/>
    <w:rsid w:val="00945DFE"/>
    <w:rsid w:val="00945FB5"/>
    <w:rsid w:val="00950A60"/>
    <w:rsid w:val="00950B9A"/>
    <w:rsid w:val="00951BEA"/>
    <w:rsid w:val="0095362B"/>
    <w:rsid w:val="00957BFB"/>
    <w:rsid w:val="00960C33"/>
    <w:rsid w:val="00960CA5"/>
    <w:rsid w:val="009613FD"/>
    <w:rsid w:val="0096250A"/>
    <w:rsid w:val="00963385"/>
    <w:rsid w:val="00963BE2"/>
    <w:rsid w:val="00964581"/>
    <w:rsid w:val="009651BC"/>
    <w:rsid w:val="0096555A"/>
    <w:rsid w:val="0096730C"/>
    <w:rsid w:val="0096778F"/>
    <w:rsid w:val="00970F44"/>
    <w:rsid w:val="00971D3A"/>
    <w:rsid w:val="009720DB"/>
    <w:rsid w:val="009725DC"/>
    <w:rsid w:val="009728A2"/>
    <w:rsid w:val="00973019"/>
    <w:rsid w:val="00973835"/>
    <w:rsid w:val="00974B7D"/>
    <w:rsid w:val="009758D7"/>
    <w:rsid w:val="00976EDA"/>
    <w:rsid w:val="0098085A"/>
    <w:rsid w:val="0098136E"/>
    <w:rsid w:val="00981570"/>
    <w:rsid w:val="00981896"/>
    <w:rsid w:val="0098290A"/>
    <w:rsid w:val="009836BC"/>
    <w:rsid w:val="00984014"/>
    <w:rsid w:val="009845C7"/>
    <w:rsid w:val="00984BF1"/>
    <w:rsid w:val="009851D1"/>
    <w:rsid w:val="00986EBF"/>
    <w:rsid w:val="009871D3"/>
    <w:rsid w:val="00987EDE"/>
    <w:rsid w:val="009906F7"/>
    <w:rsid w:val="00991A28"/>
    <w:rsid w:val="00991A40"/>
    <w:rsid w:val="00992616"/>
    <w:rsid w:val="0099269B"/>
    <w:rsid w:val="0099366A"/>
    <w:rsid w:val="009937E6"/>
    <w:rsid w:val="009943A4"/>
    <w:rsid w:val="00994B06"/>
    <w:rsid w:val="00995A81"/>
    <w:rsid w:val="0099646C"/>
    <w:rsid w:val="00997C71"/>
    <w:rsid w:val="009A1237"/>
    <w:rsid w:val="009A2277"/>
    <w:rsid w:val="009A300C"/>
    <w:rsid w:val="009A3074"/>
    <w:rsid w:val="009A46E2"/>
    <w:rsid w:val="009A527B"/>
    <w:rsid w:val="009A615D"/>
    <w:rsid w:val="009A7B3F"/>
    <w:rsid w:val="009B0184"/>
    <w:rsid w:val="009B023C"/>
    <w:rsid w:val="009B0DA3"/>
    <w:rsid w:val="009B1874"/>
    <w:rsid w:val="009B2C0B"/>
    <w:rsid w:val="009B32F8"/>
    <w:rsid w:val="009B3816"/>
    <w:rsid w:val="009B42BB"/>
    <w:rsid w:val="009B4B56"/>
    <w:rsid w:val="009B71E1"/>
    <w:rsid w:val="009B7E4F"/>
    <w:rsid w:val="009C1EE1"/>
    <w:rsid w:val="009C234B"/>
    <w:rsid w:val="009C375F"/>
    <w:rsid w:val="009C456E"/>
    <w:rsid w:val="009C54C8"/>
    <w:rsid w:val="009C7F5F"/>
    <w:rsid w:val="009D0617"/>
    <w:rsid w:val="009D143A"/>
    <w:rsid w:val="009D254B"/>
    <w:rsid w:val="009D31F4"/>
    <w:rsid w:val="009D6AF0"/>
    <w:rsid w:val="009D6EFF"/>
    <w:rsid w:val="009E1293"/>
    <w:rsid w:val="009E12AA"/>
    <w:rsid w:val="009E43A4"/>
    <w:rsid w:val="009E73C3"/>
    <w:rsid w:val="009E7E37"/>
    <w:rsid w:val="009F0199"/>
    <w:rsid w:val="009F02B3"/>
    <w:rsid w:val="009F2062"/>
    <w:rsid w:val="009F234B"/>
    <w:rsid w:val="009F6B8B"/>
    <w:rsid w:val="00A001B2"/>
    <w:rsid w:val="00A00266"/>
    <w:rsid w:val="00A02EFE"/>
    <w:rsid w:val="00A031CF"/>
    <w:rsid w:val="00A0337E"/>
    <w:rsid w:val="00A0353A"/>
    <w:rsid w:val="00A0404C"/>
    <w:rsid w:val="00A04E76"/>
    <w:rsid w:val="00A05D74"/>
    <w:rsid w:val="00A069C9"/>
    <w:rsid w:val="00A105EC"/>
    <w:rsid w:val="00A1124D"/>
    <w:rsid w:val="00A11BF1"/>
    <w:rsid w:val="00A13803"/>
    <w:rsid w:val="00A147D9"/>
    <w:rsid w:val="00A15A1C"/>
    <w:rsid w:val="00A1687E"/>
    <w:rsid w:val="00A17D7E"/>
    <w:rsid w:val="00A2054B"/>
    <w:rsid w:val="00A22BBA"/>
    <w:rsid w:val="00A22CDC"/>
    <w:rsid w:val="00A22D54"/>
    <w:rsid w:val="00A23C73"/>
    <w:rsid w:val="00A24E00"/>
    <w:rsid w:val="00A254C4"/>
    <w:rsid w:val="00A255C2"/>
    <w:rsid w:val="00A25753"/>
    <w:rsid w:val="00A25C0B"/>
    <w:rsid w:val="00A25C12"/>
    <w:rsid w:val="00A26E08"/>
    <w:rsid w:val="00A3067D"/>
    <w:rsid w:val="00A31282"/>
    <w:rsid w:val="00A32C53"/>
    <w:rsid w:val="00A342BD"/>
    <w:rsid w:val="00A350F3"/>
    <w:rsid w:val="00A364FE"/>
    <w:rsid w:val="00A36584"/>
    <w:rsid w:val="00A429A7"/>
    <w:rsid w:val="00A47167"/>
    <w:rsid w:val="00A5021C"/>
    <w:rsid w:val="00A50383"/>
    <w:rsid w:val="00A5064E"/>
    <w:rsid w:val="00A53803"/>
    <w:rsid w:val="00A55F1D"/>
    <w:rsid w:val="00A6011F"/>
    <w:rsid w:val="00A61863"/>
    <w:rsid w:val="00A61AFE"/>
    <w:rsid w:val="00A62DBE"/>
    <w:rsid w:val="00A62E8E"/>
    <w:rsid w:val="00A64254"/>
    <w:rsid w:val="00A6457A"/>
    <w:rsid w:val="00A646B4"/>
    <w:rsid w:val="00A65833"/>
    <w:rsid w:val="00A65EF6"/>
    <w:rsid w:val="00A66E08"/>
    <w:rsid w:val="00A67366"/>
    <w:rsid w:val="00A679F3"/>
    <w:rsid w:val="00A707BF"/>
    <w:rsid w:val="00A71896"/>
    <w:rsid w:val="00A72A7E"/>
    <w:rsid w:val="00A734D0"/>
    <w:rsid w:val="00A740E5"/>
    <w:rsid w:val="00A74D75"/>
    <w:rsid w:val="00A74F66"/>
    <w:rsid w:val="00A754CD"/>
    <w:rsid w:val="00A755BD"/>
    <w:rsid w:val="00A755F9"/>
    <w:rsid w:val="00A75648"/>
    <w:rsid w:val="00A76E6C"/>
    <w:rsid w:val="00A77CD6"/>
    <w:rsid w:val="00A80085"/>
    <w:rsid w:val="00A8649E"/>
    <w:rsid w:val="00A8685A"/>
    <w:rsid w:val="00A877F4"/>
    <w:rsid w:val="00A90B05"/>
    <w:rsid w:val="00A9104B"/>
    <w:rsid w:val="00A92D09"/>
    <w:rsid w:val="00A92F0B"/>
    <w:rsid w:val="00A972E6"/>
    <w:rsid w:val="00A97E50"/>
    <w:rsid w:val="00AA0295"/>
    <w:rsid w:val="00AA0F36"/>
    <w:rsid w:val="00AA1420"/>
    <w:rsid w:val="00AA2941"/>
    <w:rsid w:val="00AA2D53"/>
    <w:rsid w:val="00AA4F67"/>
    <w:rsid w:val="00AA6D3E"/>
    <w:rsid w:val="00AB136B"/>
    <w:rsid w:val="00AB1611"/>
    <w:rsid w:val="00AB2DAF"/>
    <w:rsid w:val="00AB2E83"/>
    <w:rsid w:val="00AB3065"/>
    <w:rsid w:val="00AB306A"/>
    <w:rsid w:val="00AB3725"/>
    <w:rsid w:val="00AB44D5"/>
    <w:rsid w:val="00AB4A0D"/>
    <w:rsid w:val="00AB6DD7"/>
    <w:rsid w:val="00AC1502"/>
    <w:rsid w:val="00AC2AF7"/>
    <w:rsid w:val="00AC3920"/>
    <w:rsid w:val="00AC3B53"/>
    <w:rsid w:val="00AC3BCF"/>
    <w:rsid w:val="00AC4FCF"/>
    <w:rsid w:val="00AC64BC"/>
    <w:rsid w:val="00AC6E08"/>
    <w:rsid w:val="00AC7684"/>
    <w:rsid w:val="00AC76E8"/>
    <w:rsid w:val="00AC7CE6"/>
    <w:rsid w:val="00AC7FAC"/>
    <w:rsid w:val="00AD0495"/>
    <w:rsid w:val="00AD24F5"/>
    <w:rsid w:val="00AD3BAE"/>
    <w:rsid w:val="00AD3FEC"/>
    <w:rsid w:val="00AD4581"/>
    <w:rsid w:val="00AD4910"/>
    <w:rsid w:val="00AD555F"/>
    <w:rsid w:val="00AD58F4"/>
    <w:rsid w:val="00AD638F"/>
    <w:rsid w:val="00AE2DD9"/>
    <w:rsid w:val="00AE3BA6"/>
    <w:rsid w:val="00AE455E"/>
    <w:rsid w:val="00AE4BDE"/>
    <w:rsid w:val="00AE5464"/>
    <w:rsid w:val="00AE61A1"/>
    <w:rsid w:val="00AE76CF"/>
    <w:rsid w:val="00AF05F3"/>
    <w:rsid w:val="00AF0918"/>
    <w:rsid w:val="00AF0CB2"/>
    <w:rsid w:val="00AF1251"/>
    <w:rsid w:val="00AF1814"/>
    <w:rsid w:val="00AF2123"/>
    <w:rsid w:val="00AF3094"/>
    <w:rsid w:val="00AF3311"/>
    <w:rsid w:val="00AF3D1A"/>
    <w:rsid w:val="00AF509B"/>
    <w:rsid w:val="00AF55B8"/>
    <w:rsid w:val="00AF5FCD"/>
    <w:rsid w:val="00AF7861"/>
    <w:rsid w:val="00B03A19"/>
    <w:rsid w:val="00B05504"/>
    <w:rsid w:val="00B06C8B"/>
    <w:rsid w:val="00B0769D"/>
    <w:rsid w:val="00B10202"/>
    <w:rsid w:val="00B10CA1"/>
    <w:rsid w:val="00B116C9"/>
    <w:rsid w:val="00B11892"/>
    <w:rsid w:val="00B118D4"/>
    <w:rsid w:val="00B11E90"/>
    <w:rsid w:val="00B13233"/>
    <w:rsid w:val="00B14647"/>
    <w:rsid w:val="00B20188"/>
    <w:rsid w:val="00B20FB8"/>
    <w:rsid w:val="00B21124"/>
    <w:rsid w:val="00B2118C"/>
    <w:rsid w:val="00B215CF"/>
    <w:rsid w:val="00B231D1"/>
    <w:rsid w:val="00B233ED"/>
    <w:rsid w:val="00B238E6"/>
    <w:rsid w:val="00B238E7"/>
    <w:rsid w:val="00B23D2A"/>
    <w:rsid w:val="00B24F59"/>
    <w:rsid w:val="00B2506D"/>
    <w:rsid w:val="00B25658"/>
    <w:rsid w:val="00B25996"/>
    <w:rsid w:val="00B31D92"/>
    <w:rsid w:val="00B33897"/>
    <w:rsid w:val="00B348BA"/>
    <w:rsid w:val="00B35838"/>
    <w:rsid w:val="00B36F4D"/>
    <w:rsid w:val="00B37E57"/>
    <w:rsid w:val="00B4018B"/>
    <w:rsid w:val="00B40B05"/>
    <w:rsid w:val="00B44913"/>
    <w:rsid w:val="00B45D41"/>
    <w:rsid w:val="00B45F27"/>
    <w:rsid w:val="00B46665"/>
    <w:rsid w:val="00B471FE"/>
    <w:rsid w:val="00B50902"/>
    <w:rsid w:val="00B544F3"/>
    <w:rsid w:val="00B55900"/>
    <w:rsid w:val="00B577CA"/>
    <w:rsid w:val="00B6025D"/>
    <w:rsid w:val="00B61B49"/>
    <w:rsid w:val="00B64D7D"/>
    <w:rsid w:val="00B65667"/>
    <w:rsid w:val="00B65E2C"/>
    <w:rsid w:val="00B66C27"/>
    <w:rsid w:val="00B674E8"/>
    <w:rsid w:val="00B70B3A"/>
    <w:rsid w:val="00B70EA8"/>
    <w:rsid w:val="00B72107"/>
    <w:rsid w:val="00B72A30"/>
    <w:rsid w:val="00B7303A"/>
    <w:rsid w:val="00B73223"/>
    <w:rsid w:val="00B73F6F"/>
    <w:rsid w:val="00B755EB"/>
    <w:rsid w:val="00B76393"/>
    <w:rsid w:val="00B76412"/>
    <w:rsid w:val="00B76D92"/>
    <w:rsid w:val="00B77F5E"/>
    <w:rsid w:val="00B80FFE"/>
    <w:rsid w:val="00B811F9"/>
    <w:rsid w:val="00B81295"/>
    <w:rsid w:val="00B8148A"/>
    <w:rsid w:val="00B81E4E"/>
    <w:rsid w:val="00B82B89"/>
    <w:rsid w:val="00B834A3"/>
    <w:rsid w:val="00B8420B"/>
    <w:rsid w:val="00B84D69"/>
    <w:rsid w:val="00B937F2"/>
    <w:rsid w:val="00B93F8F"/>
    <w:rsid w:val="00B94450"/>
    <w:rsid w:val="00B95F8E"/>
    <w:rsid w:val="00B9619B"/>
    <w:rsid w:val="00B9677F"/>
    <w:rsid w:val="00B96B58"/>
    <w:rsid w:val="00BA0BF2"/>
    <w:rsid w:val="00BA17F4"/>
    <w:rsid w:val="00BA1BCA"/>
    <w:rsid w:val="00BA1C2F"/>
    <w:rsid w:val="00BA282D"/>
    <w:rsid w:val="00BA4360"/>
    <w:rsid w:val="00BA4999"/>
    <w:rsid w:val="00BB04E8"/>
    <w:rsid w:val="00BB06E9"/>
    <w:rsid w:val="00BB2D6F"/>
    <w:rsid w:val="00BB3C61"/>
    <w:rsid w:val="00BB4B97"/>
    <w:rsid w:val="00BB6593"/>
    <w:rsid w:val="00BB719D"/>
    <w:rsid w:val="00BC6E81"/>
    <w:rsid w:val="00BC785D"/>
    <w:rsid w:val="00BC7F16"/>
    <w:rsid w:val="00BD0A09"/>
    <w:rsid w:val="00BD1970"/>
    <w:rsid w:val="00BD46B2"/>
    <w:rsid w:val="00BD4AB9"/>
    <w:rsid w:val="00BD4E83"/>
    <w:rsid w:val="00BD59EC"/>
    <w:rsid w:val="00BD6D4F"/>
    <w:rsid w:val="00BE05C1"/>
    <w:rsid w:val="00BE42CF"/>
    <w:rsid w:val="00BE4D39"/>
    <w:rsid w:val="00BE675D"/>
    <w:rsid w:val="00BE7BD5"/>
    <w:rsid w:val="00BF2625"/>
    <w:rsid w:val="00BF3D39"/>
    <w:rsid w:val="00BF518A"/>
    <w:rsid w:val="00BF53F6"/>
    <w:rsid w:val="00BF5745"/>
    <w:rsid w:val="00BF5E8C"/>
    <w:rsid w:val="00BF6735"/>
    <w:rsid w:val="00BF7DBA"/>
    <w:rsid w:val="00C01808"/>
    <w:rsid w:val="00C01818"/>
    <w:rsid w:val="00C02332"/>
    <w:rsid w:val="00C02D90"/>
    <w:rsid w:val="00C036FE"/>
    <w:rsid w:val="00C0371F"/>
    <w:rsid w:val="00C03835"/>
    <w:rsid w:val="00C045A5"/>
    <w:rsid w:val="00C0648B"/>
    <w:rsid w:val="00C079FA"/>
    <w:rsid w:val="00C10716"/>
    <w:rsid w:val="00C11841"/>
    <w:rsid w:val="00C125A4"/>
    <w:rsid w:val="00C13F99"/>
    <w:rsid w:val="00C14973"/>
    <w:rsid w:val="00C14B41"/>
    <w:rsid w:val="00C167E7"/>
    <w:rsid w:val="00C169FC"/>
    <w:rsid w:val="00C16D70"/>
    <w:rsid w:val="00C20025"/>
    <w:rsid w:val="00C20EC2"/>
    <w:rsid w:val="00C23317"/>
    <w:rsid w:val="00C2378F"/>
    <w:rsid w:val="00C237C7"/>
    <w:rsid w:val="00C24A07"/>
    <w:rsid w:val="00C24CAE"/>
    <w:rsid w:val="00C250B8"/>
    <w:rsid w:val="00C274BD"/>
    <w:rsid w:val="00C27D6F"/>
    <w:rsid w:val="00C27DE4"/>
    <w:rsid w:val="00C305CF"/>
    <w:rsid w:val="00C305EE"/>
    <w:rsid w:val="00C30689"/>
    <w:rsid w:val="00C306CF"/>
    <w:rsid w:val="00C31B55"/>
    <w:rsid w:val="00C34699"/>
    <w:rsid w:val="00C348D9"/>
    <w:rsid w:val="00C34C61"/>
    <w:rsid w:val="00C35AE1"/>
    <w:rsid w:val="00C36827"/>
    <w:rsid w:val="00C37D7E"/>
    <w:rsid w:val="00C417B4"/>
    <w:rsid w:val="00C419AE"/>
    <w:rsid w:val="00C41ADD"/>
    <w:rsid w:val="00C42DBC"/>
    <w:rsid w:val="00C42E2D"/>
    <w:rsid w:val="00C43126"/>
    <w:rsid w:val="00C45A19"/>
    <w:rsid w:val="00C50612"/>
    <w:rsid w:val="00C513DF"/>
    <w:rsid w:val="00C51567"/>
    <w:rsid w:val="00C524EE"/>
    <w:rsid w:val="00C532AE"/>
    <w:rsid w:val="00C554D6"/>
    <w:rsid w:val="00C55DD9"/>
    <w:rsid w:val="00C56935"/>
    <w:rsid w:val="00C60B4F"/>
    <w:rsid w:val="00C61ED2"/>
    <w:rsid w:val="00C629BF"/>
    <w:rsid w:val="00C6332D"/>
    <w:rsid w:val="00C64310"/>
    <w:rsid w:val="00C66465"/>
    <w:rsid w:val="00C66A30"/>
    <w:rsid w:val="00C74013"/>
    <w:rsid w:val="00C75573"/>
    <w:rsid w:val="00C7559B"/>
    <w:rsid w:val="00C75D0B"/>
    <w:rsid w:val="00C76473"/>
    <w:rsid w:val="00C775E7"/>
    <w:rsid w:val="00C77E90"/>
    <w:rsid w:val="00C81EC4"/>
    <w:rsid w:val="00C82058"/>
    <w:rsid w:val="00C8380D"/>
    <w:rsid w:val="00C851CC"/>
    <w:rsid w:val="00C86B4E"/>
    <w:rsid w:val="00C906E9"/>
    <w:rsid w:val="00C918ED"/>
    <w:rsid w:val="00C92C3B"/>
    <w:rsid w:val="00C93542"/>
    <w:rsid w:val="00C94533"/>
    <w:rsid w:val="00C94CE1"/>
    <w:rsid w:val="00C96220"/>
    <w:rsid w:val="00C96BBB"/>
    <w:rsid w:val="00C97C33"/>
    <w:rsid w:val="00CA1B3C"/>
    <w:rsid w:val="00CA2A33"/>
    <w:rsid w:val="00CA2BE7"/>
    <w:rsid w:val="00CA35CD"/>
    <w:rsid w:val="00CA5598"/>
    <w:rsid w:val="00CA58A3"/>
    <w:rsid w:val="00CA77C2"/>
    <w:rsid w:val="00CA7E02"/>
    <w:rsid w:val="00CB0276"/>
    <w:rsid w:val="00CB0B08"/>
    <w:rsid w:val="00CB1653"/>
    <w:rsid w:val="00CB30CC"/>
    <w:rsid w:val="00CB44D1"/>
    <w:rsid w:val="00CB4DAB"/>
    <w:rsid w:val="00CB5749"/>
    <w:rsid w:val="00CB6421"/>
    <w:rsid w:val="00CB6437"/>
    <w:rsid w:val="00CB6CC9"/>
    <w:rsid w:val="00CC073C"/>
    <w:rsid w:val="00CC0CE8"/>
    <w:rsid w:val="00CC0E36"/>
    <w:rsid w:val="00CC104F"/>
    <w:rsid w:val="00CC1F33"/>
    <w:rsid w:val="00CC3177"/>
    <w:rsid w:val="00CC3573"/>
    <w:rsid w:val="00CC5AAC"/>
    <w:rsid w:val="00CC6FFC"/>
    <w:rsid w:val="00CD1612"/>
    <w:rsid w:val="00CD215D"/>
    <w:rsid w:val="00CD3755"/>
    <w:rsid w:val="00CD3890"/>
    <w:rsid w:val="00CD685C"/>
    <w:rsid w:val="00CD78AD"/>
    <w:rsid w:val="00CE2CF5"/>
    <w:rsid w:val="00CE2D0B"/>
    <w:rsid w:val="00CE329F"/>
    <w:rsid w:val="00CE384E"/>
    <w:rsid w:val="00CE6820"/>
    <w:rsid w:val="00CE6E5F"/>
    <w:rsid w:val="00CF0F53"/>
    <w:rsid w:val="00CF148D"/>
    <w:rsid w:val="00CF1542"/>
    <w:rsid w:val="00CF3027"/>
    <w:rsid w:val="00CF4F5F"/>
    <w:rsid w:val="00CF5772"/>
    <w:rsid w:val="00CF6347"/>
    <w:rsid w:val="00CF64C0"/>
    <w:rsid w:val="00CF670E"/>
    <w:rsid w:val="00CF6AFF"/>
    <w:rsid w:val="00D01551"/>
    <w:rsid w:val="00D0158C"/>
    <w:rsid w:val="00D0162E"/>
    <w:rsid w:val="00D026CE"/>
    <w:rsid w:val="00D038F3"/>
    <w:rsid w:val="00D0506F"/>
    <w:rsid w:val="00D073BE"/>
    <w:rsid w:val="00D10E20"/>
    <w:rsid w:val="00D11FE7"/>
    <w:rsid w:val="00D12261"/>
    <w:rsid w:val="00D12543"/>
    <w:rsid w:val="00D12755"/>
    <w:rsid w:val="00D13144"/>
    <w:rsid w:val="00D13656"/>
    <w:rsid w:val="00D14317"/>
    <w:rsid w:val="00D15942"/>
    <w:rsid w:val="00D15980"/>
    <w:rsid w:val="00D16459"/>
    <w:rsid w:val="00D16E6A"/>
    <w:rsid w:val="00D16FBA"/>
    <w:rsid w:val="00D17A60"/>
    <w:rsid w:val="00D17C41"/>
    <w:rsid w:val="00D21135"/>
    <w:rsid w:val="00D21302"/>
    <w:rsid w:val="00D24DB8"/>
    <w:rsid w:val="00D253A8"/>
    <w:rsid w:val="00D2540E"/>
    <w:rsid w:val="00D26231"/>
    <w:rsid w:val="00D26856"/>
    <w:rsid w:val="00D2687E"/>
    <w:rsid w:val="00D302BC"/>
    <w:rsid w:val="00D31560"/>
    <w:rsid w:val="00D3259B"/>
    <w:rsid w:val="00D332FC"/>
    <w:rsid w:val="00D3341C"/>
    <w:rsid w:val="00D34D53"/>
    <w:rsid w:val="00D35296"/>
    <w:rsid w:val="00D36C50"/>
    <w:rsid w:val="00D36C90"/>
    <w:rsid w:val="00D40E1F"/>
    <w:rsid w:val="00D417D6"/>
    <w:rsid w:val="00D42C36"/>
    <w:rsid w:val="00D43B26"/>
    <w:rsid w:val="00D44333"/>
    <w:rsid w:val="00D45BBE"/>
    <w:rsid w:val="00D45C2E"/>
    <w:rsid w:val="00D46AC8"/>
    <w:rsid w:val="00D4720F"/>
    <w:rsid w:val="00D524D0"/>
    <w:rsid w:val="00D52F71"/>
    <w:rsid w:val="00D53909"/>
    <w:rsid w:val="00D54F84"/>
    <w:rsid w:val="00D554FD"/>
    <w:rsid w:val="00D55A66"/>
    <w:rsid w:val="00D564BE"/>
    <w:rsid w:val="00D56EC3"/>
    <w:rsid w:val="00D56F7F"/>
    <w:rsid w:val="00D62A8E"/>
    <w:rsid w:val="00D63563"/>
    <w:rsid w:val="00D65498"/>
    <w:rsid w:val="00D66EB0"/>
    <w:rsid w:val="00D71CFB"/>
    <w:rsid w:val="00D7250E"/>
    <w:rsid w:val="00D72EBF"/>
    <w:rsid w:val="00D733E8"/>
    <w:rsid w:val="00D73D33"/>
    <w:rsid w:val="00D75090"/>
    <w:rsid w:val="00D7588E"/>
    <w:rsid w:val="00D762D2"/>
    <w:rsid w:val="00D77869"/>
    <w:rsid w:val="00D8073C"/>
    <w:rsid w:val="00D80B4C"/>
    <w:rsid w:val="00D80CC4"/>
    <w:rsid w:val="00D82EE5"/>
    <w:rsid w:val="00D854F7"/>
    <w:rsid w:val="00D875CF"/>
    <w:rsid w:val="00D940FE"/>
    <w:rsid w:val="00D94DD2"/>
    <w:rsid w:val="00D94FDF"/>
    <w:rsid w:val="00D95B25"/>
    <w:rsid w:val="00D962D2"/>
    <w:rsid w:val="00D96426"/>
    <w:rsid w:val="00D96613"/>
    <w:rsid w:val="00DA0368"/>
    <w:rsid w:val="00DA1015"/>
    <w:rsid w:val="00DA195A"/>
    <w:rsid w:val="00DA2896"/>
    <w:rsid w:val="00DA4E39"/>
    <w:rsid w:val="00DA6755"/>
    <w:rsid w:val="00DA7715"/>
    <w:rsid w:val="00DA7E41"/>
    <w:rsid w:val="00DB00E5"/>
    <w:rsid w:val="00DB0263"/>
    <w:rsid w:val="00DB027D"/>
    <w:rsid w:val="00DB16DE"/>
    <w:rsid w:val="00DB217E"/>
    <w:rsid w:val="00DB32FA"/>
    <w:rsid w:val="00DB3EDE"/>
    <w:rsid w:val="00DB4B6E"/>
    <w:rsid w:val="00DB4F97"/>
    <w:rsid w:val="00DB5DBD"/>
    <w:rsid w:val="00DB624C"/>
    <w:rsid w:val="00DB641E"/>
    <w:rsid w:val="00DB7529"/>
    <w:rsid w:val="00DC0640"/>
    <w:rsid w:val="00DC06F8"/>
    <w:rsid w:val="00DC0806"/>
    <w:rsid w:val="00DC0957"/>
    <w:rsid w:val="00DC09BF"/>
    <w:rsid w:val="00DC2B2F"/>
    <w:rsid w:val="00DC2DC3"/>
    <w:rsid w:val="00DC6675"/>
    <w:rsid w:val="00DC777F"/>
    <w:rsid w:val="00DC77F6"/>
    <w:rsid w:val="00DD22E7"/>
    <w:rsid w:val="00DD341D"/>
    <w:rsid w:val="00DD4E06"/>
    <w:rsid w:val="00DD6CB3"/>
    <w:rsid w:val="00DD72ED"/>
    <w:rsid w:val="00DE02BA"/>
    <w:rsid w:val="00DE08B8"/>
    <w:rsid w:val="00DE0E26"/>
    <w:rsid w:val="00DE1140"/>
    <w:rsid w:val="00DE4A72"/>
    <w:rsid w:val="00DE580A"/>
    <w:rsid w:val="00DE658E"/>
    <w:rsid w:val="00DE65C3"/>
    <w:rsid w:val="00DF3240"/>
    <w:rsid w:val="00DF435E"/>
    <w:rsid w:val="00DF6189"/>
    <w:rsid w:val="00E000D1"/>
    <w:rsid w:val="00E01787"/>
    <w:rsid w:val="00E03887"/>
    <w:rsid w:val="00E03DED"/>
    <w:rsid w:val="00E04B35"/>
    <w:rsid w:val="00E10F2D"/>
    <w:rsid w:val="00E11D52"/>
    <w:rsid w:val="00E13545"/>
    <w:rsid w:val="00E13F84"/>
    <w:rsid w:val="00E14B4E"/>
    <w:rsid w:val="00E14D66"/>
    <w:rsid w:val="00E1521A"/>
    <w:rsid w:val="00E15B47"/>
    <w:rsid w:val="00E16BE8"/>
    <w:rsid w:val="00E17229"/>
    <w:rsid w:val="00E21D5F"/>
    <w:rsid w:val="00E2239F"/>
    <w:rsid w:val="00E24580"/>
    <w:rsid w:val="00E24EAE"/>
    <w:rsid w:val="00E24F55"/>
    <w:rsid w:val="00E272E3"/>
    <w:rsid w:val="00E30068"/>
    <w:rsid w:val="00E30297"/>
    <w:rsid w:val="00E30D5A"/>
    <w:rsid w:val="00E30E6D"/>
    <w:rsid w:val="00E314C7"/>
    <w:rsid w:val="00E32517"/>
    <w:rsid w:val="00E33761"/>
    <w:rsid w:val="00E33796"/>
    <w:rsid w:val="00E33C64"/>
    <w:rsid w:val="00E34467"/>
    <w:rsid w:val="00E370E2"/>
    <w:rsid w:val="00E418A8"/>
    <w:rsid w:val="00E421AB"/>
    <w:rsid w:val="00E44A28"/>
    <w:rsid w:val="00E4572B"/>
    <w:rsid w:val="00E46902"/>
    <w:rsid w:val="00E47C52"/>
    <w:rsid w:val="00E53D78"/>
    <w:rsid w:val="00E54D0B"/>
    <w:rsid w:val="00E62BCD"/>
    <w:rsid w:val="00E634FA"/>
    <w:rsid w:val="00E63C8B"/>
    <w:rsid w:val="00E63F80"/>
    <w:rsid w:val="00E64D02"/>
    <w:rsid w:val="00E65595"/>
    <w:rsid w:val="00E65F16"/>
    <w:rsid w:val="00E66A18"/>
    <w:rsid w:val="00E67307"/>
    <w:rsid w:val="00E700B6"/>
    <w:rsid w:val="00E70A29"/>
    <w:rsid w:val="00E70DFB"/>
    <w:rsid w:val="00E71322"/>
    <w:rsid w:val="00E71617"/>
    <w:rsid w:val="00E7162C"/>
    <w:rsid w:val="00E73225"/>
    <w:rsid w:val="00E736A5"/>
    <w:rsid w:val="00E73BD1"/>
    <w:rsid w:val="00E766DA"/>
    <w:rsid w:val="00E769B9"/>
    <w:rsid w:val="00E76C3D"/>
    <w:rsid w:val="00E776D6"/>
    <w:rsid w:val="00E77DC1"/>
    <w:rsid w:val="00E80469"/>
    <w:rsid w:val="00E80BB2"/>
    <w:rsid w:val="00E81483"/>
    <w:rsid w:val="00E817F5"/>
    <w:rsid w:val="00E81B58"/>
    <w:rsid w:val="00E82A2E"/>
    <w:rsid w:val="00E82BD2"/>
    <w:rsid w:val="00E85B42"/>
    <w:rsid w:val="00E8794A"/>
    <w:rsid w:val="00E9043D"/>
    <w:rsid w:val="00E90931"/>
    <w:rsid w:val="00E940E1"/>
    <w:rsid w:val="00E9462D"/>
    <w:rsid w:val="00E9476D"/>
    <w:rsid w:val="00E94F3C"/>
    <w:rsid w:val="00E96C1C"/>
    <w:rsid w:val="00EA0438"/>
    <w:rsid w:val="00EA1CF7"/>
    <w:rsid w:val="00EA2199"/>
    <w:rsid w:val="00EA3237"/>
    <w:rsid w:val="00EA6750"/>
    <w:rsid w:val="00EA7AE6"/>
    <w:rsid w:val="00EB44A0"/>
    <w:rsid w:val="00EB50A9"/>
    <w:rsid w:val="00EB6191"/>
    <w:rsid w:val="00EB7520"/>
    <w:rsid w:val="00EC0B47"/>
    <w:rsid w:val="00EC17B6"/>
    <w:rsid w:val="00EC1FAE"/>
    <w:rsid w:val="00EC2236"/>
    <w:rsid w:val="00EC277E"/>
    <w:rsid w:val="00EC352D"/>
    <w:rsid w:val="00EC3E8D"/>
    <w:rsid w:val="00EC4AB2"/>
    <w:rsid w:val="00EC506B"/>
    <w:rsid w:val="00EC5862"/>
    <w:rsid w:val="00EC5FD6"/>
    <w:rsid w:val="00ED1E98"/>
    <w:rsid w:val="00ED3B35"/>
    <w:rsid w:val="00ED6B08"/>
    <w:rsid w:val="00ED7691"/>
    <w:rsid w:val="00EE167D"/>
    <w:rsid w:val="00EE1A01"/>
    <w:rsid w:val="00EE20F7"/>
    <w:rsid w:val="00EE3939"/>
    <w:rsid w:val="00EE425B"/>
    <w:rsid w:val="00EE7B9A"/>
    <w:rsid w:val="00EF2D34"/>
    <w:rsid w:val="00EF3204"/>
    <w:rsid w:val="00EF6063"/>
    <w:rsid w:val="00F00D5B"/>
    <w:rsid w:val="00F02CCD"/>
    <w:rsid w:val="00F037B6"/>
    <w:rsid w:val="00F04BA9"/>
    <w:rsid w:val="00F0625A"/>
    <w:rsid w:val="00F065C5"/>
    <w:rsid w:val="00F0667C"/>
    <w:rsid w:val="00F07754"/>
    <w:rsid w:val="00F11E13"/>
    <w:rsid w:val="00F13266"/>
    <w:rsid w:val="00F15D47"/>
    <w:rsid w:val="00F17314"/>
    <w:rsid w:val="00F200E9"/>
    <w:rsid w:val="00F23B60"/>
    <w:rsid w:val="00F24F96"/>
    <w:rsid w:val="00F26F82"/>
    <w:rsid w:val="00F3330B"/>
    <w:rsid w:val="00F3333F"/>
    <w:rsid w:val="00F33A21"/>
    <w:rsid w:val="00F33B70"/>
    <w:rsid w:val="00F33E50"/>
    <w:rsid w:val="00F35A7D"/>
    <w:rsid w:val="00F36873"/>
    <w:rsid w:val="00F40CF9"/>
    <w:rsid w:val="00F41A0B"/>
    <w:rsid w:val="00F43263"/>
    <w:rsid w:val="00F43657"/>
    <w:rsid w:val="00F44092"/>
    <w:rsid w:val="00F44472"/>
    <w:rsid w:val="00F47405"/>
    <w:rsid w:val="00F5096F"/>
    <w:rsid w:val="00F50F01"/>
    <w:rsid w:val="00F51C24"/>
    <w:rsid w:val="00F528E1"/>
    <w:rsid w:val="00F53128"/>
    <w:rsid w:val="00F54A25"/>
    <w:rsid w:val="00F5507A"/>
    <w:rsid w:val="00F56A59"/>
    <w:rsid w:val="00F60A58"/>
    <w:rsid w:val="00F626DC"/>
    <w:rsid w:val="00F62A0B"/>
    <w:rsid w:val="00F63ABE"/>
    <w:rsid w:val="00F67DF3"/>
    <w:rsid w:val="00F70121"/>
    <w:rsid w:val="00F72113"/>
    <w:rsid w:val="00F72E30"/>
    <w:rsid w:val="00F737A3"/>
    <w:rsid w:val="00F73FE7"/>
    <w:rsid w:val="00F74BB8"/>
    <w:rsid w:val="00F7576E"/>
    <w:rsid w:val="00F761FF"/>
    <w:rsid w:val="00F776F0"/>
    <w:rsid w:val="00F7784A"/>
    <w:rsid w:val="00F8217A"/>
    <w:rsid w:val="00F8543A"/>
    <w:rsid w:val="00F85C41"/>
    <w:rsid w:val="00F8658C"/>
    <w:rsid w:val="00F90CD5"/>
    <w:rsid w:val="00F91911"/>
    <w:rsid w:val="00F92121"/>
    <w:rsid w:val="00F94B81"/>
    <w:rsid w:val="00F96140"/>
    <w:rsid w:val="00F97758"/>
    <w:rsid w:val="00FA05D9"/>
    <w:rsid w:val="00FA0E2F"/>
    <w:rsid w:val="00FA18D1"/>
    <w:rsid w:val="00FA198B"/>
    <w:rsid w:val="00FA220A"/>
    <w:rsid w:val="00FA2833"/>
    <w:rsid w:val="00FA5297"/>
    <w:rsid w:val="00FA787F"/>
    <w:rsid w:val="00FA7A3D"/>
    <w:rsid w:val="00FA7FD3"/>
    <w:rsid w:val="00FB01AA"/>
    <w:rsid w:val="00FB0621"/>
    <w:rsid w:val="00FB2FBC"/>
    <w:rsid w:val="00FB43B6"/>
    <w:rsid w:val="00FB4A40"/>
    <w:rsid w:val="00FB508B"/>
    <w:rsid w:val="00FB61EB"/>
    <w:rsid w:val="00FC121D"/>
    <w:rsid w:val="00FC237D"/>
    <w:rsid w:val="00FC578C"/>
    <w:rsid w:val="00FC5F7D"/>
    <w:rsid w:val="00FD123D"/>
    <w:rsid w:val="00FD32DA"/>
    <w:rsid w:val="00FD405A"/>
    <w:rsid w:val="00FD4494"/>
    <w:rsid w:val="00FD5ED1"/>
    <w:rsid w:val="00FD6BF1"/>
    <w:rsid w:val="00FD79BE"/>
    <w:rsid w:val="00FE0ABE"/>
    <w:rsid w:val="00FE0E96"/>
    <w:rsid w:val="00FE220F"/>
    <w:rsid w:val="00FE430B"/>
    <w:rsid w:val="00FE6F01"/>
    <w:rsid w:val="00FE745B"/>
    <w:rsid w:val="00FF0021"/>
    <w:rsid w:val="00FF05F9"/>
    <w:rsid w:val="00FF1233"/>
    <w:rsid w:val="00FF1595"/>
    <w:rsid w:val="00FF1710"/>
    <w:rsid w:val="00FF31BD"/>
    <w:rsid w:val="00FF3775"/>
    <w:rsid w:val="00FF377E"/>
    <w:rsid w:val="00FF3CD7"/>
    <w:rsid w:val="00FF4990"/>
    <w:rsid w:val="00FF6387"/>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5C"/>
    <w:pPr>
      <w:tabs>
        <w:tab w:val="left" w:pos="1152"/>
      </w:tabs>
      <w:spacing w:line="360" w:lineRule="atLeast"/>
    </w:pPr>
    <w:rPr>
      <w:color w:val="000000" w:themeColor="text1"/>
      <w:sz w:val="22"/>
      <w:szCs w:val="22"/>
    </w:rPr>
  </w:style>
  <w:style w:type="paragraph" w:styleId="Heading1">
    <w:name w:val="heading 1"/>
    <w:aliases w:val="H1-Chap. Head"/>
    <w:basedOn w:val="Normal"/>
    <w:link w:val="Heading1Char"/>
    <w:uiPriority w:val="9"/>
    <w:qFormat/>
    <w:rsid w:val="0006754B"/>
    <w:pPr>
      <w:keepNext/>
      <w:spacing w:before="240" w:after="120" w:line="276" w:lineRule="auto"/>
      <w:jc w:val="right"/>
      <w:outlineLvl w:val="0"/>
    </w:pPr>
    <w:rPr>
      <w:b/>
      <w:color w:val="324162"/>
      <w:sz w:val="40"/>
    </w:rPr>
  </w:style>
  <w:style w:type="paragraph" w:styleId="Heading2">
    <w:name w:val="heading 2"/>
    <w:aliases w:val="H2-Sec. Head"/>
    <w:basedOn w:val="Heading1"/>
    <w:next w:val="P1-StandPara"/>
    <w:link w:val="Heading2Char"/>
    <w:uiPriority w:val="9"/>
    <w:qFormat/>
    <w:rsid w:val="0006754B"/>
    <w:pPr>
      <w:ind w:left="1152" w:hanging="1152"/>
      <w:jc w:val="left"/>
      <w:outlineLvl w:val="1"/>
    </w:pPr>
    <w:rPr>
      <w:sz w:val="22"/>
    </w:rPr>
  </w:style>
  <w:style w:type="paragraph" w:styleId="Heading3">
    <w:name w:val="heading 3"/>
    <w:aliases w:val="H3-Sec. Head"/>
    <w:basedOn w:val="Heading1"/>
    <w:next w:val="P1-StandPara"/>
    <w:link w:val="Heading3Char"/>
    <w:uiPriority w:val="9"/>
    <w:qFormat/>
    <w:rsid w:val="0006754B"/>
    <w:pPr>
      <w:ind w:left="1152" w:hanging="1152"/>
      <w:jc w:val="left"/>
      <w:outlineLvl w:val="2"/>
    </w:pPr>
    <w:rPr>
      <w:sz w:val="22"/>
    </w:rPr>
  </w:style>
  <w:style w:type="paragraph" w:styleId="Heading4">
    <w:name w:val="heading 4"/>
    <w:aliases w:val="H4-Sec. Head"/>
    <w:basedOn w:val="Heading1"/>
    <w:next w:val="P1-StandPara"/>
    <w:link w:val="Heading4Char"/>
    <w:uiPriority w:val="9"/>
    <w:qFormat/>
    <w:rsid w:val="00C0371F"/>
    <w:pPr>
      <w:spacing w:after="360"/>
      <w:ind w:left="1152" w:hanging="1152"/>
      <w:jc w:val="left"/>
      <w:outlineLvl w:val="3"/>
    </w:pPr>
    <w:rPr>
      <w:color w:val="000000" w:themeColor="text1"/>
      <w:sz w:val="22"/>
    </w:rPr>
  </w:style>
  <w:style w:type="paragraph" w:styleId="Heading5">
    <w:name w:val="heading 5"/>
    <w:aliases w:val="H5-Sec. Head"/>
    <w:basedOn w:val="Heading1"/>
    <w:next w:val="P1-StandPara"/>
    <w:link w:val="Heading5Char"/>
    <w:uiPriority w:val="9"/>
    <w:qFormat/>
    <w:rsid w:val="0006754B"/>
    <w:pPr>
      <w:keepLines/>
      <w:ind w:left="1152" w:hanging="1152"/>
      <w:jc w:val="left"/>
      <w:outlineLvl w:val="4"/>
    </w:pPr>
    <w:rPr>
      <w:sz w:val="22"/>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D1612"/>
    <w:pPr>
      <w:keepNext/>
      <w:spacing w:after="720" w:line="240" w:lineRule="atLeast"/>
      <w:jc w:val="center"/>
    </w:pPr>
    <w:rPr>
      <w:b/>
      <w:color w:val="000000" w:themeColor="text1"/>
      <w:sz w:val="22"/>
      <w:szCs w:val="22"/>
    </w:rPr>
  </w:style>
  <w:style w:type="paragraph" w:customStyle="1" w:styleId="C2-CtrSglSp">
    <w:name w:val="C2-Ctr Sgl Sp"/>
    <w:basedOn w:val="Normal"/>
    <w:rsid w:val="00CD1612"/>
    <w:pPr>
      <w:keepLines/>
      <w:jc w:val="center"/>
    </w:pPr>
  </w:style>
  <w:style w:type="paragraph" w:customStyle="1" w:styleId="C3-CtrSp12">
    <w:name w:val="C3-Ctr Sp&amp;1/2"/>
    <w:basedOn w:val="Normal"/>
    <w:rsid w:val="00CD1612"/>
    <w:pPr>
      <w:keepLines/>
      <w:jc w:val="center"/>
    </w:pPr>
  </w:style>
  <w:style w:type="paragraph" w:customStyle="1" w:styleId="E1-Equation">
    <w:name w:val="E1-Equation"/>
    <w:basedOn w:val="Normal"/>
    <w:rsid w:val="00CD1612"/>
    <w:pPr>
      <w:tabs>
        <w:tab w:val="center" w:pos="4680"/>
        <w:tab w:val="right" w:pos="9360"/>
      </w:tabs>
    </w:pPr>
  </w:style>
  <w:style w:type="paragraph" w:customStyle="1" w:styleId="E2-Equation">
    <w:name w:val="E2-Equation"/>
    <w:basedOn w:val="Normal"/>
    <w:rsid w:val="00CD1612"/>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4D4014"/>
    <w:pPr>
      <w:tabs>
        <w:tab w:val="left" w:pos="120"/>
      </w:tabs>
      <w:spacing w:before="120" w:line="200" w:lineRule="atLeast"/>
      <w:ind w:left="115" w:hanging="115"/>
    </w:pPr>
    <w:rPr>
      <w:color w:val="000000" w:themeColor="text1"/>
      <w:sz w:val="18"/>
      <w:szCs w:val="22"/>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DB16DE"/>
    <w:pPr>
      <w:spacing w:line="276" w:lineRule="auto"/>
    </w:pPr>
  </w:style>
  <w:style w:type="paragraph" w:customStyle="1" w:styleId="N0-FlLftBullet">
    <w:name w:val="N0-Fl Lft Bullet"/>
    <w:basedOn w:val="Normal"/>
    <w:rsid w:val="00CD1612"/>
    <w:pPr>
      <w:tabs>
        <w:tab w:val="left" w:pos="576"/>
      </w:tabs>
      <w:spacing w:after="240"/>
      <w:ind w:left="576" w:hanging="576"/>
    </w:pPr>
  </w:style>
  <w:style w:type="paragraph" w:customStyle="1" w:styleId="N1-1stBullet">
    <w:name w:val="N1-1st Bullet"/>
    <w:basedOn w:val="Normal"/>
    <w:rsid w:val="00133DD7"/>
    <w:pPr>
      <w:numPr>
        <w:numId w:val="5"/>
      </w:numPr>
      <w:spacing w:after="120" w:line="276" w:lineRule="auto"/>
    </w:pPr>
  </w:style>
  <w:style w:type="paragraph" w:customStyle="1" w:styleId="N2-2ndBullet">
    <w:name w:val="N2-2nd Bullet"/>
    <w:basedOn w:val="Normal"/>
    <w:rsid w:val="004D4014"/>
    <w:pPr>
      <w:numPr>
        <w:numId w:val="1"/>
      </w:numPr>
      <w:spacing w:after="240"/>
    </w:pPr>
  </w:style>
  <w:style w:type="paragraph" w:customStyle="1" w:styleId="N3-3rdBullet">
    <w:name w:val="N3-3rd Bullet"/>
    <w:basedOn w:val="Normal"/>
    <w:rsid w:val="004D4014"/>
    <w:pPr>
      <w:numPr>
        <w:numId w:val="2"/>
      </w:numPr>
      <w:spacing w:after="240"/>
    </w:pPr>
  </w:style>
  <w:style w:type="paragraph" w:customStyle="1" w:styleId="N4-4thBullet">
    <w:name w:val="N4-4th Bullet"/>
    <w:basedOn w:val="Normal"/>
    <w:rsid w:val="004D4014"/>
    <w:pPr>
      <w:numPr>
        <w:numId w:val="3"/>
      </w:numPr>
      <w:spacing w:after="240"/>
    </w:pPr>
  </w:style>
  <w:style w:type="paragraph" w:customStyle="1" w:styleId="N5-5thBullet">
    <w:name w:val="N5-5th Bullet"/>
    <w:basedOn w:val="Normal"/>
    <w:rsid w:val="004D4014"/>
    <w:pPr>
      <w:tabs>
        <w:tab w:val="left" w:pos="3456"/>
      </w:tabs>
      <w:spacing w:after="240"/>
      <w:ind w:left="3456" w:hanging="576"/>
    </w:pPr>
  </w:style>
  <w:style w:type="paragraph" w:customStyle="1" w:styleId="N6-DateInd">
    <w:name w:val="N6-Date Ind."/>
    <w:basedOn w:val="Normal"/>
    <w:rsid w:val="00CD1612"/>
    <w:pPr>
      <w:tabs>
        <w:tab w:val="left" w:pos="4910"/>
      </w:tabs>
      <w:ind w:left="4910"/>
    </w:pPr>
  </w:style>
  <w:style w:type="paragraph" w:customStyle="1" w:styleId="N7-3Block">
    <w:name w:val="N7-3&quot; Block"/>
    <w:basedOn w:val="Normal"/>
    <w:rsid w:val="00CD1612"/>
    <w:pPr>
      <w:ind w:left="1152" w:right="1152"/>
    </w:pPr>
  </w:style>
  <w:style w:type="paragraph" w:customStyle="1" w:styleId="N8-QxQBlock">
    <w:name w:val="N8-QxQ Block"/>
    <w:basedOn w:val="Normal"/>
    <w:rsid w:val="00CD1612"/>
    <w:pPr>
      <w:spacing w:after="360"/>
      <w:ind w:left="1152" w:hanging="1152"/>
    </w:pPr>
  </w:style>
  <w:style w:type="paragraph" w:customStyle="1" w:styleId="P1-StandPara">
    <w:name w:val="P1-Stand Para"/>
    <w:basedOn w:val="Normal"/>
    <w:link w:val="P1-StandParaChar"/>
    <w:rsid w:val="009B7E4F"/>
    <w:pPr>
      <w:ind w:firstLine="1152"/>
    </w:pPr>
  </w:style>
  <w:style w:type="paragraph" w:customStyle="1" w:styleId="Q1-BestFinQ">
    <w:name w:val="Q1-Best/Fin Q"/>
    <w:basedOn w:val="Heading1"/>
    <w:rsid w:val="001B6AA1"/>
    <w:pPr>
      <w:spacing w:line="240" w:lineRule="atLeast"/>
      <w:jc w:val="left"/>
    </w:pPr>
    <w:rPr>
      <w:rFonts w:cs="Times New Roman Bold"/>
      <w:color w:val="auto"/>
      <w:sz w:val="24"/>
    </w:rPr>
  </w:style>
  <w:style w:type="paragraph" w:customStyle="1" w:styleId="SH-SglSpHead">
    <w:name w:val="SH-Sgl Sp Head"/>
    <w:basedOn w:val="Heading1"/>
    <w:rsid w:val="00AF3D1A"/>
    <w:pPr>
      <w:tabs>
        <w:tab w:val="clear" w:pos="1152"/>
        <w:tab w:val="left" w:pos="576"/>
      </w:tabs>
      <w:spacing w:line="240" w:lineRule="atLeast"/>
      <w:ind w:left="576" w:hanging="576"/>
      <w:jc w:val="left"/>
    </w:pPr>
    <w:rPr>
      <w:b w:val="0"/>
      <w:color w:val="000000" w:themeColor="text1"/>
      <w:sz w:val="22"/>
    </w:rPr>
  </w:style>
  <w:style w:type="paragraph" w:customStyle="1" w:styleId="SL-FlLftSgl">
    <w:name w:val="SL-Fl Lft Sgl"/>
    <w:basedOn w:val="Normal"/>
    <w:rsid w:val="00133DD7"/>
    <w:pPr>
      <w:tabs>
        <w:tab w:val="clear" w:pos="1152"/>
        <w:tab w:val="left" w:pos="2160"/>
      </w:tabs>
      <w:spacing w:line="276" w:lineRule="auto"/>
    </w:pPr>
  </w:style>
  <w:style w:type="paragraph" w:customStyle="1" w:styleId="SP-SglSpPara">
    <w:name w:val="SP-Sgl Sp Para"/>
    <w:basedOn w:val="Normal"/>
    <w:rsid w:val="00CD1612"/>
    <w:pPr>
      <w:tabs>
        <w:tab w:val="left" w:pos="576"/>
      </w:tabs>
      <w:ind w:firstLine="576"/>
    </w:pPr>
  </w:style>
  <w:style w:type="paragraph" w:customStyle="1" w:styleId="T0-ChapPgHd">
    <w:name w:val="T0-Chap/Pg Hd"/>
    <w:basedOn w:val="Normal"/>
    <w:rsid w:val="00CD1612"/>
    <w:pPr>
      <w:tabs>
        <w:tab w:val="left" w:pos="8640"/>
      </w:tabs>
    </w:pPr>
    <w:rPr>
      <w:u w:val="words"/>
    </w:rPr>
  </w:style>
  <w:style w:type="paragraph" w:styleId="TOC1">
    <w:name w:val="toc 1"/>
    <w:basedOn w:val="Normal"/>
    <w:semiHidden/>
    <w:rsid w:val="000C1BBF"/>
    <w:pPr>
      <w:tabs>
        <w:tab w:val="left" w:pos="1440"/>
        <w:tab w:val="right" w:leader="dot" w:pos="8208"/>
        <w:tab w:val="left" w:pos="8640"/>
      </w:tabs>
      <w:ind w:left="1440" w:right="1800" w:hanging="1152"/>
    </w:pPr>
  </w:style>
  <w:style w:type="paragraph" w:styleId="TOC2">
    <w:name w:val="toc 2"/>
    <w:basedOn w:val="Normal"/>
    <w:semiHidden/>
    <w:rsid w:val="000C1BBF"/>
    <w:pPr>
      <w:tabs>
        <w:tab w:val="left" w:pos="2160"/>
        <w:tab w:val="right" w:leader="dot" w:pos="8208"/>
        <w:tab w:val="left" w:pos="8640"/>
      </w:tabs>
      <w:ind w:left="2160" w:right="1800" w:hanging="720"/>
    </w:pPr>
  </w:style>
  <w:style w:type="paragraph" w:styleId="TOC3">
    <w:name w:val="toc 3"/>
    <w:basedOn w:val="Normal"/>
    <w:semiHidden/>
    <w:rsid w:val="000C1BBF"/>
    <w:pPr>
      <w:tabs>
        <w:tab w:val="left" w:pos="3024"/>
        <w:tab w:val="right" w:leader="dot" w:pos="8208"/>
        <w:tab w:val="left" w:pos="8640"/>
      </w:tabs>
      <w:ind w:left="3024" w:right="1800" w:hanging="864"/>
    </w:pPr>
  </w:style>
  <w:style w:type="paragraph" w:styleId="TOC4">
    <w:name w:val="toc 4"/>
    <w:basedOn w:val="Normal"/>
    <w:semiHidden/>
    <w:rsid w:val="000C1BBF"/>
    <w:pPr>
      <w:tabs>
        <w:tab w:val="left" w:pos="3888"/>
        <w:tab w:val="right" w:leader="dot" w:pos="8208"/>
        <w:tab w:val="left" w:pos="8640"/>
      </w:tabs>
      <w:ind w:left="3888" w:right="1800" w:hanging="864"/>
    </w:pPr>
  </w:style>
  <w:style w:type="paragraph" w:styleId="TOC5">
    <w:name w:val="toc 5"/>
    <w:basedOn w:val="Normal"/>
    <w:semiHidden/>
    <w:rsid w:val="00973019"/>
    <w:pPr>
      <w:tabs>
        <w:tab w:val="left" w:pos="1440"/>
        <w:tab w:val="right" w:leader="dot" w:pos="8208"/>
        <w:tab w:val="left" w:pos="8640"/>
      </w:tabs>
      <w:ind w:left="1440" w:right="1800" w:hanging="1152"/>
    </w:pPr>
  </w:style>
  <w:style w:type="paragraph" w:customStyle="1" w:styleId="TT-TableTitle">
    <w:name w:val="TT-Table Title"/>
    <w:basedOn w:val="Heading1"/>
    <w:rsid w:val="007620E7"/>
    <w:pPr>
      <w:tabs>
        <w:tab w:val="clear" w:pos="1152"/>
        <w:tab w:val="left" w:pos="1440"/>
      </w:tabs>
      <w:spacing w:line="240" w:lineRule="atLeast"/>
      <w:ind w:left="1440" w:hanging="1440"/>
      <w:jc w:val="left"/>
    </w:pPr>
    <w:rPr>
      <w:b w:val="0"/>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link w:val="R1-ResParaChar"/>
    <w:rsid w:val="00CD1612"/>
    <w:pPr>
      <w:spacing w:line="240" w:lineRule="atLeast"/>
      <w:ind w:left="288"/>
    </w:pPr>
    <w:rPr>
      <w:color w:val="000000" w:themeColor="text1"/>
      <w:sz w:val="22"/>
      <w:szCs w:val="22"/>
    </w:rPr>
  </w:style>
  <w:style w:type="paragraph" w:customStyle="1" w:styleId="R2-ResBullet">
    <w:name w:val="R2-Res Bullet"/>
    <w:basedOn w:val="Normal"/>
    <w:rsid w:val="00CD1612"/>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CD1612"/>
    <w:pPr>
      <w:pBdr>
        <w:bottom w:val="single" w:sz="24" w:space="1" w:color="AFBED9"/>
      </w:pBdr>
      <w:tabs>
        <w:tab w:val="clear" w:pos="1152"/>
      </w:tabs>
      <w:spacing w:after="480" w:line="360" w:lineRule="exact"/>
      <w:jc w:val="left"/>
    </w:pPr>
    <w:rPr>
      <w:color w:val="000000" w:themeColor="text1"/>
      <w:sz w:val="22"/>
      <w:u w:color="324162"/>
    </w:rPr>
  </w:style>
  <w:style w:type="paragraph" w:customStyle="1" w:styleId="RL-FlLftSgl">
    <w:name w:val="RL-Fl Lft Sgl"/>
    <w:basedOn w:val="Heading1"/>
    <w:rsid w:val="00AF3D1A"/>
    <w:pPr>
      <w:tabs>
        <w:tab w:val="clear" w:pos="1152"/>
      </w:tabs>
      <w:spacing w:line="240" w:lineRule="atLeast"/>
      <w:jc w:val="left"/>
    </w:pPr>
    <w:rPr>
      <w:sz w:val="22"/>
    </w:rPr>
  </w:style>
  <w:style w:type="paragraph" w:customStyle="1" w:styleId="SU-FlLftUndln">
    <w:name w:val="SU-Fl Lft Undln"/>
    <w:basedOn w:val="Normal"/>
    <w:rsid w:val="00CD1612"/>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4D4014"/>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CD1612"/>
    <w:pPr>
      <w:tabs>
        <w:tab w:val="clear" w:pos="1152"/>
      </w:tabs>
      <w:spacing w:line="240" w:lineRule="atLeast"/>
      <w:jc w:val="left"/>
    </w:pPr>
    <w:rPr>
      <w:b w:val="0"/>
      <w:i/>
      <w:color w:val="000000" w:themeColor="text1"/>
      <w:sz w:val="22"/>
    </w:rPr>
  </w:style>
  <w:style w:type="table" w:customStyle="1" w:styleId="TableWestatStandardFormat">
    <w:name w:val="Table Westat Standard Format"/>
    <w:basedOn w:val="TableNormal"/>
    <w:rsid w:val="00212FFB"/>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D1612"/>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4D4014"/>
    <w:rPr>
      <w:rFonts w:ascii="Franklin Gothic Medium" w:hAnsi="Franklin Gothic Medium"/>
      <w:sz w:val="16"/>
      <w:szCs w:val="20"/>
    </w:rPr>
  </w:style>
  <w:style w:type="paragraph" w:customStyle="1" w:styleId="TH-TableHeading">
    <w:name w:val="TH-Table Heading"/>
    <w:basedOn w:val="Heading1"/>
    <w:rsid w:val="004D4014"/>
    <w:pPr>
      <w:spacing w:line="240" w:lineRule="atLeast"/>
      <w:jc w:val="center"/>
    </w:pPr>
    <w:rPr>
      <w:rFonts w:ascii="Franklin Gothic Medium" w:hAnsi="Franklin Gothic Medium"/>
      <w:color w:val="000000" w:themeColor="text1"/>
      <w:sz w:val="20"/>
      <w:szCs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4D4014"/>
    <w:rPr>
      <w:rFonts w:ascii="Franklin Gothic Medium" w:hAnsi="Franklin Gothic Medium"/>
      <w:sz w:val="20"/>
      <w:szCs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noteTextChar">
    <w:name w:val="Footnote Text Char"/>
    <w:aliases w:val="F1 Char"/>
    <w:basedOn w:val="DefaultParagraphFont"/>
    <w:link w:val="FootnoteText"/>
    <w:uiPriority w:val="99"/>
    <w:rsid w:val="004D4014"/>
    <w:rPr>
      <w:color w:val="000000" w:themeColor="text1"/>
      <w:sz w:val="18"/>
      <w:szCs w:val="22"/>
    </w:rPr>
  </w:style>
  <w:style w:type="paragraph" w:styleId="ListParagraph">
    <w:name w:val="List Paragraph"/>
    <w:basedOn w:val="Normal"/>
    <w:uiPriority w:val="34"/>
    <w:qFormat/>
    <w:rsid w:val="003F225B"/>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3F22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22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Chap. Head Char"/>
    <w:basedOn w:val="DefaultParagraphFont"/>
    <w:link w:val="Heading1"/>
    <w:uiPriority w:val="9"/>
    <w:rsid w:val="0006754B"/>
    <w:rPr>
      <w:b/>
      <w:color w:val="324162"/>
      <w:sz w:val="40"/>
      <w:szCs w:val="22"/>
    </w:rPr>
  </w:style>
  <w:style w:type="character" w:customStyle="1" w:styleId="Heading2Char">
    <w:name w:val="Heading 2 Char"/>
    <w:aliases w:val="H2-Sec. Head Char"/>
    <w:basedOn w:val="DefaultParagraphFont"/>
    <w:link w:val="Heading2"/>
    <w:uiPriority w:val="9"/>
    <w:rsid w:val="0006754B"/>
    <w:rPr>
      <w:b/>
      <w:color w:val="324162"/>
      <w:sz w:val="22"/>
      <w:szCs w:val="22"/>
    </w:rPr>
  </w:style>
  <w:style w:type="character" w:customStyle="1" w:styleId="Heading3Char">
    <w:name w:val="Heading 3 Char"/>
    <w:aliases w:val="H3-Sec. Head Char"/>
    <w:basedOn w:val="DefaultParagraphFont"/>
    <w:link w:val="Heading3"/>
    <w:uiPriority w:val="9"/>
    <w:rsid w:val="0006754B"/>
    <w:rPr>
      <w:b/>
      <w:color w:val="324162"/>
      <w:sz w:val="22"/>
      <w:szCs w:val="22"/>
    </w:rPr>
  </w:style>
  <w:style w:type="character" w:styleId="CommentReference">
    <w:name w:val="annotation reference"/>
    <w:basedOn w:val="DefaultParagraphFont"/>
    <w:semiHidden/>
    <w:unhideWhenUsed/>
    <w:rsid w:val="003F225B"/>
    <w:rPr>
      <w:sz w:val="16"/>
      <w:szCs w:val="16"/>
    </w:rPr>
  </w:style>
  <w:style w:type="paragraph" w:styleId="CommentText">
    <w:name w:val="annotation text"/>
    <w:basedOn w:val="Normal"/>
    <w:link w:val="CommentTextChar"/>
    <w:unhideWhenUsed/>
    <w:rsid w:val="003F225B"/>
    <w:pPr>
      <w:spacing w:after="200"/>
    </w:pPr>
    <w:rPr>
      <w:rFonts w:eastAsiaTheme="minorHAnsi" w:cstheme="minorBidi"/>
      <w:sz w:val="20"/>
      <w:szCs w:val="20"/>
    </w:rPr>
  </w:style>
  <w:style w:type="character" w:customStyle="1" w:styleId="CommentTextChar">
    <w:name w:val="Comment Text Char"/>
    <w:basedOn w:val="DefaultParagraphFont"/>
    <w:link w:val="CommentText"/>
    <w:rsid w:val="003F225B"/>
    <w:rPr>
      <w:rFonts w:eastAsiaTheme="minorHAnsi" w:cstheme="minorBidi"/>
    </w:rPr>
  </w:style>
  <w:style w:type="paragraph" w:styleId="CommentSubject">
    <w:name w:val="annotation subject"/>
    <w:basedOn w:val="CommentText"/>
    <w:next w:val="CommentText"/>
    <w:link w:val="CommentSubjectChar"/>
    <w:uiPriority w:val="99"/>
    <w:semiHidden/>
    <w:unhideWhenUsed/>
    <w:rsid w:val="003F225B"/>
    <w:rPr>
      <w:b/>
      <w:bCs/>
    </w:rPr>
  </w:style>
  <w:style w:type="character" w:customStyle="1" w:styleId="CommentSubjectChar">
    <w:name w:val="Comment Subject Char"/>
    <w:basedOn w:val="CommentTextChar"/>
    <w:link w:val="CommentSubject"/>
    <w:uiPriority w:val="99"/>
    <w:semiHidden/>
    <w:rsid w:val="003F225B"/>
    <w:rPr>
      <w:rFonts w:eastAsiaTheme="minorHAnsi" w:cstheme="minorBidi"/>
      <w:b/>
      <w:bCs/>
    </w:rPr>
  </w:style>
  <w:style w:type="character" w:customStyle="1" w:styleId="HeaderChar">
    <w:name w:val="Header Char"/>
    <w:basedOn w:val="DefaultParagraphFont"/>
    <w:link w:val="Header"/>
    <w:uiPriority w:val="99"/>
    <w:rsid w:val="003F225B"/>
    <w:rPr>
      <w:rFonts w:ascii="Arial" w:hAnsi="Arial" w:cs="Arial"/>
      <w:szCs w:val="22"/>
    </w:rPr>
  </w:style>
  <w:style w:type="character" w:customStyle="1" w:styleId="FooterChar">
    <w:name w:val="Footer Char"/>
    <w:basedOn w:val="DefaultParagraphFont"/>
    <w:link w:val="Footer"/>
    <w:uiPriority w:val="99"/>
    <w:rsid w:val="003F225B"/>
    <w:rPr>
      <w:rFonts w:ascii="Arial" w:hAnsi="Arial" w:cs="Arial"/>
      <w:sz w:val="22"/>
      <w:szCs w:val="22"/>
    </w:rPr>
  </w:style>
  <w:style w:type="character" w:customStyle="1" w:styleId="L1-FlLSp12Char">
    <w:name w:val="L1-FlL Sp&amp;1/2 Char"/>
    <w:link w:val="L1-FlLSp12"/>
    <w:locked/>
    <w:rsid w:val="00DB16DE"/>
    <w:rPr>
      <w:color w:val="000000" w:themeColor="text1"/>
      <w:sz w:val="22"/>
      <w:szCs w:val="22"/>
    </w:rPr>
  </w:style>
  <w:style w:type="character" w:customStyle="1" w:styleId="Heading4Char">
    <w:name w:val="Heading 4 Char"/>
    <w:aliases w:val="H4-Sec. Head Char"/>
    <w:basedOn w:val="DefaultParagraphFont"/>
    <w:link w:val="Heading4"/>
    <w:uiPriority w:val="9"/>
    <w:rsid w:val="003F225B"/>
    <w:rPr>
      <w:rFonts w:cs="Arial"/>
      <w:b/>
      <w:color w:val="000000" w:themeColor="text1"/>
      <w:sz w:val="22"/>
      <w:szCs w:val="22"/>
    </w:rPr>
  </w:style>
  <w:style w:type="character" w:customStyle="1" w:styleId="Heading5Char">
    <w:name w:val="Heading 5 Char"/>
    <w:aliases w:val="H5-Sec. Head Char"/>
    <w:basedOn w:val="DefaultParagraphFont"/>
    <w:link w:val="Heading5"/>
    <w:uiPriority w:val="9"/>
    <w:rsid w:val="0006754B"/>
    <w:rPr>
      <w:b/>
      <w:color w:val="324162"/>
      <w:sz w:val="22"/>
      <w:szCs w:val="22"/>
    </w:rPr>
  </w:style>
  <w:style w:type="character" w:customStyle="1" w:styleId="Heading6Char">
    <w:name w:val="Heading 6 Char"/>
    <w:basedOn w:val="DefaultParagraphFont"/>
    <w:link w:val="Heading6"/>
    <w:uiPriority w:val="9"/>
    <w:rsid w:val="003F225B"/>
    <w:rPr>
      <w:rFonts w:ascii="Arial" w:hAnsi="Arial" w:cs="Arial"/>
      <w:b/>
      <w:caps/>
      <w:sz w:val="22"/>
      <w:szCs w:val="22"/>
    </w:rPr>
  </w:style>
  <w:style w:type="paragraph" w:styleId="NormalWeb">
    <w:name w:val="Normal (Web)"/>
    <w:basedOn w:val="Normal"/>
    <w:uiPriority w:val="99"/>
    <w:semiHidden/>
    <w:unhideWhenUsed/>
    <w:rsid w:val="003F225B"/>
    <w:pPr>
      <w:spacing w:before="100" w:beforeAutospacing="1" w:after="100" w:afterAutospacing="1"/>
    </w:pPr>
    <w:rPr>
      <w:sz w:val="24"/>
      <w:szCs w:val="24"/>
    </w:rPr>
  </w:style>
  <w:style w:type="character" w:customStyle="1" w:styleId="apple-converted-space">
    <w:name w:val="apple-converted-space"/>
    <w:basedOn w:val="DefaultParagraphFont"/>
    <w:rsid w:val="003F225B"/>
  </w:style>
  <w:style w:type="character" w:styleId="Hyperlink">
    <w:name w:val="Hyperlink"/>
    <w:basedOn w:val="DefaultParagraphFont"/>
    <w:uiPriority w:val="99"/>
    <w:unhideWhenUsed/>
    <w:rsid w:val="003F225B"/>
    <w:rPr>
      <w:color w:val="0000FF" w:themeColor="hyperlink"/>
      <w:u w:val="single"/>
    </w:rPr>
  </w:style>
  <w:style w:type="character" w:customStyle="1" w:styleId="P1-StandParaChar">
    <w:name w:val="P1-Stand Para Char"/>
    <w:basedOn w:val="DefaultParagraphFont"/>
    <w:link w:val="P1-StandPara"/>
    <w:rsid w:val="003F225B"/>
    <w:rPr>
      <w:rFonts w:cs="Arial"/>
      <w:color w:val="000000" w:themeColor="text1"/>
      <w:sz w:val="22"/>
      <w:szCs w:val="22"/>
    </w:rPr>
  </w:style>
  <w:style w:type="paragraph" w:styleId="NoSpacing">
    <w:name w:val="No Spacing"/>
    <w:uiPriority w:val="1"/>
    <w:qFormat/>
    <w:rsid w:val="003F225B"/>
    <w:rPr>
      <w:rFonts w:asciiTheme="minorHAnsi" w:eastAsiaTheme="minorHAnsi" w:hAnsiTheme="minorHAnsi" w:cstheme="minorBidi"/>
      <w:sz w:val="22"/>
      <w:szCs w:val="22"/>
    </w:rPr>
  </w:style>
  <w:style w:type="paragraph" w:customStyle="1" w:styleId="Default">
    <w:name w:val="Default"/>
    <w:rsid w:val="003463F7"/>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C77E90"/>
    <w:pPr>
      <w:spacing w:line="240" w:lineRule="auto"/>
    </w:pPr>
    <w:rPr>
      <w:sz w:val="20"/>
      <w:szCs w:val="20"/>
    </w:rPr>
  </w:style>
  <w:style w:type="character" w:customStyle="1" w:styleId="EndnoteTextChar">
    <w:name w:val="Endnote Text Char"/>
    <w:basedOn w:val="DefaultParagraphFont"/>
    <w:link w:val="EndnoteText"/>
    <w:uiPriority w:val="99"/>
    <w:semiHidden/>
    <w:rsid w:val="00C77E90"/>
    <w:rPr>
      <w:color w:val="000000" w:themeColor="text1"/>
    </w:rPr>
  </w:style>
  <w:style w:type="character" w:styleId="EndnoteReference">
    <w:name w:val="endnote reference"/>
    <w:basedOn w:val="DefaultParagraphFont"/>
    <w:uiPriority w:val="99"/>
    <w:semiHidden/>
    <w:unhideWhenUsed/>
    <w:rsid w:val="00C77E90"/>
    <w:rPr>
      <w:vertAlign w:val="superscript"/>
    </w:rPr>
  </w:style>
  <w:style w:type="paragraph" w:styleId="Caption">
    <w:name w:val="caption"/>
    <w:basedOn w:val="Normal"/>
    <w:next w:val="Normal"/>
    <w:uiPriority w:val="35"/>
    <w:unhideWhenUsed/>
    <w:qFormat/>
    <w:rsid w:val="001D4DEA"/>
    <w:pPr>
      <w:spacing w:after="200" w:line="240" w:lineRule="auto"/>
    </w:pPr>
    <w:rPr>
      <w:b/>
      <w:bCs/>
      <w:color w:val="4F81BD" w:themeColor="accent1"/>
      <w:sz w:val="18"/>
      <w:szCs w:val="18"/>
    </w:rPr>
  </w:style>
  <w:style w:type="paragraph" w:styleId="Revision">
    <w:name w:val="Revision"/>
    <w:hidden/>
    <w:uiPriority w:val="99"/>
    <w:semiHidden/>
    <w:rsid w:val="00755703"/>
    <w:rPr>
      <w:color w:val="000000" w:themeColor="text1"/>
      <w:sz w:val="22"/>
      <w:szCs w:val="22"/>
    </w:rPr>
  </w:style>
  <w:style w:type="character" w:customStyle="1" w:styleId="R1-ResParaChar">
    <w:name w:val="R1-Res. Para Char"/>
    <w:basedOn w:val="DefaultParagraphFont"/>
    <w:link w:val="R1-ResPara"/>
    <w:locked/>
    <w:rsid w:val="00836002"/>
    <w:rPr>
      <w:color w:val="000000" w:themeColor="text1"/>
      <w:sz w:val="22"/>
      <w:szCs w:val="22"/>
    </w:rPr>
  </w:style>
  <w:style w:type="character" w:styleId="Emphasis">
    <w:name w:val="Emphasis"/>
    <w:basedOn w:val="DefaultParagraphFont"/>
    <w:uiPriority w:val="20"/>
    <w:qFormat/>
    <w:rsid w:val="009728A2"/>
    <w:rPr>
      <w:i/>
      <w:iCs/>
    </w:rPr>
  </w:style>
  <w:style w:type="paragraph" w:styleId="BodyText">
    <w:name w:val="Body Text"/>
    <w:basedOn w:val="Normal"/>
    <w:link w:val="BodyTextChar"/>
    <w:rsid w:val="002B46D3"/>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2B46D3"/>
    <w:rPr>
      <w:sz w:val="24"/>
      <w:szCs w:val="24"/>
    </w:rPr>
  </w:style>
  <w:style w:type="table" w:styleId="TableGrid">
    <w:name w:val="Table Grid"/>
    <w:basedOn w:val="TableNormal"/>
    <w:uiPriority w:val="59"/>
    <w:rsid w:val="0087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92D09"/>
    <w:rPr>
      <w:i/>
      <w:iCs/>
    </w:rPr>
  </w:style>
  <w:style w:type="character" w:customStyle="1" w:styleId="cit-auth2">
    <w:name w:val="cit-auth2"/>
    <w:basedOn w:val="DefaultParagraphFont"/>
    <w:rsid w:val="00A92D09"/>
  </w:style>
  <w:style w:type="character" w:customStyle="1" w:styleId="cit-name-surname">
    <w:name w:val="cit-name-surname"/>
    <w:basedOn w:val="DefaultParagraphFont"/>
    <w:rsid w:val="00A92D09"/>
  </w:style>
  <w:style w:type="character" w:customStyle="1" w:styleId="cit-name-given-names">
    <w:name w:val="cit-name-given-names"/>
    <w:basedOn w:val="DefaultParagraphFont"/>
    <w:rsid w:val="00A92D09"/>
  </w:style>
  <w:style w:type="character" w:customStyle="1" w:styleId="cit-article-title">
    <w:name w:val="cit-article-title"/>
    <w:basedOn w:val="DefaultParagraphFont"/>
    <w:rsid w:val="00A92D09"/>
  </w:style>
  <w:style w:type="character" w:customStyle="1" w:styleId="cit-pub-date">
    <w:name w:val="cit-pub-date"/>
    <w:basedOn w:val="DefaultParagraphFont"/>
    <w:rsid w:val="00A92D09"/>
  </w:style>
  <w:style w:type="character" w:customStyle="1" w:styleId="cit-vol5">
    <w:name w:val="cit-vol5"/>
    <w:basedOn w:val="DefaultParagraphFont"/>
    <w:rsid w:val="00A92D09"/>
  </w:style>
  <w:style w:type="character" w:customStyle="1" w:styleId="cit-fpage">
    <w:name w:val="cit-fpage"/>
    <w:basedOn w:val="DefaultParagraphFont"/>
    <w:rsid w:val="00A92D09"/>
  </w:style>
  <w:style w:type="character" w:customStyle="1" w:styleId="cit-lpage">
    <w:name w:val="cit-lpage"/>
    <w:basedOn w:val="DefaultParagraphFont"/>
    <w:rsid w:val="00A92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5C"/>
    <w:pPr>
      <w:tabs>
        <w:tab w:val="left" w:pos="1152"/>
      </w:tabs>
      <w:spacing w:line="360" w:lineRule="atLeast"/>
    </w:pPr>
    <w:rPr>
      <w:color w:val="000000" w:themeColor="text1"/>
      <w:sz w:val="22"/>
      <w:szCs w:val="22"/>
    </w:rPr>
  </w:style>
  <w:style w:type="paragraph" w:styleId="Heading1">
    <w:name w:val="heading 1"/>
    <w:aliases w:val="H1-Chap. Head"/>
    <w:basedOn w:val="Normal"/>
    <w:link w:val="Heading1Char"/>
    <w:uiPriority w:val="9"/>
    <w:qFormat/>
    <w:rsid w:val="0006754B"/>
    <w:pPr>
      <w:keepNext/>
      <w:spacing w:before="240" w:after="120" w:line="276" w:lineRule="auto"/>
      <w:jc w:val="right"/>
      <w:outlineLvl w:val="0"/>
    </w:pPr>
    <w:rPr>
      <w:b/>
      <w:color w:val="324162"/>
      <w:sz w:val="40"/>
    </w:rPr>
  </w:style>
  <w:style w:type="paragraph" w:styleId="Heading2">
    <w:name w:val="heading 2"/>
    <w:aliases w:val="H2-Sec. Head"/>
    <w:basedOn w:val="Heading1"/>
    <w:next w:val="P1-StandPara"/>
    <w:link w:val="Heading2Char"/>
    <w:uiPriority w:val="9"/>
    <w:qFormat/>
    <w:rsid w:val="0006754B"/>
    <w:pPr>
      <w:ind w:left="1152" w:hanging="1152"/>
      <w:jc w:val="left"/>
      <w:outlineLvl w:val="1"/>
    </w:pPr>
    <w:rPr>
      <w:sz w:val="22"/>
    </w:rPr>
  </w:style>
  <w:style w:type="paragraph" w:styleId="Heading3">
    <w:name w:val="heading 3"/>
    <w:aliases w:val="H3-Sec. Head"/>
    <w:basedOn w:val="Heading1"/>
    <w:next w:val="P1-StandPara"/>
    <w:link w:val="Heading3Char"/>
    <w:uiPriority w:val="9"/>
    <w:qFormat/>
    <w:rsid w:val="0006754B"/>
    <w:pPr>
      <w:ind w:left="1152" w:hanging="1152"/>
      <w:jc w:val="left"/>
      <w:outlineLvl w:val="2"/>
    </w:pPr>
    <w:rPr>
      <w:sz w:val="22"/>
    </w:rPr>
  </w:style>
  <w:style w:type="paragraph" w:styleId="Heading4">
    <w:name w:val="heading 4"/>
    <w:aliases w:val="H4-Sec. Head"/>
    <w:basedOn w:val="Heading1"/>
    <w:next w:val="P1-StandPara"/>
    <w:link w:val="Heading4Char"/>
    <w:uiPriority w:val="9"/>
    <w:qFormat/>
    <w:rsid w:val="00C0371F"/>
    <w:pPr>
      <w:spacing w:after="360"/>
      <w:ind w:left="1152" w:hanging="1152"/>
      <w:jc w:val="left"/>
      <w:outlineLvl w:val="3"/>
    </w:pPr>
    <w:rPr>
      <w:color w:val="000000" w:themeColor="text1"/>
      <w:sz w:val="22"/>
    </w:rPr>
  </w:style>
  <w:style w:type="paragraph" w:styleId="Heading5">
    <w:name w:val="heading 5"/>
    <w:aliases w:val="H5-Sec. Head"/>
    <w:basedOn w:val="Heading1"/>
    <w:next w:val="P1-StandPara"/>
    <w:link w:val="Heading5Char"/>
    <w:uiPriority w:val="9"/>
    <w:qFormat/>
    <w:rsid w:val="0006754B"/>
    <w:pPr>
      <w:keepLines/>
      <w:ind w:left="1152" w:hanging="1152"/>
      <w:jc w:val="left"/>
      <w:outlineLvl w:val="4"/>
    </w:pPr>
    <w:rPr>
      <w:sz w:val="22"/>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D1612"/>
    <w:pPr>
      <w:keepNext/>
      <w:spacing w:after="720" w:line="240" w:lineRule="atLeast"/>
      <w:jc w:val="center"/>
    </w:pPr>
    <w:rPr>
      <w:b/>
      <w:color w:val="000000" w:themeColor="text1"/>
      <w:sz w:val="22"/>
      <w:szCs w:val="22"/>
    </w:rPr>
  </w:style>
  <w:style w:type="paragraph" w:customStyle="1" w:styleId="C2-CtrSglSp">
    <w:name w:val="C2-Ctr Sgl Sp"/>
    <w:basedOn w:val="Normal"/>
    <w:rsid w:val="00CD1612"/>
    <w:pPr>
      <w:keepLines/>
      <w:jc w:val="center"/>
    </w:pPr>
  </w:style>
  <w:style w:type="paragraph" w:customStyle="1" w:styleId="C3-CtrSp12">
    <w:name w:val="C3-Ctr Sp&amp;1/2"/>
    <w:basedOn w:val="Normal"/>
    <w:rsid w:val="00CD1612"/>
    <w:pPr>
      <w:keepLines/>
      <w:jc w:val="center"/>
    </w:pPr>
  </w:style>
  <w:style w:type="paragraph" w:customStyle="1" w:styleId="E1-Equation">
    <w:name w:val="E1-Equation"/>
    <w:basedOn w:val="Normal"/>
    <w:rsid w:val="00CD1612"/>
    <w:pPr>
      <w:tabs>
        <w:tab w:val="center" w:pos="4680"/>
        <w:tab w:val="right" w:pos="9360"/>
      </w:tabs>
    </w:pPr>
  </w:style>
  <w:style w:type="paragraph" w:customStyle="1" w:styleId="E2-Equation">
    <w:name w:val="E2-Equation"/>
    <w:basedOn w:val="Normal"/>
    <w:rsid w:val="00CD1612"/>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4D4014"/>
    <w:pPr>
      <w:tabs>
        <w:tab w:val="left" w:pos="120"/>
      </w:tabs>
      <w:spacing w:before="120" w:line="200" w:lineRule="atLeast"/>
      <w:ind w:left="115" w:hanging="115"/>
    </w:pPr>
    <w:rPr>
      <w:color w:val="000000" w:themeColor="text1"/>
      <w:sz w:val="18"/>
      <w:szCs w:val="22"/>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DB16DE"/>
    <w:pPr>
      <w:spacing w:line="276" w:lineRule="auto"/>
    </w:pPr>
  </w:style>
  <w:style w:type="paragraph" w:customStyle="1" w:styleId="N0-FlLftBullet">
    <w:name w:val="N0-Fl Lft Bullet"/>
    <w:basedOn w:val="Normal"/>
    <w:rsid w:val="00CD1612"/>
    <w:pPr>
      <w:tabs>
        <w:tab w:val="left" w:pos="576"/>
      </w:tabs>
      <w:spacing w:after="240"/>
      <w:ind w:left="576" w:hanging="576"/>
    </w:pPr>
  </w:style>
  <w:style w:type="paragraph" w:customStyle="1" w:styleId="N1-1stBullet">
    <w:name w:val="N1-1st Bullet"/>
    <w:basedOn w:val="Normal"/>
    <w:rsid w:val="00133DD7"/>
    <w:pPr>
      <w:numPr>
        <w:numId w:val="5"/>
      </w:numPr>
      <w:spacing w:after="120" w:line="276" w:lineRule="auto"/>
    </w:pPr>
  </w:style>
  <w:style w:type="paragraph" w:customStyle="1" w:styleId="N2-2ndBullet">
    <w:name w:val="N2-2nd Bullet"/>
    <w:basedOn w:val="Normal"/>
    <w:rsid w:val="004D4014"/>
    <w:pPr>
      <w:numPr>
        <w:numId w:val="1"/>
      </w:numPr>
      <w:spacing w:after="240"/>
    </w:pPr>
  </w:style>
  <w:style w:type="paragraph" w:customStyle="1" w:styleId="N3-3rdBullet">
    <w:name w:val="N3-3rd Bullet"/>
    <w:basedOn w:val="Normal"/>
    <w:rsid w:val="004D4014"/>
    <w:pPr>
      <w:numPr>
        <w:numId w:val="2"/>
      </w:numPr>
      <w:spacing w:after="240"/>
    </w:pPr>
  </w:style>
  <w:style w:type="paragraph" w:customStyle="1" w:styleId="N4-4thBullet">
    <w:name w:val="N4-4th Bullet"/>
    <w:basedOn w:val="Normal"/>
    <w:rsid w:val="004D4014"/>
    <w:pPr>
      <w:numPr>
        <w:numId w:val="3"/>
      </w:numPr>
      <w:spacing w:after="240"/>
    </w:pPr>
  </w:style>
  <w:style w:type="paragraph" w:customStyle="1" w:styleId="N5-5thBullet">
    <w:name w:val="N5-5th Bullet"/>
    <w:basedOn w:val="Normal"/>
    <w:rsid w:val="004D4014"/>
    <w:pPr>
      <w:tabs>
        <w:tab w:val="left" w:pos="3456"/>
      </w:tabs>
      <w:spacing w:after="240"/>
      <w:ind w:left="3456" w:hanging="576"/>
    </w:pPr>
  </w:style>
  <w:style w:type="paragraph" w:customStyle="1" w:styleId="N6-DateInd">
    <w:name w:val="N6-Date Ind."/>
    <w:basedOn w:val="Normal"/>
    <w:rsid w:val="00CD1612"/>
    <w:pPr>
      <w:tabs>
        <w:tab w:val="left" w:pos="4910"/>
      </w:tabs>
      <w:ind w:left="4910"/>
    </w:pPr>
  </w:style>
  <w:style w:type="paragraph" w:customStyle="1" w:styleId="N7-3Block">
    <w:name w:val="N7-3&quot; Block"/>
    <w:basedOn w:val="Normal"/>
    <w:rsid w:val="00CD1612"/>
    <w:pPr>
      <w:ind w:left="1152" w:right="1152"/>
    </w:pPr>
  </w:style>
  <w:style w:type="paragraph" w:customStyle="1" w:styleId="N8-QxQBlock">
    <w:name w:val="N8-QxQ Block"/>
    <w:basedOn w:val="Normal"/>
    <w:rsid w:val="00CD1612"/>
    <w:pPr>
      <w:spacing w:after="360"/>
      <w:ind w:left="1152" w:hanging="1152"/>
    </w:pPr>
  </w:style>
  <w:style w:type="paragraph" w:customStyle="1" w:styleId="P1-StandPara">
    <w:name w:val="P1-Stand Para"/>
    <w:basedOn w:val="Normal"/>
    <w:link w:val="P1-StandParaChar"/>
    <w:rsid w:val="009B7E4F"/>
    <w:pPr>
      <w:ind w:firstLine="1152"/>
    </w:pPr>
  </w:style>
  <w:style w:type="paragraph" w:customStyle="1" w:styleId="Q1-BestFinQ">
    <w:name w:val="Q1-Best/Fin Q"/>
    <w:basedOn w:val="Heading1"/>
    <w:rsid w:val="001B6AA1"/>
    <w:pPr>
      <w:spacing w:line="240" w:lineRule="atLeast"/>
      <w:jc w:val="left"/>
    </w:pPr>
    <w:rPr>
      <w:rFonts w:cs="Times New Roman Bold"/>
      <w:color w:val="auto"/>
      <w:sz w:val="24"/>
    </w:rPr>
  </w:style>
  <w:style w:type="paragraph" w:customStyle="1" w:styleId="SH-SglSpHead">
    <w:name w:val="SH-Sgl Sp Head"/>
    <w:basedOn w:val="Heading1"/>
    <w:rsid w:val="00AF3D1A"/>
    <w:pPr>
      <w:tabs>
        <w:tab w:val="clear" w:pos="1152"/>
        <w:tab w:val="left" w:pos="576"/>
      </w:tabs>
      <w:spacing w:line="240" w:lineRule="atLeast"/>
      <w:ind w:left="576" w:hanging="576"/>
      <w:jc w:val="left"/>
    </w:pPr>
    <w:rPr>
      <w:b w:val="0"/>
      <w:color w:val="000000" w:themeColor="text1"/>
      <w:sz w:val="22"/>
    </w:rPr>
  </w:style>
  <w:style w:type="paragraph" w:customStyle="1" w:styleId="SL-FlLftSgl">
    <w:name w:val="SL-Fl Lft Sgl"/>
    <w:basedOn w:val="Normal"/>
    <w:rsid w:val="00133DD7"/>
    <w:pPr>
      <w:tabs>
        <w:tab w:val="clear" w:pos="1152"/>
        <w:tab w:val="left" w:pos="2160"/>
      </w:tabs>
      <w:spacing w:line="276" w:lineRule="auto"/>
    </w:pPr>
  </w:style>
  <w:style w:type="paragraph" w:customStyle="1" w:styleId="SP-SglSpPara">
    <w:name w:val="SP-Sgl Sp Para"/>
    <w:basedOn w:val="Normal"/>
    <w:rsid w:val="00CD1612"/>
    <w:pPr>
      <w:tabs>
        <w:tab w:val="left" w:pos="576"/>
      </w:tabs>
      <w:ind w:firstLine="576"/>
    </w:pPr>
  </w:style>
  <w:style w:type="paragraph" w:customStyle="1" w:styleId="T0-ChapPgHd">
    <w:name w:val="T0-Chap/Pg Hd"/>
    <w:basedOn w:val="Normal"/>
    <w:rsid w:val="00CD1612"/>
    <w:pPr>
      <w:tabs>
        <w:tab w:val="left" w:pos="8640"/>
      </w:tabs>
    </w:pPr>
    <w:rPr>
      <w:u w:val="words"/>
    </w:rPr>
  </w:style>
  <w:style w:type="paragraph" w:styleId="TOC1">
    <w:name w:val="toc 1"/>
    <w:basedOn w:val="Normal"/>
    <w:semiHidden/>
    <w:rsid w:val="000C1BBF"/>
    <w:pPr>
      <w:tabs>
        <w:tab w:val="left" w:pos="1440"/>
        <w:tab w:val="right" w:leader="dot" w:pos="8208"/>
        <w:tab w:val="left" w:pos="8640"/>
      </w:tabs>
      <w:ind w:left="1440" w:right="1800" w:hanging="1152"/>
    </w:pPr>
  </w:style>
  <w:style w:type="paragraph" w:styleId="TOC2">
    <w:name w:val="toc 2"/>
    <w:basedOn w:val="Normal"/>
    <w:semiHidden/>
    <w:rsid w:val="000C1BBF"/>
    <w:pPr>
      <w:tabs>
        <w:tab w:val="left" w:pos="2160"/>
        <w:tab w:val="right" w:leader="dot" w:pos="8208"/>
        <w:tab w:val="left" w:pos="8640"/>
      </w:tabs>
      <w:ind w:left="2160" w:right="1800" w:hanging="720"/>
    </w:pPr>
  </w:style>
  <w:style w:type="paragraph" w:styleId="TOC3">
    <w:name w:val="toc 3"/>
    <w:basedOn w:val="Normal"/>
    <w:semiHidden/>
    <w:rsid w:val="000C1BBF"/>
    <w:pPr>
      <w:tabs>
        <w:tab w:val="left" w:pos="3024"/>
        <w:tab w:val="right" w:leader="dot" w:pos="8208"/>
        <w:tab w:val="left" w:pos="8640"/>
      </w:tabs>
      <w:ind w:left="3024" w:right="1800" w:hanging="864"/>
    </w:pPr>
  </w:style>
  <w:style w:type="paragraph" w:styleId="TOC4">
    <w:name w:val="toc 4"/>
    <w:basedOn w:val="Normal"/>
    <w:semiHidden/>
    <w:rsid w:val="000C1BBF"/>
    <w:pPr>
      <w:tabs>
        <w:tab w:val="left" w:pos="3888"/>
        <w:tab w:val="right" w:leader="dot" w:pos="8208"/>
        <w:tab w:val="left" w:pos="8640"/>
      </w:tabs>
      <w:ind w:left="3888" w:right="1800" w:hanging="864"/>
    </w:pPr>
  </w:style>
  <w:style w:type="paragraph" w:styleId="TOC5">
    <w:name w:val="toc 5"/>
    <w:basedOn w:val="Normal"/>
    <w:semiHidden/>
    <w:rsid w:val="00973019"/>
    <w:pPr>
      <w:tabs>
        <w:tab w:val="left" w:pos="1440"/>
        <w:tab w:val="right" w:leader="dot" w:pos="8208"/>
        <w:tab w:val="left" w:pos="8640"/>
      </w:tabs>
      <w:ind w:left="1440" w:right="1800" w:hanging="1152"/>
    </w:pPr>
  </w:style>
  <w:style w:type="paragraph" w:customStyle="1" w:styleId="TT-TableTitle">
    <w:name w:val="TT-Table Title"/>
    <w:basedOn w:val="Heading1"/>
    <w:rsid w:val="007620E7"/>
    <w:pPr>
      <w:tabs>
        <w:tab w:val="clear" w:pos="1152"/>
        <w:tab w:val="left" w:pos="1440"/>
      </w:tabs>
      <w:spacing w:line="240" w:lineRule="atLeast"/>
      <w:ind w:left="1440" w:hanging="1440"/>
      <w:jc w:val="left"/>
    </w:pPr>
    <w:rPr>
      <w:b w:val="0"/>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link w:val="R1-ResParaChar"/>
    <w:rsid w:val="00CD1612"/>
    <w:pPr>
      <w:spacing w:line="240" w:lineRule="atLeast"/>
      <w:ind w:left="288"/>
    </w:pPr>
    <w:rPr>
      <w:color w:val="000000" w:themeColor="text1"/>
      <w:sz w:val="22"/>
      <w:szCs w:val="22"/>
    </w:rPr>
  </w:style>
  <w:style w:type="paragraph" w:customStyle="1" w:styleId="R2-ResBullet">
    <w:name w:val="R2-Res Bullet"/>
    <w:basedOn w:val="Normal"/>
    <w:rsid w:val="00CD1612"/>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CD1612"/>
    <w:pPr>
      <w:pBdr>
        <w:bottom w:val="single" w:sz="24" w:space="1" w:color="AFBED9"/>
      </w:pBdr>
      <w:tabs>
        <w:tab w:val="clear" w:pos="1152"/>
      </w:tabs>
      <w:spacing w:after="480" w:line="360" w:lineRule="exact"/>
      <w:jc w:val="left"/>
    </w:pPr>
    <w:rPr>
      <w:color w:val="000000" w:themeColor="text1"/>
      <w:sz w:val="22"/>
      <w:u w:color="324162"/>
    </w:rPr>
  </w:style>
  <w:style w:type="paragraph" w:customStyle="1" w:styleId="RL-FlLftSgl">
    <w:name w:val="RL-Fl Lft Sgl"/>
    <w:basedOn w:val="Heading1"/>
    <w:rsid w:val="00AF3D1A"/>
    <w:pPr>
      <w:tabs>
        <w:tab w:val="clear" w:pos="1152"/>
      </w:tabs>
      <w:spacing w:line="240" w:lineRule="atLeast"/>
      <w:jc w:val="left"/>
    </w:pPr>
    <w:rPr>
      <w:sz w:val="22"/>
    </w:rPr>
  </w:style>
  <w:style w:type="paragraph" w:customStyle="1" w:styleId="SU-FlLftUndln">
    <w:name w:val="SU-Fl Lft Undln"/>
    <w:basedOn w:val="Normal"/>
    <w:rsid w:val="00CD1612"/>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4D4014"/>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CD1612"/>
    <w:pPr>
      <w:tabs>
        <w:tab w:val="clear" w:pos="1152"/>
      </w:tabs>
      <w:spacing w:line="240" w:lineRule="atLeast"/>
      <w:jc w:val="left"/>
    </w:pPr>
    <w:rPr>
      <w:b w:val="0"/>
      <w:i/>
      <w:color w:val="000000" w:themeColor="text1"/>
      <w:sz w:val="22"/>
    </w:rPr>
  </w:style>
  <w:style w:type="table" w:customStyle="1" w:styleId="TableWestatStandardFormat">
    <w:name w:val="Table Westat Standard Format"/>
    <w:basedOn w:val="TableNormal"/>
    <w:rsid w:val="00212FFB"/>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D1612"/>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4D4014"/>
    <w:rPr>
      <w:rFonts w:ascii="Franklin Gothic Medium" w:hAnsi="Franklin Gothic Medium"/>
      <w:sz w:val="16"/>
      <w:szCs w:val="20"/>
    </w:rPr>
  </w:style>
  <w:style w:type="paragraph" w:customStyle="1" w:styleId="TH-TableHeading">
    <w:name w:val="TH-Table Heading"/>
    <w:basedOn w:val="Heading1"/>
    <w:rsid w:val="004D4014"/>
    <w:pPr>
      <w:spacing w:line="240" w:lineRule="atLeast"/>
      <w:jc w:val="center"/>
    </w:pPr>
    <w:rPr>
      <w:rFonts w:ascii="Franklin Gothic Medium" w:hAnsi="Franklin Gothic Medium"/>
      <w:color w:val="000000" w:themeColor="text1"/>
      <w:sz w:val="20"/>
      <w:szCs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4D4014"/>
    <w:rPr>
      <w:rFonts w:ascii="Franklin Gothic Medium" w:hAnsi="Franklin Gothic Medium"/>
      <w:sz w:val="20"/>
      <w:szCs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noteTextChar">
    <w:name w:val="Footnote Text Char"/>
    <w:aliases w:val="F1 Char"/>
    <w:basedOn w:val="DefaultParagraphFont"/>
    <w:link w:val="FootnoteText"/>
    <w:uiPriority w:val="99"/>
    <w:rsid w:val="004D4014"/>
    <w:rPr>
      <w:color w:val="000000" w:themeColor="text1"/>
      <w:sz w:val="18"/>
      <w:szCs w:val="22"/>
    </w:rPr>
  </w:style>
  <w:style w:type="paragraph" w:styleId="ListParagraph">
    <w:name w:val="List Paragraph"/>
    <w:basedOn w:val="Normal"/>
    <w:uiPriority w:val="34"/>
    <w:qFormat/>
    <w:rsid w:val="003F225B"/>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3F22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22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Chap. Head Char"/>
    <w:basedOn w:val="DefaultParagraphFont"/>
    <w:link w:val="Heading1"/>
    <w:uiPriority w:val="9"/>
    <w:rsid w:val="0006754B"/>
    <w:rPr>
      <w:b/>
      <w:color w:val="324162"/>
      <w:sz w:val="40"/>
      <w:szCs w:val="22"/>
    </w:rPr>
  </w:style>
  <w:style w:type="character" w:customStyle="1" w:styleId="Heading2Char">
    <w:name w:val="Heading 2 Char"/>
    <w:aliases w:val="H2-Sec. Head Char"/>
    <w:basedOn w:val="DefaultParagraphFont"/>
    <w:link w:val="Heading2"/>
    <w:uiPriority w:val="9"/>
    <w:rsid w:val="0006754B"/>
    <w:rPr>
      <w:b/>
      <w:color w:val="324162"/>
      <w:sz w:val="22"/>
      <w:szCs w:val="22"/>
    </w:rPr>
  </w:style>
  <w:style w:type="character" w:customStyle="1" w:styleId="Heading3Char">
    <w:name w:val="Heading 3 Char"/>
    <w:aliases w:val="H3-Sec. Head Char"/>
    <w:basedOn w:val="DefaultParagraphFont"/>
    <w:link w:val="Heading3"/>
    <w:uiPriority w:val="9"/>
    <w:rsid w:val="0006754B"/>
    <w:rPr>
      <w:b/>
      <w:color w:val="324162"/>
      <w:sz w:val="22"/>
      <w:szCs w:val="22"/>
    </w:rPr>
  </w:style>
  <w:style w:type="character" w:styleId="CommentReference">
    <w:name w:val="annotation reference"/>
    <w:basedOn w:val="DefaultParagraphFont"/>
    <w:semiHidden/>
    <w:unhideWhenUsed/>
    <w:rsid w:val="003F225B"/>
    <w:rPr>
      <w:sz w:val="16"/>
      <w:szCs w:val="16"/>
    </w:rPr>
  </w:style>
  <w:style w:type="paragraph" w:styleId="CommentText">
    <w:name w:val="annotation text"/>
    <w:basedOn w:val="Normal"/>
    <w:link w:val="CommentTextChar"/>
    <w:unhideWhenUsed/>
    <w:rsid w:val="003F225B"/>
    <w:pPr>
      <w:spacing w:after="200"/>
    </w:pPr>
    <w:rPr>
      <w:rFonts w:eastAsiaTheme="minorHAnsi" w:cstheme="minorBidi"/>
      <w:sz w:val="20"/>
      <w:szCs w:val="20"/>
    </w:rPr>
  </w:style>
  <w:style w:type="character" w:customStyle="1" w:styleId="CommentTextChar">
    <w:name w:val="Comment Text Char"/>
    <w:basedOn w:val="DefaultParagraphFont"/>
    <w:link w:val="CommentText"/>
    <w:rsid w:val="003F225B"/>
    <w:rPr>
      <w:rFonts w:eastAsiaTheme="minorHAnsi" w:cstheme="minorBidi"/>
    </w:rPr>
  </w:style>
  <w:style w:type="paragraph" w:styleId="CommentSubject">
    <w:name w:val="annotation subject"/>
    <w:basedOn w:val="CommentText"/>
    <w:next w:val="CommentText"/>
    <w:link w:val="CommentSubjectChar"/>
    <w:uiPriority w:val="99"/>
    <w:semiHidden/>
    <w:unhideWhenUsed/>
    <w:rsid w:val="003F225B"/>
    <w:rPr>
      <w:b/>
      <w:bCs/>
    </w:rPr>
  </w:style>
  <w:style w:type="character" w:customStyle="1" w:styleId="CommentSubjectChar">
    <w:name w:val="Comment Subject Char"/>
    <w:basedOn w:val="CommentTextChar"/>
    <w:link w:val="CommentSubject"/>
    <w:uiPriority w:val="99"/>
    <w:semiHidden/>
    <w:rsid w:val="003F225B"/>
    <w:rPr>
      <w:rFonts w:eastAsiaTheme="minorHAnsi" w:cstheme="minorBidi"/>
      <w:b/>
      <w:bCs/>
    </w:rPr>
  </w:style>
  <w:style w:type="character" w:customStyle="1" w:styleId="HeaderChar">
    <w:name w:val="Header Char"/>
    <w:basedOn w:val="DefaultParagraphFont"/>
    <w:link w:val="Header"/>
    <w:uiPriority w:val="99"/>
    <w:rsid w:val="003F225B"/>
    <w:rPr>
      <w:rFonts w:ascii="Arial" w:hAnsi="Arial" w:cs="Arial"/>
      <w:szCs w:val="22"/>
    </w:rPr>
  </w:style>
  <w:style w:type="character" w:customStyle="1" w:styleId="FooterChar">
    <w:name w:val="Footer Char"/>
    <w:basedOn w:val="DefaultParagraphFont"/>
    <w:link w:val="Footer"/>
    <w:uiPriority w:val="99"/>
    <w:rsid w:val="003F225B"/>
    <w:rPr>
      <w:rFonts w:ascii="Arial" w:hAnsi="Arial" w:cs="Arial"/>
      <w:sz w:val="22"/>
      <w:szCs w:val="22"/>
    </w:rPr>
  </w:style>
  <w:style w:type="character" w:customStyle="1" w:styleId="L1-FlLSp12Char">
    <w:name w:val="L1-FlL Sp&amp;1/2 Char"/>
    <w:link w:val="L1-FlLSp12"/>
    <w:locked/>
    <w:rsid w:val="00DB16DE"/>
    <w:rPr>
      <w:color w:val="000000" w:themeColor="text1"/>
      <w:sz w:val="22"/>
      <w:szCs w:val="22"/>
    </w:rPr>
  </w:style>
  <w:style w:type="character" w:customStyle="1" w:styleId="Heading4Char">
    <w:name w:val="Heading 4 Char"/>
    <w:aliases w:val="H4-Sec. Head Char"/>
    <w:basedOn w:val="DefaultParagraphFont"/>
    <w:link w:val="Heading4"/>
    <w:uiPriority w:val="9"/>
    <w:rsid w:val="003F225B"/>
    <w:rPr>
      <w:rFonts w:cs="Arial"/>
      <w:b/>
      <w:color w:val="000000" w:themeColor="text1"/>
      <w:sz w:val="22"/>
      <w:szCs w:val="22"/>
    </w:rPr>
  </w:style>
  <w:style w:type="character" w:customStyle="1" w:styleId="Heading5Char">
    <w:name w:val="Heading 5 Char"/>
    <w:aliases w:val="H5-Sec. Head Char"/>
    <w:basedOn w:val="DefaultParagraphFont"/>
    <w:link w:val="Heading5"/>
    <w:uiPriority w:val="9"/>
    <w:rsid w:val="0006754B"/>
    <w:rPr>
      <w:b/>
      <w:color w:val="324162"/>
      <w:sz w:val="22"/>
      <w:szCs w:val="22"/>
    </w:rPr>
  </w:style>
  <w:style w:type="character" w:customStyle="1" w:styleId="Heading6Char">
    <w:name w:val="Heading 6 Char"/>
    <w:basedOn w:val="DefaultParagraphFont"/>
    <w:link w:val="Heading6"/>
    <w:uiPriority w:val="9"/>
    <w:rsid w:val="003F225B"/>
    <w:rPr>
      <w:rFonts w:ascii="Arial" w:hAnsi="Arial" w:cs="Arial"/>
      <w:b/>
      <w:caps/>
      <w:sz w:val="22"/>
      <w:szCs w:val="22"/>
    </w:rPr>
  </w:style>
  <w:style w:type="paragraph" w:styleId="NormalWeb">
    <w:name w:val="Normal (Web)"/>
    <w:basedOn w:val="Normal"/>
    <w:uiPriority w:val="99"/>
    <w:semiHidden/>
    <w:unhideWhenUsed/>
    <w:rsid w:val="003F225B"/>
    <w:pPr>
      <w:spacing w:before="100" w:beforeAutospacing="1" w:after="100" w:afterAutospacing="1"/>
    </w:pPr>
    <w:rPr>
      <w:sz w:val="24"/>
      <w:szCs w:val="24"/>
    </w:rPr>
  </w:style>
  <w:style w:type="character" w:customStyle="1" w:styleId="apple-converted-space">
    <w:name w:val="apple-converted-space"/>
    <w:basedOn w:val="DefaultParagraphFont"/>
    <w:rsid w:val="003F225B"/>
  </w:style>
  <w:style w:type="character" w:styleId="Hyperlink">
    <w:name w:val="Hyperlink"/>
    <w:basedOn w:val="DefaultParagraphFont"/>
    <w:uiPriority w:val="99"/>
    <w:unhideWhenUsed/>
    <w:rsid w:val="003F225B"/>
    <w:rPr>
      <w:color w:val="0000FF" w:themeColor="hyperlink"/>
      <w:u w:val="single"/>
    </w:rPr>
  </w:style>
  <w:style w:type="character" w:customStyle="1" w:styleId="P1-StandParaChar">
    <w:name w:val="P1-Stand Para Char"/>
    <w:basedOn w:val="DefaultParagraphFont"/>
    <w:link w:val="P1-StandPara"/>
    <w:rsid w:val="003F225B"/>
    <w:rPr>
      <w:rFonts w:cs="Arial"/>
      <w:color w:val="000000" w:themeColor="text1"/>
      <w:sz w:val="22"/>
      <w:szCs w:val="22"/>
    </w:rPr>
  </w:style>
  <w:style w:type="paragraph" w:styleId="NoSpacing">
    <w:name w:val="No Spacing"/>
    <w:uiPriority w:val="1"/>
    <w:qFormat/>
    <w:rsid w:val="003F225B"/>
    <w:rPr>
      <w:rFonts w:asciiTheme="minorHAnsi" w:eastAsiaTheme="minorHAnsi" w:hAnsiTheme="minorHAnsi" w:cstheme="minorBidi"/>
      <w:sz w:val="22"/>
      <w:szCs w:val="22"/>
    </w:rPr>
  </w:style>
  <w:style w:type="paragraph" w:customStyle="1" w:styleId="Default">
    <w:name w:val="Default"/>
    <w:rsid w:val="003463F7"/>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C77E90"/>
    <w:pPr>
      <w:spacing w:line="240" w:lineRule="auto"/>
    </w:pPr>
    <w:rPr>
      <w:sz w:val="20"/>
      <w:szCs w:val="20"/>
    </w:rPr>
  </w:style>
  <w:style w:type="character" w:customStyle="1" w:styleId="EndnoteTextChar">
    <w:name w:val="Endnote Text Char"/>
    <w:basedOn w:val="DefaultParagraphFont"/>
    <w:link w:val="EndnoteText"/>
    <w:uiPriority w:val="99"/>
    <w:semiHidden/>
    <w:rsid w:val="00C77E90"/>
    <w:rPr>
      <w:color w:val="000000" w:themeColor="text1"/>
    </w:rPr>
  </w:style>
  <w:style w:type="character" w:styleId="EndnoteReference">
    <w:name w:val="endnote reference"/>
    <w:basedOn w:val="DefaultParagraphFont"/>
    <w:uiPriority w:val="99"/>
    <w:semiHidden/>
    <w:unhideWhenUsed/>
    <w:rsid w:val="00C77E90"/>
    <w:rPr>
      <w:vertAlign w:val="superscript"/>
    </w:rPr>
  </w:style>
  <w:style w:type="paragraph" w:styleId="Caption">
    <w:name w:val="caption"/>
    <w:basedOn w:val="Normal"/>
    <w:next w:val="Normal"/>
    <w:uiPriority w:val="35"/>
    <w:unhideWhenUsed/>
    <w:qFormat/>
    <w:rsid w:val="001D4DEA"/>
    <w:pPr>
      <w:spacing w:after="200" w:line="240" w:lineRule="auto"/>
    </w:pPr>
    <w:rPr>
      <w:b/>
      <w:bCs/>
      <w:color w:val="4F81BD" w:themeColor="accent1"/>
      <w:sz w:val="18"/>
      <w:szCs w:val="18"/>
    </w:rPr>
  </w:style>
  <w:style w:type="paragraph" w:styleId="Revision">
    <w:name w:val="Revision"/>
    <w:hidden/>
    <w:uiPriority w:val="99"/>
    <w:semiHidden/>
    <w:rsid w:val="00755703"/>
    <w:rPr>
      <w:color w:val="000000" w:themeColor="text1"/>
      <w:sz w:val="22"/>
      <w:szCs w:val="22"/>
    </w:rPr>
  </w:style>
  <w:style w:type="character" w:customStyle="1" w:styleId="R1-ResParaChar">
    <w:name w:val="R1-Res. Para Char"/>
    <w:basedOn w:val="DefaultParagraphFont"/>
    <w:link w:val="R1-ResPara"/>
    <w:locked/>
    <w:rsid w:val="00836002"/>
    <w:rPr>
      <w:color w:val="000000" w:themeColor="text1"/>
      <w:sz w:val="22"/>
      <w:szCs w:val="22"/>
    </w:rPr>
  </w:style>
  <w:style w:type="character" w:styleId="Emphasis">
    <w:name w:val="Emphasis"/>
    <w:basedOn w:val="DefaultParagraphFont"/>
    <w:uiPriority w:val="20"/>
    <w:qFormat/>
    <w:rsid w:val="009728A2"/>
    <w:rPr>
      <w:i/>
      <w:iCs/>
    </w:rPr>
  </w:style>
  <w:style w:type="paragraph" w:styleId="BodyText">
    <w:name w:val="Body Text"/>
    <w:basedOn w:val="Normal"/>
    <w:link w:val="BodyTextChar"/>
    <w:rsid w:val="002B46D3"/>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2B46D3"/>
    <w:rPr>
      <w:sz w:val="24"/>
      <w:szCs w:val="24"/>
    </w:rPr>
  </w:style>
  <w:style w:type="table" w:styleId="TableGrid">
    <w:name w:val="Table Grid"/>
    <w:basedOn w:val="TableNormal"/>
    <w:uiPriority w:val="59"/>
    <w:rsid w:val="0087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92D09"/>
    <w:rPr>
      <w:i/>
      <w:iCs/>
    </w:rPr>
  </w:style>
  <w:style w:type="character" w:customStyle="1" w:styleId="cit-auth2">
    <w:name w:val="cit-auth2"/>
    <w:basedOn w:val="DefaultParagraphFont"/>
    <w:rsid w:val="00A92D09"/>
  </w:style>
  <w:style w:type="character" w:customStyle="1" w:styleId="cit-name-surname">
    <w:name w:val="cit-name-surname"/>
    <w:basedOn w:val="DefaultParagraphFont"/>
    <w:rsid w:val="00A92D09"/>
  </w:style>
  <w:style w:type="character" w:customStyle="1" w:styleId="cit-name-given-names">
    <w:name w:val="cit-name-given-names"/>
    <w:basedOn w:val="DefaultParagraphFont"/>
    <w:rsid w:val="00A92D09"/>
  </w:style>
  <w:style w:type="character" w:customStyle="1" w:styleId="cit-article-title">
    <w:name w:val="cit-article-title"/>
    <w:basedOn w:val="DefaultParagraphFont"/>
    <w:rsid w:val="00A92D09"/>
  </w:style>
  <w:style w:type="character" w:customStyle="1" w:styleId="cit-pub-date">
    <w:name w:val="cit-pub-date"/>
    <w:basedOn w:val="DefaultParagraphFont"/>
    <w:rsid w:val="00A92D09"/>
  </w:style>
  <w:style w:type="character" w:customStyle="1" w:styleId="cit-vol5">
    <w:name w:val="cit-vol5"/>
    <w:basedOn w:val="DefaultParagraphFont"/>
    <w:rsid w:val="00A92D09"/>
  </w:style>
  <w:style w:type="character" w:customStyle="1" w:styleId="cit-fpage">
    <w:name w:val="cit-fpage"/>
    <w:basedOn w:val="DefaultParagraphFont"/>
    <w:rsid w:val="00A92D09"/>
  </w:style>
  <w:style w:type="character" w:customStyle="1" w:styleId="cit-lpage">
    <w:name w:val="cit-lpage"/>
    <w:basedOn w:val="DefaultParagraphFont"/>
    <w:rsid w:val="00A9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194">
      <w:bodyDiv w:val="1"/>
      <w:marLeft w:val="0"/>
      <w:marRight w:val="0"/>
      <w:marTop w:val="0"/>
      <w:marBottom w:val="0"/>
      <w:divBdr>
        <w:top w:val="none" w:sz="0" w:space="0" w:color="auto"/>
        <w:left w:val="none" w:sz="0" w:space="0" w:color="auto"/>
        <w:bottom w:val="none" w:sz="0" w:space="0" w:color="auto"/>
        <w:right w:val="none" w:sz="0" w:space="0" w:color="auto"/>
      </w:divBdr>
      <w:divsChild>
        <w:div w:id="689525899">
          <w:marLeft w:val="0"/>
          <w:marRight w:val="0"/>
          <w:marTop w:val="100"/>
          <w:marBottom w:val="100"/>
          <w:divBdr>
            <w:top w:val="none" w:sz="0" w:space="0" w:color="auto"/>
            <w:left w:val="single" w:sz="6" w:space="0" w:color="CCCCCC"/>
            <w:bottom w:val="none" w:sz="0" w:space="0" w:color="auto"/>
            <w:right w:val="single" w:sz="6" w:space="0" w:color="CCCCCC"/>
          </w:divBdr>
          <w:divsChild>
            <w:div w:id="550654619">
              <w:marLeft w:val="0"/>
              <w:marRight w:val="0"/>
              <w:marTop w:val="0"/>
              <w:marBottom w:val="0"/>
              <w:divBdr>
                <w:top w:val="none" w:sz="0" w:space="0" w:color="auto"/>
                <w:left w:val="none" w:sz="0" w:space="0" w:color="auto"/>
                <w:bottom w:val="none" w:sz="0" w:space="0" w:color="auto"/>
                <w:right w:val="none" w:sz="0" w:space="0" w:color="auto"/>
              </w:divBdr>
              <w:divsChild>
                <w:div w:id="1234775124">
                  <w:marLeft w:val="0"/>
                  <w:marRight w:val="0"/>
                  <w:marTop w:val="0"/>
                  <w:marBottom w:val="0"/>
                  <w:divBdr>
                    <w:top w:val="none" w:sz="0" w:space="0" w:color="auto"/>
                    <w:left w:val="none" w:sz="0" w:space="0" w:color="auto"/>
                    <w:bottom w:val="none" w:sz="0" w:space="0" w:color="auto"/>
                    <w:right w:val="none" w:sz="0" w:space="0" w:color="auto"/>
                  </w:divBdr>
                  <w:divsChild>
                    <w:div w:id="1271737382">
                      <w:marLeft w:val="0"/>
                      <w:marRight w:val="0"/>
                      <w:marTop w:val="168"/>
                      <w:marBottom w:val="0"/>
                      <w:divBdr>
                        <w:top w:val="none" w:sz="0" w:space="0" w:color="auto"/>
                        <w:left w:val="none" w:sz="0" w:space="0" w:color="auto"/>
                        <w:bottom w:val="none" w:sz="0" w:space="0" w:color="auto"/>
                        <w:right w:val="none" w:sz="0" w:space="0" w:color="auto"/>
                      </w:divBdr>
                      <w:divsChild>
                        <w:div w:id="2187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4595">
      <w:bodyDiv w:val="1"/>
      <w:marLeft w:val="0"/>
      <w:marRight w:val="0"/>
      <w:marTop w:val="0"/>
      <w:marBottom w:val="0"/>
      <w:divBdr>
        <w:top w:val="none" w:sz="0" w:space="0" w:color="auto"/>
        <w:left w:val="none" w:sz="0" w:space="0" w:color="auto"/>
        <w:bottom w:val="none" w:sz="0" w:space="0" w:color="auto"/>
        <w:right w:val="none" w:sz="0" w:space="0" w:color="auto"/>
      </w:divBdr>
    </w:div>
    <w:div w:id="590968589">
      <w:bodyDiv w:val="1"/>
      <w:marLeft w:val="0"/>
      <w:marRight w:val="0"/>
      <w:marTop w:val="0"/>
      <w:marBottom w:val="0"/>
      <w:divBdr>
        <w:top w:val="none" w:sz="0" w:space="0" w:color="auto"/>
        <w:left w:val="none" w:sz="0" w:space="0" w:color="auto"/>
        <w:bottom w:val="none" w:sz="0" w:space="0" w:color="auto"/>
        <w:right w:val="none" w:sz="0" w:space="0" w:color="auto"/>
      </w:divBdr>
    </w:div>
    <w:div w:id="600912686">
      <w:bodyDiv w:val="1"/>
      <w:marLeft w:val="0"/>
      <w:marRight w:val="0"/>
      <w:marTop w:val="0"/>
      <w:marBottom w:val="0"/>
      <w:divBdr>
        <w:top w:val="none" w:sz="0" w:space="0" w:color="auto"/>
        <w:left w:val="none" w:sz="0" w:space="0" w:color="auto"/>
        <w:bottom w:val="none" w:sz="0" w:space="0" w:color="auto"/>
        <w:right w:val="none" w:sz="0" w:space="0" w:color="auto"/>
      </w:divBdr>
    </w:div>
    <w:div w:id="614869314">
      <w:bodyDiv w:val="1"/>
      <w:marLeft w:val="0"/>
      <w:marRight w:val="0"/>
      <w:marTop w:val="0"/>
      <w:marBottom w:val="0"/>
      <w:divBdr>
        <w:top w:val="none" w:sz="0" w:space="0" w:color="auto"/>
        <w:left w:val="none" w:sz="0" w:space="0" w:color="auto"/>
        <w:bottom w:val="none" w:sz="0" w:space="0" w:color="auto"/>
        <w:right w:val="none" w:sz="0" w:space="0" w:color="auto"/>
      </w:divBdr>
    </w:div>
    <w:div w:id="695540287">
      <w:bodyDiv w:val="1"/>
      <w:marLeft w:val="0"/>
      <w:marRight w:val="0"/>
      <w:marTop w:val="0"/>
      <w:marBottom w:val="0"/>
      <w:divBdr>
        <w:top w:val="none" w:sz="0" w:space="0" w:color="auto"/>
        <w:left w:val="none" w:sz="0" w:space="0" w:color="auto"/>
        <w:bottom w:val="none" w:sz="0" w:space="0" w:color="auto"/>
        <w:right w:val="none" w:sz="0" w:space="0" w:color="auto"/>
      </w:divBdr>
    </w:div>
    <w:div w:id="699819284">
      <w:bodyDiv w:val="1"/>
      <w:marLeft w:val="0"/>
      <w:marRight w:val="0"/>
      <w:marTop w:val="0"/>
      <w:marBottom w:val="0"/>
      <w:divBdr>
        <w:top w:val="none" w:sz="0" w:space="0" w:color="auto"/>
        <w:left w:val="none" w:sz="0" w:space="0" w:color="auto"/>
        <w:bottom w:val="none" w:sz="0" w:space="0" w:color="auto"/>
        <w:right w:val="none" w:sz="0" w:space="0" w:color="auto"/>
      </w:divBdr>
    </w:div>
    <w:div w:id="1156071881">
      <w:bodyDiv w:val="1"/>
      <w:marLeft w:val="0"/>
      <w:marRight w:val="0"/>
      <w:marTop w:val="0"/>
      <w:marBottom w:val="0"/>
      <w:divBdr>
        <w:top w:val="none" w:sz="0" w:space="0" w:color="auto"/>
        <w:left w:val="none" w:sz="0" w:space="0" w:color="auto"/>
        <w:bottom w:val="none" w:sz="0" w:space="0" w:color="auto"/>
        <w:right w:val="none" w:sz="0" w:space="0" w:color="auto"/>
      </w:divBdr>
    </w:div>
    <w:div w:id="1403598655">
      <w:bodyDiv w:val="1"/>
      <w:marLeft w:val="0"/>
      <w:marRight w:val="0"/>
      <w:marTop w:val="0"/>
      <w:marBottom w:val="0"/>
      <w:divBdr>
        <w:top w:val="none" w:sz="0" w:space="0" w:color="auto"/>
        <w:left w:val="none" w:sz="0" w:space="0" w:color="auto"/>
        <w:bottom w:val="none" w:sz="0" w:space="0" w:color="auto"/>
        <w:right w:val="none" w:sz="0" w:space="0" w:color="auto"/>
      </w:divBdr>
    </w:div>
    <w:div w:id="1548182473">
      <w:bodyDiv w:val="1"/>
      <w:marLeft w:val="0"/>
      <w:marRight w:val="0"/>
      <w:marTop w:val="0"/>
      <w:marBottom w:val="0"/>
      <w:divBdr>
        <w:top w:val="none" w:sz="0" w:space="0" w:color="auto"/>
        <w:left w:val="none" w:sz="0" w:space="0" w:color="auto"/>
        <w:bottom w:val="none" w:sz="0" w:space="0" w:color="auto"/>
        <w:right w:val="none" w:sz="0" w:space="0" w:color="auto"/>
      </w:divBdr>
    </w:div>
    <w:div w:id="1706254362">
      <w:bodyDiv w:val="1"/>
      <w:marLeft w:val="0"/>
      <w:marRight w:val="0"/>
      <w:marTop w:val="0"/>
      <w:marBottom w:val="0"/>
      <w:divBdr>
        <w:top w:val="none" w:sz="0" w:space="0" w:color="auto"/>
        <w:left w:val="none" w:sz="0" w:space="0" w:color="auto"/>
        <w:bottom w:val="none" w:sz="0" w:space="0" w:color="auto"/>
        <w:right w:val="none" w:sz="0" w:space="0" w:color="auto"/>
      </w:divBdr>
    </w:div>
    <w:div w:id="1742946786">
      <w:bodyDiv w:val="1"/>
      <w:marLeft w:val="0"/>
      <w:marRight w:val="0"/>
      <w:marTop w:val="0"/>
      <w:marBottom w:val="0"/>
      <w:divBdr>
        <w:top w:val="none" w:sz="0" w:space="0" w:color="auto"/>
        <w:left w:val="none" w:sz="0" w:space="0" w:color="auto"/>
        <w:bottom w:val="none" w:sz="0" w:space="0" w:color="auto"/>
        <w:right w:val="none" w:sz="0" w:space="0" w:color="auto"/>
      </w:divBdr>
    </w:div>
    <w:div w:id="1852253107">
      <w:bodyDiv w:val="1"/>
      <w:marLeft w:val="0"/>
      <w:marRight w:val="0"/>
      <w:marTop w:val="0"/>
      <w:marBottom w:val="0"/>
      <w:divBdr>
        <w:top w:val="none" w:sz="0" w:space="0" w:color="auto"/>
        <w:left w:val="none" w:sz="0" w:space="0" w:color="auto"/>
        <w:bottom w:val="none" w:sz="0" w:space="0" w:color="auto"/>
        <w:right w:val="none" w:sz="0" w:space="0" w:color="auto"/>
      </w:divBdr>
    </w:div>
    <w:div w:id="1852257140">
      <w:bodyDiv w:val="1"/>
      <w:marLeft w:val="0"/>
      <w:marRight w:val="0"/>
      <w:marTop w:val="0"/>
      <w:marBottom w:val="0"/>
      <w:divBdr>
        <w:top w:val="none" w:sz="0" w:space="0" w:color="auto"/>
        <w:left w:val="none" w:sz="0" w:space="0" w:color="auto"/>
        <w:bottom w:val="none" w:sz="0" w:space="0" w:color="auto"/>
        <w:right w:val="none" w:sz="0" w:space="0" w:color="auto"/>
      </w:divBdr>
    </w:div>
    <w:div w:id="2027057406">
      <w:bodyDiv w:val="1"/>
      <w:marLeft w:val="0"/>
      <w:marRight w:val="0"/>
      <w:marTop w:val="0"/>
      <w:marBottom w:val="0"/>
      <w:divBdr>
        <w:top w:val="none" w:sz="0" w:space="0" w:color="auto"/>
        <w:left w:val="none" w:sz="0" w:space="0" w:color="auto"/>
        <w:bottom w:val="none" w:sz="0" w:space="0" w:color="auto"/>
        <w:right w:val="none" w:sz="0" w:space="0" w:color="auto"/>
      </w:divBdr>
    </w:div>
    <w:div w:id="2030063438">
      <w:bodyDiv w:val="1"/>
      <w:marLeft w:val="0"/>
      <w:marRight w:val="0"/>
      <w:marTop w:val="0"/>
      <w:marBottom w:val="0"/>
      <w:divBdr>
        <w:top w:val="none" w:sz="0" w:space="0" w:color="auto"/>
        <w:left w:val="none" w:sz="0" w:space="0" w:color="auto"/>
        <w:bottom w:val="none" w:sz="0" w:space="0" w:color="auto"/>
        <w:right w:val="none" w:sz="0" w:space="0" w:color="auto"/>
      </w:divBdr>
      <w:divsChild>
        <w:div w:id="1309477161">
          <w:marLeft w:val="0"/>
          <w:marRight w:val="0"/>
          <w:marTop w:val="100"/>
          <w:marBottom w:val="100"/>
          <w:divBdr>
            <w:top w:val="none" w:sz="0" w:space="0" w:color="auto"/>
            <w:left w:val="single" w:sz="6" w:space="0" w:color="CCCCCC"/>
            <w:bottom w:val="none" w:sz="0" w:space="0" w:color="auto"/>
            <w:right w:val="single" w:sz="6" w:space="0" w:color="CCCCCC"/>
          </w:divBdr>
          <w:divsChild>
            <w:div w:id="1205211022">
              <w:marLeft w:val="0"/>
              <w:marRight w:val="0"/>
              <w:marTop w:val="0"/>
              <w:marBottom w:val="0"/>
              <w:divBdr>
                <w:top w:val="none" w:sz="0" w:space="0" w:color="auto"/>
                <w:left w:val="none" w:sz="0" w:space="0" w:color="auto"/>
                <w:bottom w:val="none" w:sz="0" w:space="0" w:color="auto"/>
                <w:right w:val="none" w:sz="0" w:space="0" w:color="auto"/>
              </w:divBdr>
              <w:divsChild>
                <w:div w:id="409930147">
                  <w:marLeft w:val="0"/>
                  <w:marRight w:val="0"/>
                  <w:marTop w:val="0"/>
                  <w:marBottom w:val="0"/>
                  <w:divBdr>
                    <w:top w:val="none" w:sz="0" w:space="0" w:color="auto"/>
                    <w:left w:val="none" w:sz="0" w:space="0" w:color="auto"/>
                    <w:bottom w:val="none" w:sz="0" w:space="0" w:color="auto"/>
                    <w:right w:val="none" w:sz="0" w:space="0" w:color="auto"/>
                  </w:divBdr>
                  <w:divsChild>
                    <w:div w:id="1466659335">
                      <w:marLeft w:val="0"/>
                      <w:marRight w:val="0"/>
                      <w:marTop w:val="168"/>
                      <w:marBottom w:val="0"/>
                      <w:divBdr>
                        <w:top w:val="none" w:sz="0" w:space="0" w:color="auto"/>
                        <w:left w:val="none" w:sz="0" w:space="0" w:color="auto"/>
                        <w:bottom w:val="none" w:sz="0" w:space="0" w:color="auto"/>
                        <w:right w:val="none" w:sz="0" w:space="0" w:color="auto"/>
                      </w:divBdr>
                      <w:divsChild>
                        <w:div w:id="5588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6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hts.ornl.gov/2009/pub/Compendium_2014.pdf" TargetMode="External"/><Relationship Id="rId3" Type="http://schemas.openxmlformats.org/officeDocument/2006/relationships/customXml" Target="../customXml/item3.xml"/><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Adella.Santos@do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49"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nlinepubs.trb.org/onlinepubs/circulars/ec17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rban.org/publications/1001376.html" TargetMode="External"/><Relationship Id="rId2" Type="http://schemas.openxmlformats.org/officeDocument/2006/relationships/hyperlink" Target="http://www.urban.org/publications/1001376.html" TargetMode="External"/><Relationship Id="rId1" Type="http://schemas.openxmlformats.org/officeDocument/2006/relationships/hyperlink" Target="http://www.cdc.gov/nchs/nhis.htm" TargetMode="External"/><Relationship Id="rId5" Type="http://schemas.openxmlformats.org/officeDocument/2006/relationships/hyperlink" Target="http://surveypractice.org/index.php/SurveyPractice/article/viewFile/251/pdf" TargetMode="External"/><Relationship Id="rId4" Type="http://schemas.openxmlformats.org/officeDocument/2006/relationships/hyperlink" Target="http://www.huduser.org/portal/datasets/fmr/fmr2013p/FMR_Surveys_Experiment_Report_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4324F4E0360E499F5CAED5F977B4E5" ma:contentTypeVersion="" ma:contentTypeDescription="Create a new document." ma:contentTypeScope="" ma:versionID="c14f46c6c35947847599a066344291b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4543-1E2F-42CE-8677-D910A61EF36B}">
  <ds:schemaRefs>
    <ds:schemaRef ds:uri="http://schemas.microsoft.com/sharepoint/v3/contenttype/forms"/>
  </ds:schemaRefs>
</ds:datastoreItem>
</file>

<file path=customXml/itemProps2.xml><?xml version="1.0" encoding="utf-8"?>
<ds:datastoreItem xmlns:ds="http://schemas.openxmlformats.org/officeDocument/2006/customXml" ds:itemID="{9CF96EA3-3E28-4BC1-85F2-013C383C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62B627-C80A-44DF-AD7D-4DF60C1C3A1F}">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5F0E493-BBCD-4BB9-B6AA-B37C6A6C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7500</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2014-549: Proposal</vt:lpstr>
    </vt:vector>
  </TitlesOfParts>
  <Company>Westat</Company>
  <LinksUpToDate>false</LinksUpToDate>
  <CharactersWithSpaces>48985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2014-549: Proposal</dc:title>
  <dc:creator>Debra Reames</dc:creator>
  <cp:lastModifiedBy>Adella</cp:lastModifiedBy>
  <cp:revision>3</cp:revision>
  <cp:lastPrinted>2015-07-30T19:16:00Z</cp:lastPrinted>
  <dcterms:created xsi:type="dcterms:W3CDTF">2015-07-30T19:23:00Z</dcterms:created>
  <dcterms:modified xsi:type="dcterms:W3CDTF">2015-07-30T19:24:00Z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0x0101000F4324F4E0360E499F5CAED5F977B4E5</vt:lpwstr>
  </property>
</Properties>
</file>