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30A" w:rsidRDefault="00266CAC">
      <w:pPr>
        <w:tabs>
          <w:tab w:val="clear" w:pos="360"/>
        </w:tabs>
        <w:spacing w:before="0" w:after="0" w:afterAutospacing="0"/>
        <w:jc w:val="left"/>
      </w:pPr>
      <w:r>
        <w:rPr>
          <w:noProof/>
        </w:rPr>
        <mc:AlternateContent>
          <mc:Choice Requires="wps">
            <w:drawing>
              <wp:anchor distT="0" distB="0" distL="114300" distR="114300" simplePos="0" relativeHeight="251669504" behindDoc="1" locked="0" layoutInCell="1" allowOverlap="1" wp14:anchorId="11B74D98" wp14:editId="40288DC5">
                <wp:simplePos x="0" y="0"/>
                <wp:positionH relativeFrom="column">
                  <wp:posOffset>-450850</wp:posOffset>
                </wp:positionH>
                <wp:positionV relativeFrom="paragraph">
                  <wp:posOffset>-236855</wp:posOffset>
                </wp:positionV>
                <wp:extent cx="6858000" cy="45720"/>
                <wp:effectExtent l="0" t="1270" r="3175" b="635"/>
                <wp:wrapThrough wrapText="bothSides">
                  <wp:wrapPolygon edited="0">
                    <wp:start x="-36" y="0"/>
                    <wp:lineTo x="-36" y="18600"/>
                    <wp:lineTo x="21600" y="18600"/>
                    <wp:lineTo x="21600" y="0"/>
                    <wp:lineTo x="-36" y="0"/>
                  </wp:wrapPolygon>
                </wp:wrapThrough>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5pt;margin-top:-18.65pt;width:540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" fillcolor="#0c95d3" stroked="f" strokecolor="#f2f2f2" strokeweight="3pt">
                <v:shadow color="#205867 [1608]" opacity=".5" offset="1pt"/>
                <w10:wrap type="through"/>
              </v:rect>
            </w:pict>
          </mc:Fallback>
        </mc:AlternateContent>
      </w:r>
      <w:r w:rsidR="005B030A">
        <w:rPr>
          <w:noProof/>
        </w:rPr>
        <w:drawing>
          <wp:anchor distT="0" distB="0" distL="114300" distR="114300" simplePos="0" relativeHeight="251668480" behindDoc="0" locked="0" layoutInCell="1" allowOverlap="1" wp14:anchorId="6ED39854" wp14:editId="4687BF95">
            <wp:simplePos x="0" y="0"/>
            <wp:positionH relativeFrom="column">
              <wp:posOffset>5080</wp:posOffset>
            </wp:positionH>
            <wp:positionV relativeFrom="paragraph">
              <wp:posOffset>67945</wp:posOffset>
            </wp:positionV>
            <wp:extent cx="3181350" cy="614045"/>
            <wp:effectExtent l="19050" t="0" r="0" b="0"/>
            <wp:wrapThrough wrapText="bothSides">
              <wp:wrapPolygon edited="0">
                <wp:start x="-129" y="0"/>
                <wp:lineTo x="-129" y="20774"/>
                <wp:lineTo x="21600" y="20774"/>
                <wp:lineTo x="21600" y="0"/>
                <wp:lineTo x="-129" y="0"/>
              </wp:wrapPolygon>
            </wp:wrapThrough>
            <wp:docPr id="16"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81350" cy="614045"/>
                    </a:xfrm>
                    <a:prstGeom prst="rect">
                      <a:avLst/>
                    </a:prstGeom>
                  </pic:spPr>
                </pic:pic>
              </a:graphicData>
            </a:graphic>
          </wp:anchor>
        </w:drawing>
      </w:r>
    </w:p>
    <w:sdt>
      <w:sdtPr>
        <w:rPr>
          <w:noProof/>
        </w:rPr>
        <w:id w:val="37707067"/>
        <w:docPartObj>
          <w:docPartGallery w:val="Cover Pages"/>
        </w:docPartObj>
      </w:sdtPr>
      <w:sdtEndPr>
        <w:rPr>
          <w:noProof w:val="0"/>
        </w:rPr>
      </w:sdtEndPr>
      <w:sdtContent>
        <w:p w:rsidR="005B030A" w:rsidRDefault="00266CAC" w:rsidP="005B030A">
          <w:pPr>
            <w:rPr>
              <w:noProof/>
            </w:rPr>
          </w:pPr>
          <w:r>
            <w:rPr>
              <w:noProof/>
            </w:rPr>
            <mc:AlternateContent>
              <mc:Choice Requires="wps">
                <w:drawing>
                  <wp:anchor distT="0" distB="0" distL="114300" distR="114300" simplePos="0" relativeHeight="251670528" behindDoc="0" locked="0" layoutInCell="1" allowOverlap="1" wp14:anchorId="69504BBE" wp14:editId="4876AF16">
                    <wp:simplePos x="0" y="0"/>
                    <wp:positionH relativeFrom="margin">
                      <wp:posOffset>-450850</wp:posOffset>
                    </wp:positionH>
                    <wp:positionV relativeFrom="margin">
                      <wp:posOffset>838200</wp:posOffset>
                    </wp:positionV>
                    <wp:extent cx="6858000" cy="0"/>
                    <wp:effectExtent l="6350" t="9525" r="12700" b="9525"/>
                    <wp:wrapSquare wrapText="bothSides"/>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5.5pt;margin-top:66pt;width:540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f1lMYC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rsidR="005B030A" w:rsidRDefault="00266CAC" w:rsidP="005B030A">
          <w:pPr>
            <w:tabs>
              <w:tab w:val="clear" w:pos="360"/>
              <w:tab w:val="left" w:pos="2020"/>
            </w:tabs>
            <w:ind w:left="1080"/>
          </w:pPr>
          <w:r>
            <w:rPr>
              <w:noProof/>
            </w:rPr>
            <mc:AlternateContent>
              <mc:Choice Requires="wps">
                <w:drawing>
                  <wp:anchor distT="0" distB="0" distL="114300" distR="114300" simplePos="0" relativeHeight="251672576" behindDoc="0" locked="0" layoutInCell="1" allowOverlap="1" wp14:anchorId="0C27AA86" wp14:editId="68C58DC0">
                    <wp:simplePos x="0" y="0"/>
                    <wp:positionH relativeFrom="column">
                      <wp:posOffset>-295275</wp:posOffset>
                    </wp:positionH>
                    <wp:positionV relativeFrom="paragraph">
                      <wp:posOffset>328930</wp:posOffset>
                    </wp:positionV>
                    <wp:extent cx="5975985" cy="466725"/>
                    <wp:effectExtent l="0" t="0" r="0"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Pr="00FA0928" w:rsidRDefault="00630A68" w:rsidP="005B030A">
                                <w:pPr>
                                  <w:jc w:val="left"/>
                                  <w:rPr>
                                    <w:i/>
                                    <w:szCs w:val="28"/>
                                  </w:rPr>
                                </w:pPr>
                                <w:r w:rsidRPr="00FA0928">
                                  <w:rPr>
                                    <w:i/>
                                    <w:szCs w:val="28"/>
                                  </w:rPr>
                                  <w:t>Assistant Administrator for Energy Statistics   Office of Electricity, Renewables &amp; Uranium Statistics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25pt;margin-top:25.9pt;width:470.5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" filled="f" stroked="f">
                    <v:textbox inset="0">
                      <w:txbxContent>
                        <w:p w:rsidR="00630A68" w:rsidRPr="00FA0928" w:rsidRDefault="00630A68" w:rsidP="005B030A">
                          <w:pPr>
                            <w:jc w:val="left"/>
                            <w:rPr>
                              <w:i/>
                              <w:szCs w:val="28"/>
                            </w:rPr>
                          </w:pPr>
                          <w:r w:rsidRPr="00FA0928">
                            <w:rPr>
                              <w:i/>
                              <w:szCs w:val="28"/>
                            </w:rPr>
                            <w:t>Assistant Administrator for Energy Statistics   Office of Electricity, Renewables &amp; Uranium Statistics</w:t>
                          </w:r>
                        </w:p>
                      </w:txbxContent>
                    </v:textbox>
                  </v:shape>
                </w:pict>
              </mc:Fallback>
            </mc:AlternateContent>
          </w:r>
          <w:r w:rsidR="005B030A">
            <w:rPr>
              <w:noProof/>
            </w:rPr>
            <w:softHyphen/>
          </w:r>
          <w:r w:rsidR="005B030A">
            <w:rPr>
              <w:noProof/>
            </w:rPr>
            <w:softHyphen/>
          </w:r>
          <w:r w:rsidR="005B030A">
            <w:rPr>
              <w:noProof/>
            </w:rPr>
            <w:softHyphen/>
          </w:r>
        </w:p>
      </w:sdtContent>
    </w:sdt>
    <w:p w:rsidR="005B030A" w:rsidRDefault="00266CAC" w:rsidP="005B030A">
      <w:r>
        <w:rPr>
          <w:noProof/>
        </w:rPr>
        <mc:AlternateContent>
          <mc:Choice Requires="wps">
            <w:drawing>
              <wp:anchor distT="0" distB="0" distL="114300" distR="114300" simplePos="0" relativeHeight="251671552" behindDoc="0" locked="0" layoutInCell="1" allowOverlap="1" wp14:anchorId="0A525F97" wp14:editId="1529EA84">
                <wp:simplePos x="0" y="0"/>
                <wp:positionH relativeFrom="margin">
                  <wp:posOffset>-390525</wp:posOffset>
                </wp:positionH>
                <wp:positionV relativeFrom="paragraph">
                  <wp:posOffset>197485</wp:posOffset>
                </wp:positionV>
                <wp:extent cx="6940550" cy="1569085"/>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Default="00630A68" w:rsidP="00F00464">
                            <w:pPr>
                              <w:spacing w:before="0"/>
                              <w:ind w:left="86"/>
                              <w:jc w:val="left"/>
                              <w:rPr>
                                <w:rFonts w:ascii="Times New Roman" w:hAnsi="Times New Roman"/>
                                <w:color w:val="4F81BD" w:themeColor="accent1"/>
                                <w:sz w:val="52"/>
                                <w:szCs w:val="56"/>
                              </w:rPr>
                            </w:pPr>
                            <w:r w:rsidRPr="004B21DD">
                              <w:rPr>
                                <w:rFonts w:ascii="Times New Roman" w:hAnsi="Times New Roman"/>
                                <w:color w:val="4F81BD" w:themeColor="accent1"/>
                                <w:sz w:val="52"/>
                                <w:szCs w:val="56"/>
                              </w:rPr>
                              <w:t xml:space="preserve">Supporting Statement for Survey Clearance: </w:t>
                            </w:r>
                            <w:r>
                              <w:rPr>
                                <w:rFonts w:ascii="Times New Roman" w:hAnsi="Times New Roman"/>
                                <w:color w:val="4F81BD" w:themeColor="accent1"/>
                                <w:sz w:val="52"/>
                                <w:szCs w:val="56"/>
                              </w:rPr>
                              <w:t>Densified Biomass Fuel Report</w:t>
                            </w:r>
                          </w:p>
                          <w:p w:rsidR="00630A68" w:rsidRPr="00E158A7" w:rsidRDefault="00630A68" w:rsidP="00F00464">
                            <w:pPr>
                              <w:spacing w:before="0"/>
                              <w:ind w:left="86"/>
                              <w:jc w:val="left"/>
                              <w:rPr>
                                <w:i/>
                                <w:sz w:val="44"/>
                                <w:szCs w:val="52"/>
                              </w:rPr>
                            </w:pPr>
                            <w:r w:rsidRPr="00E158A7">
                              <w:rPr>
                                <w:i/>
                                <w:sz w:val="44"/>
                                <w:szCs w:val="52"/>
                              </w:rPr>
                              <w:t xml:space="preserve">Part </w:t>
                            </w:r>
                            <w:r>
                              <w:rPr>
                                <w:i/>
                                <w:sz w:val="44"/>
                                <w:szCs w:val="52"/>
                              </w:rPr>
                              <w:t>A: Justification</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0.75pt;margin-top:15.55pt;width:546.5pt;height:12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59uQIAAL4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" filled="f" stroked="f">
                <v:textbox inset="0">
                  <w:txbxContent>
                    <w:p w:rsidR="00630A68" w:rsidRDefault="00630A68" w:rsidP="00F00464">
                      <w:pPr>
                        <w:spacing w:before="0"/>
                        <w:ind w:left="86"/>
                        <w:jc w:val="left"/>
                        <w:rPr>
                          <w:rFonts w:ascii="Times New Roman" w:hAnsi="Times New Roman"/>
                          <w:color w:val="4F81BD" w:themeColor="accent1"/>
                          <w:sz w:val="52"/>
                          <w:szCs w:val="56"/>
                        </w:rPr>
                      </w:pPr>
                      <w:r w:rsidRPr="004B21DD">
                        <w:rPr>
                          <w:rFonts w:ascii="Times New Roman" w:hAnsi="Times New Roman"/>
                          <w:color w:val="4F81BD" w:themeColor="accent1"/>
                          <w:sz w:val="52"/>
                          <w:szCs w:val="56"/>
                        </w:rPr>
                        <w:t xml:space="preserve">Supporting Statement for Survey Clearance: </w:t>
                      </w:r>
                      <w:r>
                        <w:rPr>
                          <w:rFonts w:ascii="Times New Roman" w:hAnsi="Times New Roman"/>
                          <w:color w:val="4F81BD" w:themeColor="accent1"/>
                          <w:sz w:val="52"/>
                          <w:szCs w:val="56"/>
                        </w:rPr>
                        <w:t>Densified Biomass Fuel Report</w:t>
                      </w:r>
                    </w:p>
                    <w:p w:rsidR="00630A68" w:rsidRPr="00E158A7" w:rsidRDefault="00630A68" w:rsidP="00F00464">
                      <w:pPr>
                        <w:spacing w:before="0"/>
                        <w:ind w:left="86"/>
                        <w:jc w:val="left"/>
                        <w:rPr>
                          <w:i/>
                          <w:sz w:val="44"/>
                          <w:szCs w:val="52"/>
                        </w:rPr>
                      </w:pPr>
                      <w:r w:rsidRPr="00E158A7">
                        <w:rPr>
                          <w:i/>
                          <w:sz w:val="44"/>
                          <w:szCs w:val="52"/>
                        </w:rPr>
                        <w:t xml:space="preserve">Part </w:t>
                      </w:r>
                      <w:r>
                        <w:rPr>
                          <w:i/>
                          <w:sz w:val="44"/>
                          <w:szCs w:val="52"/>
                        </w:rPr>
                        <w:t>A: Justification</w:t>
                      </w:r>
                    </w:p>
                  </w:txbxContent>
                </v:textbox>
                <w10:wrap anchorx="margin"/>
              </v:shape>
            </w:pict>
          </mc:Fallback>
        </mc:AlternateContent>
      </w:r>
    </w:p>
    <w:p w:rsidR="005B030A" w:rsidRDefault="005B030A" w:rsidP="005B030A"/>
    <w:p w:rsidR="005B030A" w:rsidRDefault="005B030A" w:rsidP="005B030A"/>
    <w:p w:rsidR="005B030A" w:rsidRDefault="00451B80" w:rsidP="00DB5999">
      <w:pPr>
        <w:tabs>
          <w:tab w:val="clear" w:pos="360"/>
        </w:tabs>
        <w:spacing w:before="0" w:line="276" w:lineRule="auto"/>
        <w:jc w:val="left"/>
      </w:pPr>
      <w:r>
        <w:rPr>
          <w:noProof/>
        </w:rPr>
        <mc:AlternateContent>
          <mc:Choice Requires="wps">
            <w:drawing>
              <wp:anchor distT="0" distB="0" distL="114300" distR="114300" simplePos="0" relativeHeight="251677696" behindDoc="0" locked="0" layoutInCell="1" allowOverlap="1" wp14:anchorId="04168873" wp14:editId="6F7D439F">
                <wp:simplePos x="0" y="0"/>
                <wp:positionH relativeFrom="margin">
                  <wp:posOffset>-323850</wp:posOffset>
                </wp:positionH>
                <wp:positionV relativeFrom="margin">
                  <wp:posOffset>3381375</wp:posOffset>
                </wp:positionV>
                <wp:extent cx="4886325" cy="476250"/>
                <wp:effectExtent l="0" t="0" r="0"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Pr="00451B80" w:rsidRDefault="00630A68" w:rsidP="005B030A">
                            <w:pPr>
                              <w:spacing w:before="0"/>
                              <w:jc w:val="left"/>
                              <w:rPr>
                                <w:b/>
                                <w:color w:val="000000" w:themeColor="text1"/>
                                <w:sz w:val="36"/>
                                <w:szCs w:val="36"/>
                              </w:rPr>
                            </w:pPr>
                            <w:r w:rsidRPr="00451B80">
                              <w:rPr>
                                <w:b/>
                                <w:i/>
                                <w:color w:val="000000" w:themeColor="text1"/>
                                <w:sz w:val="36"/>
                                <w:szCs w:val="36"/>
                              </w:rPr>
                              <w:t>FORM EIA-63C</w:t>
                            </w:r>
                            <w:r w:rsidRPr="00451B80">
                              <w:rPr>
                                <w:b/>
                                <w:sz w:val="36"/>
                                <w:szCs w:val="36"/>
                              </w:rPr>
                              <w:t>,</w:t>
                            </w:r>
                            <w:r w:rsidRPr="00451B80">
                              <w:rPr>
                                <w:b/>
                                <w:color w:val="000000" w:themeColor="text1"/>
                                <w:sz w:val="36"/>
                                <w:szCs w:val="36"/>
                              </w:rPr>
                              <w:t xml:space="preserve"> Densified Biomass Fuel Report</w:t>
                            </w:r>
                          </w:p>
                          <w:p w:rsidR="00630A68" w:rsidRPr="00EE03D4" w:rsidRDefault="00630A68" w:rsidP="005B030A">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25.5pt;margin-top:266.25pt;width:384.75pt;height: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" filled="f" stroked="f">
                <v:textbox inset="0">
                  <w:txbxContent>
                    <w:p w:rsidR="00630A68" w:rsidRPr="00451B80" w:rsidRDefault="00630A68" w:rsidP="005B030A">
                      <w:pPr>
                        <w:spacing w:before="0"/>
                        <w:jc w:val="left"/>
                        <w:rPr>
                          <w:b/>
                          <w:color w:val="000000" w:themeColor="text1"/>
                          <w:sz w:val="36"/>
                          <w:szCs w:val="36"/>
                        </w:rPr>
                      </w:pPr>
                      <w:r w:rsidRPr="00451B80">
                        <w:rPr>
                          <w:b/>
                          <w:i/>
                          <w:color w:val="000000" w:themeColor="text1"/>
                          <w:sz w:val="36"/>
                          <w:szCs w:val="36"/>
                        </w:rPr>
                        <w:t>FORM EIA-63C</w:t>
                      </w:r>
                      <w:r w:rsidRPr="00451B80">
                        <w:rPr>
                          <w:b/>
                          <w:sz w:val="36"/>
                          <w:szCs w:val="36"/>
                        </w:rPr>
                        <w:t>,</w:t>
                      </w:r>
                      <w:r w:rsidRPr="00451B80">
                        <w:rPr>
                          <w:b/>
                          <w:color w:val="000000" w:themeColor="text1"/>
                          <w:sz w:val="36"/>
                          <w:szCs w:val="36"/>
                        </w:rPr>
                        <w:t xml:space="preserve"> Densified Biomass Fuel Report</w:t>
                      </w:r>
                    </w:p>
                    <w:p w:rsidR="00630A68" w:rsidRPr="00EE03D4" w:rsidRDefault="00630A68" w:rsidP="005B030A">
                      <w:pPr>
                        <w:jc w:val="left"/>
                        <w:rPr>
                          <w:color w:val="000000" w:themeColor="text1"/>
                          <w:sz w:val="28"/>
                        </w:rPr>
                      </w:pPr>
                    </w:p>
                  </w:txbxContent>
                </v:textbox>
                <w10:wrap type="square" anchorx="margin" anchory="margin"/>
              </v:shape>
            </w:pict>
          </mc:Fallback>
        </mc:AlternateContent>
      </w:r>
      <w:r>
        <w:rPr>
          <w:noProof/>
        </w:rPr>
        <mc:AlternateContent>
          <mc:Choice Requires="wps">
            <w:drawing>
              <wp:anchor distT="0" distB="0" distL="114300" distR="114300" simplePos="0" relativeHeight="251673600" behindDoc="0" locked="0" layoutInCell="1" allowOverlap="1" wp14:anchorId="33980C2B" wp14:editId="6B17AC8E">
                <wp:simplePos x="0" y="0"/>
                <wp:positionH relativeFrom="margin">
                  <wp:posOffset>-330835</wp:posOffset>
                </wp:positionH>
                <wp:positionV relativeFrom="margin">
                  <wp:posOffset>2958465</wp:posOffset>
                </wp:positionV>
                <wp:extent cx="3270250" cy="480695"/>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Pr="00451B80" w:rsidRDefault="00630A68" w:rsidP="005B030A">
                            <w:pPr>
                              <w:rPr>
                                <w:b/>
                                <w:color w:val="000000" w:themeColor="text1"/>
                                <w:sz w:val="36"/>
                                <w:szCs w:val="36"/>
                              </w:rPr>
                            </w:pPr>
                            <w:r w:rsidRPr="00451B80">
                              <w:rPr>
                                <w:b/>
                                <w:color w:val="000000" w:themeColor="text1"/>
                                <w:sz w:val="36"/>
                                <w:szCs w:val="36"/>
                              </w:rPr>
                              <w:t>OMB Number 1905-NEW</w:t>
                            </w:r>
                          </w:p>
                          <w:p w:rsidR="00630A68" w:rsidRPr="004E2F1D" w:rsidRDefault="00630A68" w:rsidP="005B030A">
                            <w:pPr>
                              <w:rPr>
                                <w:b/>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6.05pt;margin-top:232.95pt;width:257.5pt;height:3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NzuQIAAL0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" filled="f" stroked="f">
                <v:textbox inset="0">
                  <w:txbxContent>
                    <w:p w:rsidR="00630A68" w:rsidRPr="00451B80" w:rsidRDefault="00630A68" w:rsidP="005B030A">
                      <w:pPr>
                        <w:rPr>
                          <w:b/>
                          <w:color w:val="000000" w:themeColor="text1"/>
                          <w:sz w:val="36"/>
                          <w:szCs w:val="36"/>
                        </w:rPr>
                      </w:pPr>
                      <w:r w:rsidRPr="00451B80">
                        <w:rPr>
                          <w:b/>
                          <w:color w:val="000000" w:themeColor="text1"/>
                          <w:sz w:val="36"/>
                          <w:szCs w:val="36"/>
                        </w:rPr>
                        <w:t>OMB Number 1905-NEW</w:t>
                      </w:r>
                    </w:p>
                    <w:p w:rsidR="00630A68" w:rsidRPr="004E2F1D" w:rsidRDefault="00630A68" w:rsidP="005B030A">
                      <w:pPr>
                        <w:rPr>
                          <w:b/>
                          <w:color w:val="000000" w:themeColor="text1"/>
                          <w:sz w:val="28"/>
                        </w:rPr>
                      </w:pPr>
                    </w:p>
                  </w:txbxContent>
                </v:textbox>
                <w10:wrap type="square" anchorx="margin" anchory="margin"/>
              </v:shape>
            </w:pict>
          </mc:Fallback>
        </mc:AlternateContent>
      </w:r>
      <w:r w:rsidR="00047FA5">
        <w:rPr>
          <w:noProof/>
        </w:rPr>
        <w:drawing>
          <wp:anchor distT="0" distB="0" distL="114300" distR="114300" simplePos="0" relativeHeight="251680768" behindDoc="0" locked="0" layoutInCell="1" allowOverlap="1" wp14:anchorId="0643A2C0" wp14:editId="6BC7473C">
            <wp:simplePos x="0" y="0"/>
            <wp:positionH relativeFrom="page">
              <wp:posOffset>866140</wp:posOffset>
            </wp:positionH>
            <wp:positionV relativeFrom="page">
              <wp:posOffset>8239760</wp:posOffset>
            </wp:positionV>
            <wp:extent cx="6340475" cy="641350"/>
            <wp:effectExtent l="0" t="0" r="3175" b="6350"/>
            <wp:wrapThrough wrapText="bothSides">
              <wp:wrapPolygon edited="0">
                <wp:start x="0" y="0"/>
                <wp:lineTo x="0" y="21172"/>
                <wp:lineTo x="21546" y="21172"/>
                <wp:lineTo x="21546" y="0"/>
                <wp:lineTo x="0" y="0"/>
              </wp:wrapPolygon>
            </wp:wrapThrough>
            <wp:docPr id="1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0475" cy="641350"/>
                    </a:xfrm>
                    <a:prstGeom prst="rect">
                      <a:avLst/>
                    </a:prstGeom>
                  </pic:spPr>
                </pic:pic>
              </a:graphicData>
            </a:graphic>
          </wp:anchor>
        </w:drawing>
      </w:r>
      <w:r w:rsidR="00266CAC">
        <w:rPr>
          <w:noProof/>
        </w:rPr>
        <mc:AlternateContent>
          <mc:Choice Requires="wps">
            <w:drawing>
              <wp:anchor distT="0" distB="0" distL="114300" distR="114300" simplePos="0" relativeHeight="251679744" behindDoc="0" locked="0" layoutInCell="1" allowOverlap="1" wp14:anchorId="5704BE6F" wp14:editId="6C0A890E">
                <wp:simplePos x="0" y="0"/>
                <wp:positionH relativeFrom="margin">
                  <wp:posOffset>0</wp:posOffset>
                </wp:positionH>
                <wp:positionV relativeFrom="margin">
                  <wp:posOffset>6837680</wp:posOffset>
                </wp:positionV>
                <wp:extent cx="6053455" cy="480695"/>
                <wp:effectExtent l="0" t="0" r="4445" b="0"/>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Pr="00E158A7" w:rsidRDefault="00630A68" w:rsidP="005B030A">
                            <w:pPr>
                              <w:pBdr>
                                <w:top w:val="single" w:sz="8" w:space="12" w:color="BFBFBF" w:themeColor="background1" w:themeShade="BF"/>
                              </w:pBdr>
                              <w:spacing w:before="0"/>
                              <w:rPr>
                                <w:b/>
                                <w:color w:val="000000" w:themeColor="text1"/>
                                <w:sz w:val="28"/>
                              </w:rPr>
                            </w:pPr>
                            <w:r>
                              <w:rPr>
                                <w:b/>
                                <w:color w:val="000000" w:themeColor="text1"/>
                                <w:sz w:val="28"/>
                              </w:rPr>
                              <w:t>Original Date: September 2014</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0;margin-top:538.4pt;width:476.65pt;height:37.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UwuQIAAL0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" filled="f" stroked="f">
                <v:textbox inset="0">
                  <w:txbxContent>
                    <w:p w:rsidR="00630A68" w:rsidRPr="00E158A7" w:rsidRDefault="00630A68" w:rsidP="005B030A">
                      <w:pPr>
                        <w:pBdr>
                          <w:top w:val="single" w:sz="8" w:space="12" w:color="BFBFBF" w:themeColor="background1" w:themeShade="BF"/>
                        </w:pBdr>
                        <w:spacing w:before="0"/>
                        <w:rPr>
                          <w:b/>
                          <w:color w:val="000000" w:themeColor="text1"/>
                          <w:sz w:val="28"/>
                        </w:rPr>
                      </w:pPr>
                      <w:r>
                        <w:rPr>
                          <w:b/>
                          <w:color w:val="000000" w:themeColor="text1"/>
                          <w:sz w:val="28"/>
                        </w:rPr>
                        <w:t>Original Date: September 2014</w:t>
                      </w:r>
                    </w:p>
                  </w:txbxContent>
                </v:textbox>
                <w10:wrap type="square" anchorx="margin" anchory="margin"/>
              </v:shape>
            </w:pict>
          </mc:Fallback>
        </mc:AlternateContent>
      </w:r>
      <w:r w:rsidR="00266CAC">
        <w:rPr>
          <w:noProof/>
        </w:rPr>
        <mc:AlternateContent>
          <mc:Choice Requires="wps">
            <w:drawing>
              <wp:anchor distT="0" distB="0" distL="114300" distR="114300" simplePos="0" relativeHeight="251676672" behindDoc="0" locked="0" layoutInCell="1" allowOverlap="1" wp14:anchorId="6B38CB08" wp14:editId="7CD1CFF0">
                <wp:simplePos x="0" y="0"/>
                <wp:positionH relativeFrom="margin">
                  <wp:posOffset>3258185</wp:posOffset>
                </wp:positionH>
                <wp:positionV relativeFrom="margin">
                  <wp:posOffset>8397875</wp:posOffset>
                </wp:positionV>
                <wp:extent cx="2717800" cy="746125"/>
                <wp:effectExtent l="635"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Pr="008F4CBD" w:rsidRDefault="00630A68" w:rsidP="005B030A">
                            <w:pPr>
                              <w:contextualSpacing/>
                              <w:jc w:val="right"/>
                              <w:rPr>
                                <w:color w:val="808080" w:themeColor="background1" w:themeShade="80"/>
                                <w:kern w:val="24"/>
                                <w:sz w:val="20"/>
                              </w:rPr>
                            </w:pPr>
                            <w:r w:rsidRPr="008F4CBD">
                              <w:rPr>
                                <w:color w:val="808080" w:themeColor="background1" w:themeShade="80"/>
                                <w:kern w:val="24"/>
                                <w:sz w:val="20"/>
                              </w:rPr>
                              <w:t>U.S. Department of Energy</w:t>
                            </w:r>
                          </w:p>
                          <w:p w:rsidR="00630A68" w:rsidRPr="008F4CBD" w:rsidRDefault="00630A68" w:rsidP="005B030A">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256.55pt;margin-top:661.25pt;width:214pt;height:5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" filled="f" stroked="f">
                <v:textbox inset="0">
                  <w:txbxContent>
                    <w:p w:rsidR="00630A68" w:rsidRPr="008F4CBD" w:rsidRDefault="00630A68" w:rsidP="005B030A">
                      <w:pPr>
                        <w:contextualSpacing/>
                        <w:jc w:val="right"/>
                        <w:rPr>
                          <w:color w:val="808080" w:themeColor="background1" w:themeShade="80"/>
                          <w:kern w:val="24"/>
                          <w:sz w:val="20"/>
                        </w:rPr>
                      </w:pPr>
                      <w:r w:rsidRPr="008F4CBD">
                        <w:rPr>
                          <w:color w:val="808080" w:themeColor="background1" w:themeShade="80"/>
                          <w:kern w:val="24"/>
                          <w:sz w:val="20"/>
                        </w:rPr>
                        <w:t>U.S. Department of Energy</w:t>
                      </w:r>
                    </w:p>
                    <w:p w:rsidR="00630A68" w:rsidRPr="008F4CBD" w:rsidRDefault="00630A68" w:rsidP="005B030A">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266CAC">
        <w:rPr>
          <w:noProof/>
        </w:rPr>
        <mc:AlternateContent>
          <mc:Choice Requires="wps">
            <w:drawing>
              <wp:anchor distT="0" distB="0" distL="114300" distR="114300" simplePos="0" relativeHeight="251675648" behindDoc="0" locked="0" layoutInCell="1" allowOverlap="1" wp14:anchorId="182328E5" wp14:editId="17E492AA">
                <wp:simplePos x="0" y="0"/>
                <wp:positionH relativeFrom="margin">
                  <wp:posOffset>0</wp:posOffset>
                </wp:positionH>
                <wp:positionV relativeFrom="margin">
                  <wp:posOffset>8397875</wp:posOffset>
                </wp:positionV>
                <wp:extent cx="2717800" cy="609600"/>
                <wp:effectExtent l="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A68" w:rsidRPr="008F4CBD" w:rsidRDefault="00630A68" w:rsidP="005B030A">
                            <w:pPr>
                              <w:kinsoku w:val="0"/>
                              <w:overflowPunct w:val="0"/>
                              <w:contextualSpacing/>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630A68" w:rsidRPr="008F4CBD" w:rsidRDefault="00630A68" w:rsidP="005B030A">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0;margin-top:661.25pt;width:214pt;height: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" filled="f" stroked="f">
                <v:textbox inset="0,,0">
                  <w:txbxContent>
                    <w:p w:rsidR="00630A68" w:rsidRPr="008F4CBD" w:rsidRDefault="00630A68" w:rsidP="005B030A">
                      <w:pPr>
                        <w:kinsoku w:val="0"/>
                        <w:overflowPunct w:val="0"/>
                        <w:contextualSpacing/>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630A68" w:rsidRPr="008F4CBD" w:rsidRDefault="00630A68" w:rsidP="005B030A">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266CAC">
        <w:rPr>
          <w:noProof/>
        </w:rPr>
        <mc:AlternateContent>
          <mc:Choice Requires="wps">
            <w:drawing>
              <wp:anchor distT="0" distB="0" distL="114300" distR="114300" simplePos="0" relativeHeight="251674624" behindDoc="1" locked="0" layoutInCell="1" allowOverlap="1" wp14:anchorId="36DB4373" wp14:editId="14B75564">
                <wp:simplePos x="0" y="0"/>
                <wp:positionH relativeFrom="column">
                  <wp:posOffset>-450850</wp:posOffset>
                </wp:positionH>
                <wp:positionV relativeFrom="paragraph">
                  <wp:posOffset>6024880</wp:posOffset>
                </wp:positionV>
                <wp:extent cx="6858000" cy="62865"/>
                <wp:effectExtent l="0" t="0" r="3175" b="0"/>
                <wp:wrapThrough wrapText="bothSides">
                  <wp:wrapPolygon edited="0">
                    <wp:start x="-36" y="0"/>
                    <wp:lineTo x="-36" y="18545"/>
                    <wp:lineTo x="21600" y="18545"/>
                    <wp:lineTo x="21600" y="0"/>
                    <wp:lineTo x="-36" y="0"/>
                  </wp:wrapPolygon>
                </wp:wrapThrough>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5.5pt;margin-top:474.4pt;width:540pt;height:4.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" fillcolor="#0c95d3" stroked="f" strokecolor="#f2f2f2" strokeweight="3pt">
                <v:shadow color="#205867 [1608]" opacity=".5" offset="1pt"/>
                <w10:wrap type="through"/>
              </v:rect>
            </w:pict>
          </mc:Fallback>
        </mc:AlternateContent>
      </w:r>
      <w:r w:rsidR="005B030A">
        <w:br w:type="page"/>
      </w:r>
    </w:p>
    <w:bookmarkStart w:id="0" w:name="_Toc401669352" w:displacedByCustomXml="next"/>
    <w:bookmarkStart w:id="1" w:name="_Toc355777698" w:displacedByCustomXml="next"/>
    <w:bookmarkStart w:id="2" w:name="_Toc355777372" w:displacedByCustomXml="next"/>
    <w:sdt>
      <w:sdtPr>
        <w:rPr>
          <w:b/>
          <w:sz w:val="28"/>
          <w:szCs w:val="28"/>
        </w:rPr>
        <w:id w:val="854766148"/>
        <w:docPartObj>
          <w:docPartGallery w:val="Table of Contents"/>
          <w:docPartUnique/>
        </w:docPartObj>
      </w:sdtPr>
      <w:sdtEndPr>
        <w:rPr>
          <w:bCs/>
          <w:noProof/>
          <w:sz w:val="22"/>
          <w:szCs w:val="22"/>
        </w:rPr>
      </w:sdtEndPr>
      <w:sdtContent>
        <w:p w:rsidR="00882D54" w:rsidRPr="00BA1B8D" w:rsidRDefault="00882D54" w:rsidP="00882D54">
          <w:pPr>
            <w:pStyle w:val="TOCHeading"/>
            <w:spacing w:before="60" w:after="60" w:afterAutospacing="0"/>
            <w:rPr>
              <w:b/>
              <w:sz w:val="28"/>
              <w:szCs w:val="28"/>
            </w:rPr>
          </w:pPr>
          <w:r w:rsidRPr="00BA1B8D">
            <w:rPr>
              <w:b/>
              <w:sz w:val="28"/>
              <w:szCs w:val="28"/>
            </w:rPr>
            <w:t>TABLE OF CONTENTS</w:t>
          </w:r>
        </w:p>
        <w:p w:rsidR="00451B80" w:rsidRDefault="00451B80">
          <w:pPr>
            <w:pStyle w:val="TOC1"/>
          </w:pPr>
        </w:p>
        <w:p w:rsidR="00A42822" w:rsidRDefault="00882D54">
          <w:pPr>
            <w:pStyle w:val="TOC1"/>
            <w:rPr>
              <w:b w:val="0"/>
            </w:rPr>
          </w:pPr>
          <w:r>
            <w:fldChar w:fldCharType="begin"/>
          </w:r>
          <w:r>
            <w:instrText xml:space="preserve"> TOC \o "1-3" \h \z \u </w:instrText>
          </w:r>
          <w:r>
            <w:fldChar w:fldCharType="separate"/>
          </w:r>
          <w:hyperlink w:anchor="_Toc421114929" w:history="1">
            <w:r w:rsidR="00A42822" w:rsidRPr="009A2773">
              <w:rPr>
                <w:rStyle w:val="Hyperlink"/>
              </w:rPr>
              <w:t>INTRODUCTION</w:t>
            </w:r>
            <w:r w:rsidR="00A42822">
              <w:rPr>
                <w:webHidden/>
              </w:rPr>
              <w:tab/>
            </w:r>
            <w:r w:rsidR="00A42822">
              <w:rPr>
                <w:webHidden/>
              </w:rPr>
              <w:fldChar w:fldCharType="begin"/>
            </w:r>
            <w:r w:rsidR="00A42822">
              <w:rPr>
                <w:webHidden/>
              </w:rPr>
              <w:instrText xml:space="preserve"> PAGEREF _Toc421114929 \h </w:instrText>
            </w:r>
            <w:r w:rsidR="00A42822">
              <w:rPr>
                <w:webHidden/>
              </w:rPr>
            </w:r>
            <w:r w:rsidR="00A42822">
              <w:rPr>
                <w:webHidden/>
              </w:rPr>
              <w:fldChar w:fldCharType="separate"/>
            </w:r>
            <w:r w:rsidR="000D50AF">
              <w:rPr>
                <w:webHidden/>
              </w:rPr>
              <w:t>3</w:t>
            </w:r>
            <w:r w:rsidR="00A42822">
              <w:rPr>
                <w:webHidden/>
              </w:rPr>
              <w:fldChar w:fldCharType="end"/>
            </w:r>
          </w:hyperlink>
        </w:p>
        <w:p w:rsidR="00A42822" w:rsidRDefault="00090CD5">
          <w:pPr>
            <w:pStyle w:val="TOC1"/>
            <w:rPr>
              <w:b w:val="0"/>
            </w:rPr>
          </w:pPr>
          <w:hyperlink w:anchor="_Toc421114930" w:history="1">
            <w:r w:rsidR="00A42822" w:rsidRPr="009A2773">
              <w:rPr>
                <w:rStyle w:val="Hyperlink"/>
              </w:rPr>
              <w:t>A</w:t>
            </w:r>
            <w:r w:rsidR="00A42822">
              <w:rPr>
                <w:b w:val="0"/>
              </w:rPr>
              <w:tab/>
            </w:r>
            <w:r w:rsidR="00A42822" w:rsidRPr="009A2773">
              <w:rPr>
                <w:rStyle w:val="Hyperlink"/>
              </w:rPr>
              <w:t>JUSTIFICATION</w:t>
            </w:r>
            <w:r w:rsidR="00A42822">
              <w:rPr>
                <w:webHidden/>
              </w:rPr>
              <w:tab/>
            </w:r>
            <w:r w:rsidR="00A42822">
              <w:rPr>
                <w:webHidden/>
              </w:rPr>
              <w:fldChar w:fldCharType="begin"/>
            </w:r>
            <w:r w:rsidR="00A42822">
              <w:rPr>
                <w:webHidden/>
              </w:rPr>
              <w:instrText xml:space="preserve"> PAGEREF _Toc421114930 \h </w:instrText>
            </w:r>
            <w:r w:rsidR="00A42822">
              <w:rPr>
                <w:webHidden/>
              </w:rPr>
            </w:r>
            <w:r w:rsidR="00A42822">
              <w:rPr>
                <w:webHidden/>
              </w:rPr>
              <w:fldChar w:fldCharType="separate"/>
            </w:r>
            <w:r w:rsidR="000D50AF">
              <w:rPr>
                <w:webHidden/>
              </w:rPr>
              <w:t>4</w:t>
            </w:r>
            <w:r w:rsidR="00A42822">
              <w:rPr>
                <w:webHidden/>
              </w:rPr>
              <w:fldChar w:fldCharType="end"/>
            </w:r>
          </w:hyperlink>
        </w:p>
        <w:p w:rsidR="00A42822" w:rsidRDefault="00090CD5">
          <w:pPr>
            <w:pStyle w:val="TOC2"/>
            <w:rPr>
              <w:rFonts w:asciiTheme="minorHAnsi" w:eastAsiaTheme="minorEastAsia" w:hAnsiTheme="minorHAnsi" w:cstheme="minorBidi"/>
              <w:noProof/>
            </w:rPr>
          </w:pPr>
          <w:hyperlink w:anchor="_Toc421114931" w:history="1">
            <w:r w:rsidR="00A42822" w:rsidRPr="009A2773">
              <w:rPr>
                <w:rStyle w:val="Hyperlink"/>
                <w:noProof/>
              </w:rPr>
              <w:t>A.1</w:t>
            </w:r>
            <w:r w:rsidR="00A42822">
              <w:rPr>
                <w:rFonts w:asciiTheme="minorHAnsi" w:eastAsiaTheme="minorEastAsia" w:hAnsiTheme="minorHAnsi" w:cstheme="minorBidi"/>
                <w:noProof/>
              </w:rPr>
              <w:tab/>
            </w:r>
            <w:r w:rsidR="00A42822" w:rsidRPr="009A2773">
              <w:rPr>
                <w:rStyle w:val="Hyperlink"/>
                <w:noProof/>
              </w:rPr>
              <w:t>Legal Justification</w:t>
            </w:r>
            <w:r w:rsidR="00A42822">
              <w:rPr>
                <w:noProof/>
                <w:webHidden/>
              </w:rPr>
              <w:tab/>
            </w:r>
            <w:r w:rsidR="00A42822">
              <w:rPr>
                <w:noProof/>
                <w:webHidden/>
              </w:rPr>
              <w:fldChar w:fldCharType="begin"/>
            </w:r>
            <w:r w:rsidR="00A42822">
              <w:rPr>
                <w:noProof/>
                <w:webHidden/>
              </w:rPr>
              <w:instrText xml:space="preserve"> PAGEREF _Toc421114931 \h </w:instrText>
            </w:r>
            <w:r w:rsidR="00A42822">
              <w:rPr>
                <w:noProof/>
                <w:webHidden/>
              </w:rPr>
            </w:r>
            <w:r w:rsidR="00A42822">
              <w:rPr>
                <w:noProof/>
                <w:webHidden/>
              </w:rPr>
              <w:fldChar w:fldCharType="separate"/>
            </w:r>
            <w:r w:rsidR="000D50AF">
              <w:rPr>
                <w:noProof/>
                <w:webHidden/>
              </w:rPr>
              <w:t>4</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32" w:history="1">
            <w:r w:rsidR="00A42822" w:rsidRPr="009A2773">
              <w:rPr>
                <w:rStyle w:val="Hyperlink"/>
                <w:noProof/>
              </w:rPr>
              <w:t>A.2</w:t>
            </w:r>
            <w:r w:rsidR="00A42822">
              <w:rPr>
                <w:rFonts w:asciiTheme="minorHAnsi" w:eastAsiaTheme="minorEastAsia" w:hAnsiTheme="minorHAnsi" w:cstheme="minorBidi"/>
                <w:noProof/>
              </w:rPr>
              <w:tab/>
            </w:r>
            <w:r w:rsidR="00A42822" w:rsidRPr="009A2773">
              <w:rPr>
                <w:rStyle w:val="Hyperlink"/>
                <w:noProof/>
              </w:rPr>
              <w:t>Needs and Uses of Data</w:t>
            </w:r>
            <w:r w:rsidR="00A42822">
              <w:rPr>
                <w:noProof/>
                <w:webHidden/>
              </w:rPr>
              <w:tab/>
            </w:r>
            <w:r w:rsidR="00A42822">
              <w:rPr>
                <w:noProof/>
                <w:webHidden/>
              </w:rPr>
              <w:fldChar w:fldCharType="begin"/>
            </w:r>
            <w:r w:rsidR="00A42822">
              <w:rPr>
                <w:noProof/>
                <w:webHidden/>
              </w:rPr>
              <w:instrText xml:space="preserve"> PAGEREF _Toc421114932 \h </w:instrText>
            </w:r>
            <w:r w:rsidR="00A42822">
              <w:rPr>
                <w:noProof/>
                <w:webHidden/>
              </w:rPr>
            </w:r>
            <w:r w:rsidR="00A42822">
              <w:rPr>
                <w:noProof/>
                <w:webHidden/>
              </w:rPr>
              <w:fldChar w:fldCharType="separate"/>
            </w:r>
            <w:r w:rsidR="000D50AF">
              <w:rPr>
                <w:noProof/>
                <w:webHidden/>
              </w:rPr>
              <w:t>5</w:t>
            </w:r>
            <w:r w:rsidR="00A42822">
              <w:rPr>
                <w:noProof/>
                <w:webHidden/>
              </w:rPr>
              <w:fldChar w:fldCharType="end"/>
            </w:r>
          </w:hyperlink>
        </w:p>
        <w:p w:rsidR="00A42822" w:rsidRDefault="00090CD5">
          <w:pPr>
            <w:pStyle w:val="TOC3"/>
            <w:tabs>
              <w:tab w:val="left" w:pos="1320"/>
            </w:tabs>
            <w:rPr>
              <w:noProof/>
            </w:rPr>
          </w:pPr>
          <w:hyperlink w:anchor="_Toc421114933" w:history="1">
            <w:r w:rsidR="00A42822" w:rsidRPr="009A2773">
              <w:rPr>
                <w:rStyle w:val="Hyperlink"/>
                <w:noProof/>
              </w:rPr>
              <w:t>A.2.1</w:t>
            </w:r>
            <w:r w:rsidR="00A42822">
              <w:rPr>
                <w:noProof/>
              </w:rPr>
              <w:tab/>
            </w:r>
            <w:r w:rsidR="00A42822" w:rsidRPr="009A2773">
              <w:rPr>
                <w:rStyle w:val="Hyperlink"/>
                <w:noProof/>
              </w:rPr>
              <w:t>Overview of Needs and Uses of Data</w:t>
            </w:r>
            <w:r w:rsidR="008502EF">
              <w:rPr>
                <w:rStyle w:val="Hyperlink"/>
                <w:noProof/>
              </w:rPr>
              <w:t>……………………………………………………………………………</w:t>
            </w:r>
            <w:r w:rsidR="008502EF">
              <w:rPr>
                <w:noProof/>
                <w:webHidden/>
              </w:rPr>
              <w:t>…..</w:t>
            </w:r>
            <w:r w:rsidR="00A42822">
              <w:rPr>
                <w:noProof/>
                <w:webHidden/>
              </w:rPr>
              <w:fldChar w:fldCharType="begin"/>
            </w:r>
            <w:r w:rsidR="00A42822">
              <w:rPr>
                <w:noProof/>
                <w:webHidden/>
              </w:rPr>
              <w:instrText xml:space="preserve"> PAGEREF _Toc421114933 \h </w:instrText>
            </w:r>
            <w:r w:rsidR="00A42822">
              <w:rPr>
                <w:noProof/>
                <w:webHidden/>
              </w:rPr>
            </w:r>
            <w:r w:rsidR="00A42822">
              <w:rPr>
                <w:noProof/>
                <w:webHidden/>
              </w:rPr>
              <w:fldChar w:fldCharType="separate"/>
            </w:r>
            <w:r w:rsidR="000D50AF">
              <w:rPr>
                <w:noProof/>
                <w:webHidden/>
              </w:rPr>
              <w:t>5</w:t>
            </w:r>
            <w:r w:rsidR="00A42822">
              <w:rPr>
                <w:noProof/>
                <w:webHidden/>
              </w:rPr>
              <w:fldChar w:fldCharType="end"/>
            </w:r>
          </w:hyperlink>
        </w:p>
        <w:p w:rsidR="00A42822" w:rsidRDefault="00090CD5">
          <w:pPr>
            <w:pStyle w:val="TOC3"/>
            <w:tabs>
              <w:tab w:val="left" w:pos="1320"/>
            </w:tabs>
            <w:rPr>
              <w:noProof/>
            </w:rPr>
          </w:pPr>
          <w:hyperlink w:anchor="_Toc421114934" w:history="1">
            <w:r w:rsidR="00A42822" w:rsidRPr="009A2773">
              <w:rPr>
                <w:rStyle w:val="Hyperlink"/>
                <w:noProof/>
              </w:rPr>
              <w:t>A.2.2</w:t>
            </w:r>
            <w:r w:rsidR="00A42822">
              <w:rPr>
                <w:noProof/>
              </w:rPr>
              <w:tab/>
            </w:r>
            <w:r w:rsidR="00A42822" w:rsidRPr="009A2773">
              <w:rPr>
                <w:rStyle w:val="Hyperlink"/>
                <w:noProof/>
              </w:rPr>
              <w:t>Overview of Proposed Densified Biomass Fuel Data Collection</w:t>
            </w:r>
            <w:r w:rsidR="00A42822">
              <w:rPr>
                <w:noProof/>
                <w:webHidden/>
              </w:rPr>
              <w:tab/>
            </w:r>
            <w:r w:rsidR="008502EF">
              <w:rPr>
                <w:noProof/>
                <w:webHidden/>
              </w:rPr>
              <w:t>………………………………………..</w:t>
            </w:r>
            <w:r w:rsidR="00A42822">
              <w:rPr>
                <w:noProof/>
                <w:webHidden/>
              </w:rPr>
              <w:fldChar w:fldCharType="begin"/>
            </w:r>
            <w:r w:rsidR="00A42822">
              <w:rPr>
                <w:noProof/>
                <w:webHidden/>
              </w:rPr>
              <w:instrText xml:space="preserve"> PAGEREF _Toc421114934 \h </w:instrText>
            </w:r>
            <w:r w:rsidR="00A42822">
              <w:rPr>
                <w:noProof/>
                <w:webHidden/>
              </w:rPr>
            </w:r>
            <w:r w:rsidR="00A42822">
              <w:rPr>
                <w:noProof/>
                <w:webHidden/>
              </w:rPr>
              <w:fldChar w:fldCharType="separate"/>
            </w:r>
            <w:r w:rsidR="000D50AF">
              <w:rPr>
                <w:noProof/>
                <w:webHidden/>
              </w:rPr>
              <w:t>6</w:t>
            </w:r>
            <w:r w:rsidR="00A42822">
              <w:rPr>
                <w:noProof/>
                <w:webHidden/>
              </w:rPr>
              <w:fldChar w:fldCharType="end"/>
            </w:r>
          </w:hyperlink>
        </w:p>
        <w:p w:rsidR="00A42822" w:rsidRDefault="00090CD5">
          <w:pPr>
            <w:pStyle w:val="TOC3"/>
            <w:tabs>
              <w:tab w:val="left" w:pos="1320"/>
            </w:tabs>
            <w:rPr>
              <w:noProof/>
            </w:rPr>
          </w:pPr>
          <w:hyperlink w:anchor="_Toc421114935" w:history="1">
            <w:r w:rsidR="00A42822" w:rsidRPr="009A2773">
              <w:rPr>
                <w:rStyle w:val="Hyperlink"/>
                <w:noProof/>
              </w:rPr>
              <w:t>A.2.3</w:t>
            </w:r>
            <w:r w:rsidR="00A42822">
              <w:rPr>
                <w:noProof/>
              </w:rPr>
              <w:tab/>
            </w:r>
            <w:r w:rsidR="00A42822" w:rsidRPr="009A2773">
              <w:rPr>
                <w:rStyle w:val="Hyperlink"/>
                <w:noProof/>
              </w:rPr>
              <w:t>Individual Form Data Uses</w:t>
            </w:r>
            <w:r w:rsidR="008502EF">
              <w:rPr>
                <w:rStyle w:val="Hyperlink"/>
                <w:noProof/>
              </w:rPr>
              <w:t>………………………………………………………………………………………………..</w:t>
            </w:r>
            <w:r w:rsidR="00A42822">
              <w:rPr>
                <w:noProof/>
                <w:webHidden/>
              </w:rPr>
              <w:fldChar w:fldCharType="begin"/>
            </w:r>
            <w:r w:rsidR="00A42822">
              <w:rPr>
                <w:noProof/>
                <w:webHidden/>
              </w:rPr>
              <w:instrText xml:space="preserve"> PAGEREF _Toc421114935 \h </w:instrText>
            </w:r>
            <w:r w:rsidR="00A42822">
              <w:rPr>
                <w:noProof/>
                <w:webHidden/>
              </w:rPr>
            </w:r>
            <w:r w:rsidR="00A42822">
              <w:rPr>
                <w:noProof/>
                <w:webHidden/>
              </w:rPr>
              <w:fldChar w:fldCharType="separate"/>
            </w:r>
            <w:r w:rsidR="000D50AF">
              <w:rPr>
                <w:noProof/>
                <w:webHidden/>
              </w:rPr>
              <w:t>6</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36" w:history="1">
            <w:r w:rsidR="00A42822" w:rsidRPr="009A2773">
              <w:rPr>
                <w:rStyle w:val="Hyperlink"/>
                <w:noProof/>
              </w:rPr>
              <w:t>A.3</w:t>
            </w:r>
            <w:r w:rsidR="00A42822">
              <w:rPr>
                <w:rFonts w:asciiTheme="minorHAnsi" w:eastAsiaTheme="minorEastAsia" w:hAnsiTheme="minorHAnsi" w:cstheme="minorBidi"/>
                <w:noProof/>
              </w:rPr>
              <w:tab/>
            </w:r>
            <w:r w:rsidR="00A42822" w:rsidRPr="009A2773">
              <w:rPr>
                <w:rStyle w:val="Hyperlink"/>
                <w:noProof/>
              </w:rPr>
              <w:t>Use of Technology</w:t>
            </w:r>
            <w:r w:rsidR="00A42822">
              <w:rPr>
                <w:noProof/>
                <w:webHidden/>
              </w:rPr>
              <w:tab/>
            </w:r>
            <w:r w:rsidR="00A42822">
              <w:rPr>
                <w:noProof/>
                <w:webHidden/>
              </w:rPr>
              <w:fldChar w:fldCharType="begin"/>
            </w:r>
            <w:r w:rsidR="00A42822">
              <w:rPr>
                <w:noProof/>
                <w:webHidden/>
              </w:rPr>
              <w:instrText xml:space="preserve"> PAGEREF _Toc421114936 \h </w:instrText>
            </w:r>
            <w:r w:rsidR="00A42822">
              <w:rPr>
                <w:noProof/>
                <w:webHidden/>
              </w:rPr>
            </w:r>
            <w:r w:rsidR="00A42822">
              <w:rPr>
                <w:noProof/>
                <w:webHidden/>
              </w:rPr>
              <w:fldChar w:fldCharType="separate"/>
            </w:r>
            <w:r w:rsidR="000D50AF">
              <w:rPr>
                <w:noProof/>
                <w:webHidden/>
              </w:rPr>
              <w:t>7</w:t>
            </w:r>
            <w:r w:rsidR="00A42822">
              <w:rPr>
                <w:noProof/>
                <w:webHidden/>
              </w:rPr>
              <w:fldChar w:fldCharType="end"/>
            </w:r>
          </w:hyperlink>
        </w:p>
        <w:p w:rsidR="00A42822" w:rsidRDefault="00090CD5">
          <w:pPr>
            <w:pStyle w:val="TOC3"/>
            <w:tabs>
              <w:tab w:val="left" w:pos="1320"/>
            </w:tabs>
            <w:rPr>
              <w:noProof/>
            </w:rPr>
          </w:pPr>
          <w:hyperlink w:anchor="_Toc421114937" w:history="1">
            <w:r w:rsidR="00A42822" w:rsidRPr="009A2773">
              <w:rPr>
                <w:rStyle w:val="Hyperlink"/>
                <w:noProof/>
              </w:rPr>
              <w:t>A.3.1</w:t>
            </w:r>
            <w:r w:rsidR="00A42822">
              <w:rPr>
                <w:noProof/>
              </w:rPr>
              <w:tab/>
            </w:r>
            <w:r w:rsidR="00A42822" w:rsidRPr="009A2773">
              <w:rPr>
                <w:rStyle w:val="Hyperlink"/>
                <w:noProof/>
              </w:rPr>
              <w:t>General Use of Technology</w:t>
            </w:r>
            <w:r w:rsidR="008502EF">
              <w:rPr>
                <w:rStyle w:val="Hyperlink"/>
                <w:noProof/>
              </w:rPr>
              <w:t>……………………………………………………………………………………………….</w:t>
            </w:r>
            <w:r w:rsidR="00A42822">
              <w:rPr>
                <w:noProof/>
                <w:webHidden/>
              </w:rPr>
              <w:fldChar w:fldCharType="begin"/>
            </w:r>
            <w:r w:rsidR="00A42822">
              <w:rPr>
                <w:noProof/>
                <w:webHidden/>
              </w:rPr>
              <w:instrText xml:space="preserve"> PAGEREF _Toc421114937 \h </w:instrText>
            </w:r>
            <w:r w:rsidR="00A42822">
              <w:rPr>
                <w:noProof/>
                <w:webHidden/>
              </w:rPr>
            </w:r>
            <w:r w:rsidR="00A42822">
              <w:rPr>
                <w:noProof/>
                <w:webHidden/>
              </w:rPr>
              <w:fldChar w:fldCharType="separate"/>
            </w:r>
            <w:r w:rsidR="000D50AF">
              <w:rPr>
                <w:noProof/>
                <w:webHidden/>
              </w:rPr>
              <w:t>7</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38" w:history="1">
            <w:r w:rsidR="00A42822" w:rsidRPr="009A2773">
              <w:rPr>
                <w:rStyle w:val="Hyperlink"/>
                <w:noProof/>
              </w:rPr>
              <w:t>A.4</w:t>
            </w:r>
            <w:r w:rsidR="00A42822">
              <w:rPr>
                <w:rFonts w:asciiTheme="minorHAnsi" w:eastAsiaTheme="minorEastAsia" w:hAnsiTheme="minorHAnsi" w:cstheme="minorBidi"/>
                <w:noProof/>
              </w:rPr>
              <w:tab/>
            </w:r>
            <w:r w:rsidR="00A42822" w:rsidRPr="009A2773">
              <w:rPr>
                <w:rStyle w:val="Hyperlink"/>
                <w:noProof/>
              </w:rPr>
              <w:t>Efforts to Reduce Duplication</w:t>
            </w:r>
            <w:r w:rsidR="00A42822">
              <w:rPr>
                <w:noProof/>
                <w:webHidden/>
              </w:rPr>
              <w:tab/>
            </w:r>
            <w:r w:rsidR="00A42822">
              <w:rPr>
                <w:noProof/>
                <w:webHidden/>
              </w:rPr>
              <w:fldChar w:fldCharType="begin"/>
            </w:r>
            <w:r w:rsidR="00A42822">
              <w:rPr>
                <w:noProof/>
                <w:webHidden/>
              </w:rPr>
              <w:instrText xml:space="preserve"> PAGEREF _Toc421114938 \h </w:instrText>
            </w:r>
            <w:r w:rsidR="00A42822">
              <w:rPr>
                <w:noProof/>
                <w:webHidden/>
              </w:rPr>
            </w:r>
            <w:r w:rsidR="00A42822">
              <w:rPr>
                <w:noProof/>
                <w:webHidden/>
              </w:rPr>
              <w:fldChar w:fldCharType="separate"/>
            </w:r>
            <w:r w:rsidR="000D50AF">
              <w:rPr>
                <w:noProof/>
                <w:webHidden/>
              </w:rPr>
              <w:t>7</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39" w:history="1">
            <w:r w:rsidR="00A42822" w:rsidRPr="009A2773">
              <w:rPr>
                <w:rStyle w:val="Hyperlink"/>
                <w:noProof/>
              </w:rPr>
              <w:t>A.5</w:t>
            </w:r>
            <w:r w:rsidR="00A42822">
              <w:rPr>
                <w:rFonts w:asciiTheme="minorHAnsi" w:eastAsiaTheme="minorEastAsia" w:hAnsiTheme="minorHAnsi" w:cstheme="minorBidi"/>
                <w:noProof/>
              </w:rPr>
              <w:tab/>
            </w:r>
            <w:r w:rsidR="00A42822" w:rsidRPr="009A2773">
              <w:rPr>
                <w:rStyle w:val="Hyperlink"/>
                <w:noProof/>
              </w:rPr>
              <w:t>Provisions for Reducing Burden on Small Businesses</w:t>
            </w:r>
            <w:r w:rsidR="00A42822">
              <w:rPr>
                <w:noProof/>
                <w:webHidden/>
              </w:rPr>
              <w:tab/>
            </w:r>
            <w:r w:rsidR="00A42822">
              <w:rPr>
                <w:noProof/>
                <w:webHidden/>
              </w:rPr>
              <w:fldChar w:fldCharType="begin"/>
            </w:r>
            <w:r w:rsidR="00A42822">
              <w:rPr>
                <w:noProof/>
                <w:webHidden/>
              </w:rPr>
              <w:instrText xml:space="preserve"> PAGEREF _Toc421114939 \h </w:instrText>
            </w:r>
            <w:r w:rsidR="00A42822">
              <w:rPr>
                <w:noProof/>
                <w:webHidden/>
              </w:rPr>
            </w:r>
            <w:r w:rsidR="00A42822">
              <w:rPr>
                <w:noProof/>
                <w:webHidden/>
              </w:rPr>
              <w:fldChar w:fldCharType="separate"/>
            </w:r>
            <w:r w:rsidR="000D50AF">
              <w:rPr>
                <w:noProof/>
                <w:webHidden/>
              </w:rPr>
              <w:t>8</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0" w:history="1">
            <w:r w:rsidR="00A42822" w:rsidRPr="009A2773">
              <w:rPr>
                <w:rStyle w:val="Hyperlink"/>
                <w:noProof/>
              </w:rPr>
              <w:t>A.6</w:t>
            </w:r>
            <w:r w:rsidR="00A42822">
              <w:rPr>
                <w:rFonts w:asciiTheme="minorHAnsi" w:eastAsiaTheme="minorEastAsia" w:hAnsiTheme="minorHAnsi" w:cstheme="minorBidi"/>
                <w:noProof/>
              </w:rPr>
              <w:tab/>
            </w:r>
            <w:r w:rsidR="00A42822" w:rsidRPr="009A2773">
              <w:rPr>
                <w:rStyle w:val="Hyperlink"/>
                <w:noProof/>
              </w:rPr>
              <w:t>Consequences of Less-Frequent Reporting</w:t>
            </w:r>
            <w:r w:rsidR="00A42822">
              <w:rPr>
                <w:noProof/>
                <w:webHidden/>
              </w:rPr>
              <w:tab/>
            </w:r>
            <w:r w:rsidR="00A42822">
              <w:rPr>
                <w:noProof/>
                <w:webHidden/>
              </w:rPr>
              <w:fldChar w:fldCharType="begin"/>
            </w:r>
            <w:r w:rsidR="00A42822">
              <w:rPr>
                <w:noProof/>
                <w:webHidden/>
              </w:rPr>
              <w:instrText xml:space="preserve"> PAGEREF _Toc421114940 \h </w:instrText>
            </w:r>
            <w:r w:rsidR="00A42822">
              <w:rPr>
                <w:noProof/>
                <w:webHidden/>
              </w:rPr>
            </w:r>
            <w:r w:rsidR="00A42822">
              <w:rPr>
                <w:noProof/>
                <w:webHidden/>
              </w:rPr>
              <w:fldChar w:fldCharType="separate"/>
            </w:r>
            <w:r w:rsidR="000D50AF">
              <w:rPr>
                <w:noProof/>
                <w:webHidden/>
              </w:rPr>
              <w:t>8</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1" w:history="1">
            <w:r w:rsidR="00A42822" w:rsidRPr="009A2773">
              <w:rPr>
                <w:rStyle w:val="Hyperlink"/>
                <w:noProof/>
              </w:rPr>
              <w:t>A.7</w:t>
            </w:r>
            <w:r w:rsidR="00A42822">
              <w:rPr>
                <w:rFonts w:asciiTheme="minorHAnsi" w:eastAsiaTheme="minorEastAsia" w:hAnsiTheme="minorHAnsi" w:cstheme="minorBidi"/>
                <w:noProof/>
              </w:rPr>
              <w:tab/>
            </w:r>
            <w:r w:rsidR="00A42822" w:rsidRPr="009A2773">
              <w:rPr>
                <w:rStyle w:val="Hyperlink"/>
                <w:noProof/>
              </w:rPr>
              <w:t>Compliance with 5 CFR 1320.5</w:t>
            </w:r>
            <w:r w:rsidR="00A42822">
              <w:rPr>
                <w:noProof/>
                <w:webHidden/>
              </w:rPr>
              <w:tab/>
            </w:r>
            <w:r w:rsidR="00A42822">
              <w:rPr>
                <w:noProof/>
                <w:webHidden/>
              </w:rPr>
              <w:fldChar w:fldCharType="begin"/>
            </w:r>
            <w:r w:rsidR="00A42822">
              <w:rPr>
                <w:noProof/>
                <w:webHidden/>
              </w:rPr>
              <w:instrText xml:space="preserve"> PAGEREF _Toc421114941 \h </w:instrText>
            </w:r>
            <w:r w:rsidR="00A42822">
              <w:rPr>
                <w:noProof/>
                <w:webHidden/>
              </w:rPr>
            </w:r>
            <w:r w:rsidR="00A42822">
              <w:rPr>
                <w:noProof/>
                <w:webHidden/>
              </w:rPr>
              <w:fldChar w:fldCharType="separate"/>
            </w:r>
            <w:r w:rsidR="000D50AF">
              <w:rPr>
                <w:noProof/>
                <w:webHidden/>
              </w:rPr>
              <w:t>8</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2" w:history="1">
            <w:r w:rsidR="00A42822" w:rsidRPr="009A2773">
              <w:rPr>
                <w:rStyle w:val="Hyperlink"/>
                <w:noProof/>
              </w:rPr>
              <w:t>A.8</w:t>
            </w:r>
            <w:r w:rsidR="00A42822">
              <w:rPr>
                <w:rFonts w:asciiTheme="minorHAnsi" w:eastAsiaTheme="minorEastAsia" w:hAnsiTheme="minorHAnsi" w:cstheme="minorBidi"/>
                <w:noProof/>
              </w:rPr>
              <w:tab/>
            </w:r>
            <w:r w:rsidR="00A42822" w:rsidRPr="009A2773">
              <w:rPr>
                <w:rStyle w:val="Hyperlink"/>
                <w:noProof/>
              </w:rPr>
              <w:t>Summary of Consultations Outside of the Agency</w:t>
            </w:r>
            <w:r w:rsidR="00A42822">
              <w:rPr>
                <w:noProof/>
                <w:webHidden/>
              </w:rPr>
              <w:tab/>
            </w:r>
            <w:r w:rsidR="00A42822">
              <w:rPr>
                <w:noProof/>
                <w:webHidden/>
              </w:rPr>
              <w:fldChar w:fldCharType="begin"/>
            </w:r>
            <w:r w:rsidR="00A42822">
              <w:rPr>
                <w:noProof/>
                <w:webHidden/>
              </w:rPr>
              <w:instrText xml:space="preserve"> PAGEREF _Toc421114942 \h </w:instrText>
            </w:r>
            <w:r w:rsidR="00A42822">
              <w:rPr>
                <w:noProof/>
                <w:webHidden/>
              </w:rPr>
            </w:r>
            <w:r w:rsidR="00A42822">
              <w:rPr>
                <w:noProof/>
                <w:webHidden/>
              </w:rPr>
              <w:fldChar w:fldCharType="separate"/>
            </w:r>
            <w:r w:rsidR="000D50AF">
              <w:rPr>
                <w:noProof/>
                <w:webHidden/>
              </w:rPr>
              <w:t>9</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3" w:history="1">
            <w:r w:rsidR="00A42822" w:rsidRPr="009A2773">
              <w:rPr>
                <w:rStyle w:val="Hyperlink"/>
                <w:noProof/>
              </w:rPr>
              <w:t>A.9</w:t>
            </w:r>
            <w:r w:rsidR="00A42822">
              <w:rPr>
                <w:rFonts w:asciiTheme="minorHAnsi" w:eastAsiaTheme="minorEastAsia" w:hAnsiTheme="minorHAnsi" w:cstheme="minorBidi"/>
                <w:noProof/>
              </w:rPr>
              <w:tab/>
            </w:r>
            <w:r w:rsidR="00A42822" w:rsidRPr="009A2773">
              <w:rPr>
                <w:rStyle w:val="Hyperlink"/>
                <w:noProof/>
              </w:rPr>
              <w:t>Payments or Gifts to Respondents</w:t>
            </w:r>
            <w:r w:rsidR="00A42822">
              <w:rPr>
                <w:noProof/>
                <w:webHidden/>
              </w:rPr>
              <w:tab/>
            </w:r>
            <w:r w:rsidR="00A42822">
              <w:rPr>
                <w:noProof/>
                <w:webHidden/>
              </w:rPr>
              <w:fldChar w:fldCharType="begin"/>
            </w:r>
            <w:r w:rsidR="00A42822">
              <w:rPr>
                <w:noProof/>
                <w:webHidden/>
              </w:rPr>
              <w:instrText xml:space="preserve"> PAGEREF _Toc421114943 \h </w:instrText>
            </w:r>
            <w:r w:rsidR="00A42822">
              <w:rPr>
                <w:noProof/>
                <w:webHidden/>
              </w:rPr>
            </w:r>
            <w:r w:rsidR="00A42822">
              <w:rPr>
                <w:noProof/>
                <w:webHidden/>
              </w:rPr>
              <w:fldChar w:fldCharType="separate"/>
            </w:r>
            <w:r w:rsidR="000D50AF">
              <w:rPr>
                <w:noProof/>
                <w:webHidden/>
              </w:rPr>
              <w:t>10</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4" w:history="1">
            <w:r w:rsidR="00A42822" w:rsidRPr="009A2773">
              <w:rPr>
                <w:rStyle w:val="Hyperlink"/>
                <w:noProof/>
              </w:rPr>
              <w:t>A.10</w:t>
            </w:r>
            <w:r w:rsidR="00A42822">
              <w:rPr>
                <w:rFonts w:asciiTheme="minorHAnsi" w:eastAsiaTheme="minorEastAsia" w:hAnsiTheme="minorHAnsi" w:cstheme="minorBidi"/>
                <w:noProof/>
              </w:rPr>
              <w:tab/>
            </w:r>
            <w:r w:rsidR="00A42822" w:rsidRPr="009A2773">
              <w:rPr>
                <w:rStyle w:val="Hyperlink"/>
                <w:noProof/>
              </w:rPr>
              <w:t>Provisions for Protection of Information</w:t>
            </w:r>
            <w:r w:rsidR="00A42822">
              <w:rPr>
                <w:noProof/>
                <w:webHidden/>
              </w:rPr>
              <w:tab/>
            </w:r>
            <w:r w:rsidR="00A42822">
              <w:rPr>
                <w:noProof/>
                <w:webHidden/>
              </w:rPr>
              <w:fldChar w:fldCharType="begin"/>
            </w:r>
            <w:r w:rsidR="00A42822">
              <w:rPr>
                <w:noProof/>
                <w:webHidden/>
              </w:rPr>
              <w:instrText xml:space="preserve"> PAGEREF _Toc421114944 \h </w:instrText>
            </w:r>
            <w:r w:rsidR="00A42822">
              <w:rPr>
                <w:noProof/>
                <w:webHidden/>
              </w:rPr>
            </w:r>
            <w:r w:rsidR="00A42822">
              <w:rPr>
                <w:noProof/>
                <w:webHidden/>
              </w:rPr>
              <w:fldChar w:fldCharType="separate"/>
            </w:r>
            <w:r w:rsidR="000D50AF">
              <w:rPr>
                <w:noProof/>
                <w:webHidden/>
              </w:rPr>
              <w:t>10</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5" w:history="1">
            <w:r w:rsidR="00A42822" w:rsidRPr="009A2773">
              <w:rPr>
                <w:rStyle w:val="Hyperlink"/>
                <w:noProof/>
              </w:rPr>
              <w:t>A.11</w:t>
            </w:r>
            <w:r w:rsidR="00A42822">
              <w:rPr>
                <w:rFonts w:asciiTheme="minorHAnsi" w:eastAsiaTheme="minorEastAsia" w:hAnsiTheme="minorHAnsi" w:cstheme="minorBidi"/>
                <w:noProof/>
              </w:rPr>
              <w:tab/>
            </w:r>
            <w:r w:rsidR="00A42822" w:rsidRPr="009A2773">
              <w:rPr>
                <w:rStyle w:val="Hyperlink"/>
                <w:noProof/>
              </w:rPr>
              <w:t>Justification for Sensitive Questions</w:t>
            </w:r>
            <w:r w:rsidR="00A42822">
              <w:rPr>
                <w:noProof/>
                <w:webHidden/>
              </w:rPr>
              <w:tab/>
            </w:r>
            <w:r w:rsidR="00A42822">
              <w:rPr>
                <w:noProof/>
                <w:webHidden/>
              </w:rPr>
              <w:fldChar w:fldCharType="begin"/>
            </w:r>
            <w:r w:rsidR="00A42822">
              <w:rPr>
                <w:noProof/>
                <w:webHidden/>
              </w:rPr>
              <w:instrText xml:space="preserve"> PAGEREF _Toc421114945 \h </w:instrText>
            </w:r>
            <w:r w:rsidR="00A42822">
              <w:rPr>
                <w:noProof/>
                <w:webHidden/>
              </w:rPr>
            </w:r>
            <w:r w:rsidR="00A42822">
              <w:rPr>
                <w:noProof/>
                <w:webHidden/>
              </w:rPr>
              <w:fldChar w:fldCharType="separate"/>
            </w:r>
            <w:r w:rsidR="000D50AF">
              <w:rPr>
                <w:noProof/>
                <w:webHidden/>
              </w:rPr>
              <w:t>11</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6" w:history="1">
            <w:r w:rsidR="00A42822" w:rsidRPr="009A2773">
              <w:rPr>
                <w:rStyle w:val="Hyperlink"/>
                <w:noProof/>
              </w:rPr>
              <w:t>A.12</w:t>
            </w:r>
            <w:r w:rsidR="00A42822">
              <w:rPr>
                <w:rFonts w:asciiTheme="minorHAnsi" w:eastAsiaTheme="minorEastAsia" w:hAnsiTheme="minorHAnsi" w:cstheme="minorBidi"/>
                <w:noProof/>
              </w:rPr>
              <w:tab/>
            </w:r>
            <w:r w:rsidR="00A42822" w:rsidRPr="009A2773">
              <w:rPr>
                <w:rStyle w:val="Hyperlink"/>
                <w:noProof/>
              </w:rPr>
              <w:t>Estimate of Respondent Burden Hours and Cost</w:t>
            </w:r>
            <w:r w:rsidR="00A42822">
              <w:rPr>
                <w:noProof/>
                <w:webHidden/>
              </w:rPr>
              <w:tab/>
            </w:r>
            <w:r w:rsidR="00A42822">
              <w:rPr>
                <w:noProof/>
                <w:webHidden/>
              </w:rPr>
              <w:fldChar w:fldCharType="begin"/>
            </w:r>
            <w:r w:rsidR="00A42822">
              <w:rPr>
                <w:noProof/>
                <w:webHidden/>
              </w:rPr>
              <w:instrText xml:space="preserve"> PAGEREF _Toc421114946 \h </w:instrText>
            </w:r>
            <w:r w:rsidR="00A42822">
              <w:rPr>
                <w:noProof/>
                <w:webHidden/>
              </w:rPr>
            </w:r>
            <w:r w:rsidR="00A42822">
              <w:rPr>
                <w:noProof/>
                <w:webHidden/>
              </w:rPr>
              <w:fldChar w:fldCharType="separate"/>
            </w:r>
            <w:r w:rsidR="000D50AF">
              <w:rPr>
                <w:noProof/>
                <w:webHidden/>
              </w:rPr>
              <w:t>11</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7" w:history="1">
            <w:r w:rsidR="00A42822" w:rsidRPr="009A2773">
              <w:rPr>
                <w:rStyle w:val="Hyperlink"/>
                <w:noProof/>
              </w:rPr>
              <w:t>A.13</w:t>
            </w:r>
            <w:r w:rsidR="00A42822">
              <w:rPr>
                <w:rFonts w:asciiTheme="minorHAnsi" w:eastAsiaTheme="minorEastAsia" w:hAnsiTheme="minorHAnsi" w:cstheme="minorBidi"/>
                <w:noProof/>
              </w:rPr>
              <w:tab/>
            </w:r>
            <w:r w:rsidR="00A42822" w:rsidRPr="009A2773">
              <w:rPr>
                <w:rStyle w:val="Hyperlink"/>
                <w:noProof/>
              </w:rPr>
              <w:t>Annual Reporting and Record Keeping Cost</w:t>
            </w:r>
            <w:r w:rsidR="00A42822">
              <w:rPr>
                <w:noProof/>
                <w:webHidden/>
              </w:rPr>
              <w:tab/>
            </w:r>
            <w:r w:rsidR="00A42822">
              <w:rPr>
                <w:noProof/>
                <w:webHidden/>
              </w:rPr>
              <w:fldChar w:fldCharType="begin"/>
            </w:r>
            <w:r w:rsidR="00A42822">
              <w:rPr>
                <w:noProof/>
                <w:webHidden/>
              </w:rPr>
              <w:instrText xml:space="preserve"> PAGEREF _Toc421114947 \h </w:instrText>
            </w:r>
            <w:r w:rsidR="00A42822">
              <w:rPr>
                <w:noProof/>
                <w:webHidden/>
              </w:rPr>
            </w:r>
            <w:r w:rsidR="00A42822">
              <w:rPr>
                <w:noProof/>
                <w:webHidden/>
              </w:rPr>
              <w:fldChar w:fldCharType="separate"/>
            </w:r>
            <w:r w:rsidR="000D50AF">
              <w:rPr>
                <w:noProof/>
                <w:webHidden/>
              </w:rPr>
              <w:t>11</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8" w:history="1">
            <w:r w:rsidR="00A42822" w:rsidRPr="009A2773">
              <w:rPr>
                <w:rStyle w:val="Hyperlink"/>
                <w:noProof/>
              </w:rPr>
              <w:t>A.14</w:t>
            </w:r>
            <w:r w:rsidR="00A42822">
              <w:rPr>
                <w:rFonts w:asciiTheme="minorHAnsi" w:eastAsiaTheme="minorEastAsia" w:hAnsiTheme="minorHAnsi" w:cstheme="minorBidi"/>
                <w:noProof/>
              </w:rPr>
              <w:tab/>
            </w:r>
            <w:r w:rsidR="00A42822" w:rsidRPr="009A2773">
              <w:rPr>
                <w:rStyle w:val="Hyperlink"/>
                <w:noProof/>
              </w:rPr>
              <w:t>Annual Cost to the Federal Government</w:t>
            </w:r>
            <w:r w:rsidR="00A42822">
              <w:rPr>
                <w:noProof/>
                <w:webHidden/>
              </w:rPr>
              <w:tab/>
            </w:r>
            <w:r w:rsidR="00A42822">
              <w:rPr>
                <w:noProof/>
                <w:webHidden/>
              </w:rPr>
              <w:fldChar w:fldCharType="begin"/>
            </w:r>
            <w:r w:rsidR="00A42822">
              <w:rPr>
                <w:noProof/>
                <w:webHidden/>
              </w:rPr>
              <w:instrText xml:space="preserve"> PAGEREF _Toc421114948 \h </w:instrText>
            </w:r>
            <w:r w:rsidR="00A42822">
              <w:rPr>
                <w:noProof/>
                <w:webHidden/>
              </w:rPr>
            </w:r>
            <w:r w:rsidR="00A42822">
              <w:rPr>
                <w:noProof/>
                <w:webHidden/>
              </w:rPr>
              <w:fldChar w:fldCharType="separate"/>
            </w:r>
            <w:r w:rsidR="000D50AF">
              <w:rPr>
                <w:noProof/>
                <w:webHidden/>
              </w:rPr>
              <w:t>11</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49" w:history="1">
            <w:r w:rsidR="00A42822" w:rsidRPr="009A2773">
              <w:rPr>
                <w:rStyle w:val="Hyperlink"/>
                <w:noProof/>
              </w:rPr>
              <w:t>A.15</w:t>
            </w:r>
            <w:r w:rsidR="00A42822">
              <w:rPr>
                <w:rFonts w:asciiTheme="minorHAnsi" w:eastAsiaTheme="minorEastAsia" w:hAnsiTheme="minorHAnsi" w:cstheme="minorBidi"/>
                <w:noProof/>
              </w:rPr>
              <w:tab/>
            </w:r>
            <w:r w:rsidR="00A42822" w:rsidRPr="009A2773">
              <w:rPr>
                <w:rStyle w:val="Hyperlink"/>
                <w:noProof/>
              </w:rPr>
              <w:t>Changes in Burden</w:t>
            </w:r>
            <w:r w:rsidR="00A42822">
              <w:rPr>
                <w:noProof/>
                <w:webHidden/>
              </w:rPr>
              <w:tab/>
            </w:r>
            <w:r w:rsidR="00A42822">
              <w:rPr>
                <w:noProof/>
                <w:webHidden/>
              </w:rPr>
              <w:fldChar w:fldCharType="begin"/>
            </w:r>
            <w:r w:rsidR="00A42822">
              <w:rPr>
                <w:noProof/>
                <w:webHidden/>
              </w:rPr>
              <w:instrText xml:space="preserve"> PAGEREF _Toc421114949 \h </w:instrText>
            </w:r>
            <w:r w:rsidR="00A42822">
              <w:rPr>
                <w:noProof/>
                <w:webHidden/>
              </w:rPr>
            </w:r>
            <w:r w:rsidR="00A42822">
              <w:rPr>
                <w:noProof/>
                <w:webHidden/>
              </w:rPr>
              <w:fldChar w:fldCharType="separate"/>
            </w:r>
            <w:r w:rsidR="000D50AF">
              <w:rPr>
                <w:noProof/>
                <w:webHidden/>
              </w:rPr>
              <w:t>11</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50" w:history="1">
            <w:r w:rsidR="00A42822" w:rsidRPr="009A2773">
              <w:rPr>
                <w:rStyle w:val="Hyperlink"/>
                <w:noProof/>
              </w:rPr>
              <w:t>A.16</w:t>
            </w:r>
            <w:r w:rsidR="00A42822">
              <w:rPr>
                <w:rFonts w:asciiTheme="minorHAnsi" w:eastAsiaTheme="minorEastAsia" w:hAnsiTheme="minorHAnsi" w:cstheme="minorBidi"/>
                <w:noProof/>
              </w:rPr>
              <w:tab/>
            </w:r>
            <w:r w:rsidR="00A42822" w:rsidRPr="009A2773">
              <w:rPr>
                <w:rStyle w:val="Hyperlink"/>
                <w:noProof/>
              </w:rPr>
              <w:t>Collection, Tabulation, and Publication Plans</w:t>
            </w:r>
            <w:r w:rsidR="00A42822">
              <w:rPr>
                <w:noProof/>
                <w:webHidden/>
              </w:rPr>
              <w:tab/>
            </w:r>
            <w:r w:rsidR="00A42822">
              <w:rPr>
                <w:noProof/>
                <w:webHidden/>
              </w:rPr>
              <w:fldChar w:fldCharType="begin"/>
            </w:r>
            <w:r w:rsidR="00A42822">
              <w:rPr>
                <w:noProof/>
                <w:webHidden/>
              </w:rPr>
              <w:instrText xml:space="preserve"> PAGEREF _Toc421114950 \h </w:instrText>
            </w:r>
            <w:r w:rsidR="00A42822">
              <w:rPr>
                <w:noProof/>
                <w:webHidden/>
              </w:rPr>
            </w:r>
            <w:r w:rsidR="00A42822">
              <w:rPr>
                <w:noProof/>
                <w:webHidden/>
              </w:rPr>
              <w:fldChar w:fldCharType="separate"/>
            </w:r>
            <w:r w:rsidR="000D50AF">
              <w:rPr>
                <w:noProof/>
                <w:webHidden/>
              </w:rPr>
              <w:t>12</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51" w:history="1">
            <w:r w:rsidR="00A42822" w:rsidRPr="009A2773">
              <w:rPr>
                <w:rStyle w:val="Hyperlink"/>
                <w:noProof/>
              </w:rPr>
              <w:t>A.17</w:t>
            </w:r>
            <w:r w:rsidR="00A42822">
              <w:rPr>
                <w:rFonts w:asciiTheme="minorHAnsi" w:eastAsiaTheme="minorEastAsia" w:hAnsiTheme="minorHAnsi" w:cstheme="minorBidi"/>
                <w:noProof/>
              </w:rPr>
              <w:tab/>
            </w:r>
            <w:r w:rsidR="00A42822" w:rsidRPr="009A2773">
              <w:rPr>
                <w:rStyle w:val="Hyperlink"/>
                <w:noProof/>
              </w:rPr>
              <w:t>OMB Number and Expiration Date</w:t>
            </w:r>
            <w:r w:rsidR="00A42822">
              <w:rPr>
                <w:noProof/>
                <w:webHidden/>
              </w:rPr>
              <w:tab/>
            </w:r>
            <w:r w:rsidR="00A42822">
              <w:rPr>
                <w:noProof/>
                <w:webHidden/>
              </w:rPr>
              <w:fldChar w:fldCharType="begin"/>
            </w:r>
            <w:r w:rsidR="00A42822">
              <w:rPr>
                <w:noProof/>
                <w:webHidden/>
              </w:rPr>
              <w:instrText xml:space="preserve"> PAGEREF _Toc421114951 \h </w:instrText>
            </w:r>
            <w:r w:rsidR="00A42822">
              <w:rPr>
                <w:noProof/>
                <w:webHidden/>
              </w:rPr>
            </w:r>
            <w:r w:rsidR="00A42822">
              <w:rPr>
                <w:noProof/>
                <w:webHidden/>
              </w:rPr>
              <w:fldChar w:fldCharType="separate"/>
            </w:r>
            <w:r w:rsidR="000D50AF">
              <w:rPr>
                <w:noProof/>
                <w:webHidden/>
              </w:rPr>
              <w:t>13</w:t>
            </w:r>
            <w:r w:rsidR="00A42822">
              <w:rPr>
                <w:noProof/>
                <w:webHidden/>
              </w:rPr>
              <w:fldChar w:fldCharType="end"/>
            </w:r>
          </w:hyperlink>
        </w:p>
        <w:p w:rsidR="00A42822" w:rsidRDefault="00090CD5">
          <w:pPr>
            <w:pStyle w:val="TOC2"/>
            <w:rPr>
              <w:rFonts w:asciiTheme="minorHAnsi" w:eastAsiaTheme="minorEastAsia" w:hAnsiTheme="minorHAnsi" w:cstheme="minorBidi"/>
              <w:noProof/>
            </w:rPr>
          </w:pPr>
          <w:hyperlink w:anchor="_Toc421114952" w:history="1">
            <w:r w:rsidR="00A42822" w:rsidRPr="009A2773">
              <w:rPr>
                <w:rStyle w:val="Hyperlink"/>
                <w:noProof/>
              </w:rPr>
              <w:t>A.18</w:t>
            </w:r>
            <w:r w:rsidR="00A42822">
              <w:rPr>
                <w:rFonts w:asciiTheme="minorHAnsi" w:eastAsiaTheme="minorEastAsia" w:hAnsiTheme="minorHAnsi" w:cstheme="minorBidi"/>
                <w:noProof/>
              </w:rPr>
              <w:tab/>
            </w:r>
            <w:r w:rsidR="00A42822" w:rsidRPr="009A2773">
              <w:rPr>
                <w:rStyle w:val="Hyperlink"/>
                <w:noProof/>
              </w:rPr>
              <w:t>Certification Statement</w:t>
            </w:r>
            <w:r w:rsidR="00A42822">
              <w:rPr>
                <w:noProof/>
                <w:webHidden/>
              </w:rPr>
              <w:tab/>
            </w:r>
            <w:r w:rsidR="00A42822">
              <w:rPr>
                <w:noProof/>
                <w:webHidden/>
              </w:rPr>
              <w:fldChar w:fldCharType="begin"/>
            </w:r>
            <w:r w:rsidR="00A42822">
              <w:rPr>
                <w:noProof/>
                <w:webHidden/>
              </w:rPr>
              <w:instrText xml:space="preserve"> PAGEREF _Toc421114952 \h </w:instrText>
            </w:r>
            <w:r w:rsidR="00A42822">
              <w:rPr>
                <w:noProof/>
                <w:webHidden/>
              </w:rPr>
            </w:r>
            <w:r w:rsidR="00A42822">
              <w:rPr>
                <w:noProof/>
                <w:webHidden/>
              </w:rPr>
              <w:fldChar w:fldCharType="separate"/>
            </w:r>
            <w:r w:rsidR="000D50AF">
              <w:rPr>
                <w:noProof/>
                <w:webHidden/>
              </w:rPr>
              <w:t>13</w:t>
            </w:r>
            <w:r w:rsidR="00A42822">
              <w:rPr>
                <w:noProof/>
                <w:webHidden/>
              </w:rPr>
              <w:fldChar w:fldCharType="end"/>
            </w:r>
          </w:hyperlink>
        </w:p>
        <w:p w:rsidR="009D67A4" w:rsidRPr="00882D54" w:rsidRDefault="00882D54" w:rsidP="00451B80">
          <w:pPr>
            <w:pStyle w:val="Heading1"/>
            <w:ind w:left="180"/>
            <w:rPr>
              <w:b w:val="0"/>
              <w:sz w:val="22"/>
              <w:szCs w:val="22"/>
            </w:rPr>
          </w:pPr>
          <w:r>
            <w:rPr>
              <w:b w:val="0"/>
              <w:bCs w:val="0"/>
              <w:noProof/>
            </w:rPr>
            <w:fldChar w:fldCharType="end"/>
          </w:r>
          <w:bookmarkStart w:id="3" w:name="_Toc421114928"/>
          <w:r w:rsidR="009D67A4" w:rsidRPr="00882D54">
            <w:rPr>
              <w:b w:val="0"/>
              <w:sz w:val="22"/>
              <w:szCs w:val="22"/>
            </w:rPr>
            <w:t>Appendix A-1: Comments Received in Response to the Open Federal Register Notice (Federal Register/Vol. 79, No. 250) Published December 31, 2014………………</w:t>
          </w:r>
          <w:r w:rsidR="002A078E">
            <w:rPr>
              <w:b w:val="0"/>
              <w:sz w:val="22"/>
              <w:szCs w:val="22"/>
            </w:rPr>
            <w:t>..</w:t>
          </w:r>
          <w:r w:rsidR="009D67A4" w:rsidRPr="00882D54">
            <w:rPr>
              <w:b w:val="0"/>
              <w:sz w:val="22"/>
              <w:szCs w:val="22"/>
            </w:rPr>
            <w:t>……………………………</w:t>
          </w:r>
          <w:r w:rsidR="00451B80">
            <w:rPr>
              <w:b w:val="0"/>
              <w:sz w:val="22"/>
              <w:szCs w:val="22"/>
            </w:rPr>
            <w:t>………</w:t>
          </w:r>
          <w:r w:rsidR="009D67A4" w:rsidRPr="00882D54">
            <w:rPr>
              <w:b w:val="0"/>
              <w:sz w:val="22"/>
              <w:szCs w:val="22"/>
            </w:rPr>
            <w:t>……………14</w:t>
          </w:r>
          <w:bookmarkEnd w:id="3"/>
        </w:p>
        <w:p w:rsidR="009D67A4" w:rsidRDefault="00FE63F1" w:rsidP="00451B80">
          <w:pPr>
            <w:pStyle w:val="Heading1"/>
            <w:ind w:left="180"/>
          </w:pPr>
          <w:r w:rsidRPr="00882D54">
            <w:rPr>
              <w:b w:val="0"/>
              <w:sz w:val="22"/>
              <w:szCs w:val="22"/>
            </w:rPr>
            <w:t>Appendix A-</w:t>
          </w:r>
          <w:r>
            <w:rPr>
              <w:b w:val="0"/>
              <w:sz w:val="22"/>
              <w:szCs w:val="22"/>
            </w:rPr>
            <w:t>2</w:t>
          </w:r>
          <w:r w:rsidRPr="00882D54">
            <w:rPr>
              <w:b w:val="0"/>
              <w:sz w:val="22"/>
              <w:szCs w:val="22"/>
            </w:rPr>
            <w:t xml:space="preserve">: Comments Received in Response to the Open Federal Register Notice (Federal Register/Vol. </w:t>
          </w:r>
          <w:r>
            <w:rPr>
              <w:b w:val="0"/>
              <w:sz w:val="22"/>
              <w:szCs w:val="22"/>
            </w:rPr>
            <w:t>80</w:t>
          </w:r>
          <w:r w:rsidRPr="00882D54">
            <w:rPr>
              <w:b w:val="0"/>
              <w:sz w:val="22"/>
              <w:szCs w:val="22"/>
            </w:rPr>
            <w:t xml:space="preserve">, No. </w:t>
          </w:r>
          <w:r>
            <w:rPr>
              <w:b w:val="0"/>
              <w:sz w:val="22"/>
              <w:szCs w:val="22"/>
            </w:rPr>
            <w:t>107</w:t>
          </w:r>
          <w:r w:rsidRPr="00882D54">
            <w:rPr>
              <w:b w:val="0"/>
              <w:sz w:val="22"/>
              <w:szCs w:val="22"/>
            </w:rPr>
            <w:t xml:space="preserve">) Published </w:t>
          </w:r>
          <w:r>
            <w:rPr>
              <w:b w:val="0"/>
              <w:sz w:val="22"/>
              <w:szCs w:val="22"/>
            </w:rPr>
            <w:t>June 4, 2015</w:t>
          </w:r>
          <w:r w:rsidRPr="00882D54">
            <w:rPr>
              <w:b w:val="0"/>
              <w:sz w:val="22"/>
              <w:szCs w:val="22"/>
            </w:rPr>
            <w:t>………………………………………………</w:t>
          </w:r>
          <w:r w:rsidR="001862C3">
            <w:rPr>
              <w:b w:val="0"/>
              <w:sz w:val="22"/>
              <w:szCs w:val="22"/>
            </w:rPr>
            <w:t>………</w:t>
          </w:r>
          <w:r w:rsidR="00451B80">
            <w:rPr>
              <w:b w:val="0"/>
              <w:sz w:val="22"/>
              <w:szCs w:val="22"/>
            </w:rPr>
            <w:t>………</w:t>
          </w:r>
          <w:r w:rsidR="001862C3">
            <w:rPr>
              <w:b w:val="0"/>
              <w:sz w:val="22"/>
              <w:szCs w:val="22"/>
            </w:rPr>
            <w:t>…</w:t>
          </w:r>
          <w:r w:rsidRPr="00882D54">
            <w:rPr>
              <w:b w:val="0"/>
              <w:sz w:val="22"/>
              <w:szCs w:val="22"/>
            </w:rPr>
            <w:t>……………1</w:t>
          </w:r>
          <w:r>
            <w:rPr>
              <w:b w:val="0"/>
              <w:sz w:val="22"/>
              <w:szCs w:val="22"/>
            </w:rPr>
            <w:t>9</w:t>
          </w:r>
        </w:p>
        <w:p w:rsidR="00882D54" w:rsidRDefault="00090CD5" w:rsidP="00882D54">
          <w:pPr>
            <w:spacing w:before="60" w:after="60" w:afterAutospacing="0"/>
          </w:pPr>
        </w:p>
      </w:sdtContent>
    </w:sdt>
    <w:p w:rsidR="00882D54" w:rsidRDefault="00882D54" w:rsidP="00264246">
      <w:pPr>
        <w:pStyle w:val="Heading1"/>
      </w:pPr>
    </w:p>
    <w:p w:rsidR="00DB5999" w:rsidRPr="00DB5999" w:rsidRDefault="00DB5999" w:rsidP="00DB5999"/>
    <w:p w:rsidR="00071AAF" w:rsidRPr="00264246" w:rsidRDefault="00751F2B" w:rsidP="00264246">
      <w:pPr>
        <w:pStyle w:val="Heading1"/>
      </w:pPr>
      <w:bookmarkStart w:id="4" w:name="_Toc421114929"/>
      <w:r w:rsidRPr="00264246">
        <w:t>INTRODUCTION</w:t>
      </w:r>
      <w:bookmarkEnd w:id="4"/>
      <w:bookmarkEnd w:id="2"/>
      <w:bookmarkEnd w:id="1"/>
      <w:bookmarkEnd w:id="0"/>
    </w:p>
    <w:p w:rsidR="00130A03" w:rsidRDefault="003806C8" w:rsidP="00751F2B">
      <w:r>
        <w:t xml:space="preserve">The U.S. Energy Information Administration (EIA) </w:t>
      </w:r>
      <w:r w:rsidR="00326575" w:rsidRPr="00326575">
        <w:t>is the statistical and analytical agency within the U.S. Department of Energy</w:t>
      </w:r>
      <w:r w:rsidR="00326575">
        <w:t xml:space="preserve"> (DOE)</w:t>
      </w:r>
      <w:r w:rsidR="00326575" w:rsidRPr="00326575">
        <w:t>.</w:t>
      </w:r>
      <w:r w:rsidR="00D93C77">
        <w:t xml:space="preserve"> </w:t>
      </w:r>
      <w:r w:rsidR="00326575" w:rsidRPr="00326575">
        <w:t xml:space="preserve"> It collects, analyzes, and disseminates independent and impartial energy information to promote sound policymaking, efficient markets, and public understanding regarding energy and its interaction with the economy and the environment.</w:t>
      </w:r>
      <w:r w:rsidR="00326575">
        <w:t xml:space="preserve">  The </w:t>
      </w:r>
      <w:r w:rsidR="001F5A82">
        <w:t>Office of Electric</w:t>
      </w:r>
      <w:r w:rsidR="00BD20B0">
        <w:t xml:space="preserve">ity, </w:t>
      </w:r>
      <w:r w:rsidR="001F5A82">
        <w:t>Renewable</w:t>
      </w:r>
      <w:r w:rsidR="00BD20B0">
        <w:t>s</w:t>
      </w:r>
      <w:r w:rsidR="00446703">
        <w:t xml:space="preserve">, </w:t>
      </w:r>
      <w:r w:rsidR="00BD20B0">
        <w:t xml:space="preserve">and Uranium </w:t>
      </w:r>
      <w:r w:rsidR="001F5A82">
        <w:t>Statistics</w:t>
      </w:r>
      <w:r w:rsidR="00BD20B0">
        <w:t xml:space="preserve"> under the Assistant Administrator for </w:t>
      </w:r>
      <w:r w:rsidR="00446703">
        <w:t>Energy Statistics</w:t>
      </w:r>
      <w:r w:rsidR="001F5A82">
        <w:t xml:space="preserve"> is proposing the collection discussed below as</w:t>
      </w:r>
      <w:r w:rsidR="00326575">
        <w:t xml:space="preserve"> part of </w:t>
      </w:r>
      <w:r w:rsidR="001F5A82">
        <w:t>its</w:t>
      </w:r>
      <w:r w:rsidR="00326575">
        <w:t xml:space="preserve"> comprehensive energy data program.</w:t>
      </w:r>
    </w:p>
    <w:p w:rsidR="00CC500A" w:rsidRDefault="00CC500A" w:rsidP="008D18EA">
      <w:pPr>
        <w:spacing w:before="100" w:beforeAutospacing="1"/>
      </w:pPr>
      <w:r>
        <w:t xml:space="preserve">The information collection proposed in this supporting statement has been reviewed in light of applicable EIA </w:t>
      </w:r>
      <w:r w:rsidR="00A94E40">
        <w:t xml:space="preserve">information quality guidelines. </w:t>
      </w:r>
      <w:r>
        <w:t xml:space="preserve"> </w:t>
      </w:r>
      <w:r w:rsidR="003C555D">
        <w:t>EIA</w:t>
      </w:r>
      <w:r>
        <w:t xml:space="preserve"> determined that the information would be collected, maintained, and used in a manner consistent with Office of Management and Budget (OMB), DOE, and EIA information quality guidelines.</w:t>
      </w:r>
    </w:p>
    <w:p w:rsidR="009A4CA4" w:rsidRDefault="003806C8" w:rsidP="008D18EA">
      <w:pPr>
        <w:spacing w:before="100" w:beforeAutospacing="1"/>
      </w:pPr>
      <w:r w:rsidRPr="00B44BA3">
        <w:t>On</w:t>
      </w:r>
      <w:r w:rsidR="009A1176">
        <w:t xml:space="preserve"> </w:t>
      </w:r>
      <w:r w:rsidR="00B01E9F">
        <w:t>December 31</w:t>
      </w:r>
      <w:r w:rsidR="00010662">
        <w:t>, 2014</w:t>
      </w:r>
      <w:r w:rsidR="009A4CA4">
        <w:t xml:space="preserve">, a </w:t>
      </w:r>
      <w:r w:rsidR="00AA648F">
        <w:t xml:space="preserve">Federal Register Notice </w:t>
      </w:r>
      <w:r w:rsidR="004158C7">
        <w:t xml:space="preserve">(FRN) </w:t>
      </w:r>
      <w:r w:rsidR="00AA648F">
        <w:t>was published for</w:t>
      </w:r>
      <w:r w:rsidRPr="00B44BA3">
        <w:t xml:space="preserve"> EIA to receive comments regarding </w:t>
      </w:r>
      <w:r w:rsidR="004158C7">
        <w:t xml:space="preserve">a </w:t>
      </w:r>
      <w:r w:rsidR="00645DFC">
        <w:t>three</w:t>
      </w:r>
      <w:r w:rsidR="004158C7">
        <w:t xml:space="preserve">-year </w:t>
      </w:r>
      <w:r w:rsidR="003126FA">
        <w:t>clearance</w:t>
      </w:r>
      <w:r w:rsidR="00B44BA3" w:rsidRPr="00B44BA3">
        <w:t xml:space="preserve"> </w:t>
      </w:r>
      <w:r w:rsidR="003126FA">
        <w:t>f</w:t>
      </w:r>
      <w:r w:rsidR="005624EB">
        <w:t>o</w:t>
      </w:r>
      <w:r w:rsidR="003126FA">
        <w:t>r</w:t>
      </w:r>
      <w:r w:rsidR="005624EB">
        <w:t xml:space="preserve"> the </w:t>
      </w:r>
      <w:r w:rsidR="009A4CA4">
        <w:t>following</w:t>
      </w:r>
      <w:r w:rsidR="009D187B">
        <w:t xml:space="preserve"> survey form included in this</w:t>
      </w:r>
      <w:r w:rsidR="004158C7">
        <w:t xml:space="preserve"> </w:t>
      </w:r>
      <w:r w:rsidR="000E666D">
        <w:t>information collection</w:t>
      </w:r>
      <w:r w:rsidR="009A4CA4">
        <w:t>:</w:t>
      </w:r>
    </w:p>
    <w:p w:rsidR="009A4CA4" w:rsidRPr="008D3E6B" w:rsidRDefault="009A4CA4" w:rsidP="000761EE">
      <w:pPr>
        <w:pStyle w:val="ListParagraph"/>
        <w:numPr>
          <w:ilvl w:val="0"/>
          <w:numId w:val="56"/>
        </w:numPr>
        <w:spacing w:before="60"/>
        <w:contextualSpacing w:val="0"/>
        <w:rPr>
          <w:rStyle w:val="Heading1Char"/>
          <w:rFonts w:asciiTheme="minorHAnsi" w:hAnsiTheme="minorHAnsi" w:cstheme="minorHAnsi"/>
          <w:b w:val="0"/>
          <w:sz w:val="22"/>
          <w:szCs w:val="22"/>
        </w:rPr>
      </w:pPr>
      <w:r w:rsidRPr="008D3E6B">
        <w:rPr>
          <w:rFonts w:asciiTheme="minorHAnsi" w:hAnsiTheme="minorHAnsi" w:cstheme="minorHAnsi"/>
        </w:rPr>
        <w:t>Form EIA-</w:t>
      </w:r>
      <w:r w:rsidR="009D3EB6">
        <w:rPr>
          <w:rFonts w:asciiTheme="minorHAnsi" w:hAnsiTheme="minorHAnsi" w:cstheme="minorHAnsi"/>
        </w:rPr>
        <w:t>63C</w:t>
      </w:r>
      <w:r w:rsidRPr="008D3E6B">
        <w:rPr>
          <w:rFonts w:asciiTheme="minorHAnsi" w:hAnsiTheme="minorHAnsi" w:cstheme="minorHAnsi"/>
        </w:rPr>
        <w:t xml:space="preserve">, </w:t>
      </w:r>
      <w:r w:rsidR="004158C7" w:rsidRPr="008D3E6B">
        <w:rPr>
          <w:rFonts w:asciiTheme="minorHAnsi" w:hAnsiTheme="minorHAnsi" w:cstheme="minorHAnsi"/>
        </w:rPr>
        <w:t>“</w:t>
      </w:r>
      <w:r w:rsidR="003126FA">
        <w:rPr>
          <w:rFonts w:asciiTheme="minorHAnsi" w:hAnsiTheme="minorHAnsi" w:cstheme="minorHAnsi"/>
        </w:rPr>
        <w:t xml:space="preserve">Densified Biomass </w:t>
      </w:r>
      <w:r w:rsidR="00EA2536">
        <w:rPr>
          <w:rFonts w:asciiTheme="minorHAnsi" w:hAnsiTheme="minorHAnsi" w:cstheme="minorHAnsi"/>
        </w:rPr>
        <w:t>Fuel</w:t>
      </w:r>
      <w:r w:rsidR="00EA2536" w:rsidRPr="008D3E6B">
        <w:rPr>
          <w:rFonts w:asciiTheme="minorHAnsi" w:hAnsiTheme="minorHAnsi" w:cstheme="minorHAnsi"/>
        </w:rPr>
        <w:t xml:space="preserve"> </w:t>
      </w:r>
      <w:r w:rsidRPr="008D3E6B">
        <w:rPr>
          <w:rFonts w:asciiTheme="minorHAnsi" w:hAnsiTheme="minorHAnsi" w:cstheme="minorHAnsi"/>
        </w:rPr>
        <w:t>Report</w:t>
      </w:r>
      <w:r w:rsidR="008605B5" w:rsidRPr="008D3E6B">
        <w:rPr>
          <w:rFonts w:asciiTheme="minorHAnsi" w:hAnsiTheme="minorHAnsi" w:cstheme="minorHAnsi"/>
        </w:rPr>
        <w:t>”</w:t>
      </w:r>
      <w:r w:rsidR="003126FA">
        <w:rPr>
          <w:rFonts w:asciiTheme="minorHAnsi" w:hAnsiTheme="minorHAnsi" w:cstheme="minorHAnsi"/>
        </w:rPr>
        <w:t xml:space="preserve"> (new survey)</w:t>
      </w:r>
    </w:p>
    <w:p w:rsidR="00E64F92" w:rsidRDefault="00E35C96" w:rsidP="00E64F92">
      <w:r w:rsidRPr="00E64F92">
        <w:t xml:space="preserve">The survey </w:t>
      </w:r>
      <w:r w:rsidR="003126FA">
        <w:t xml:space="preserve">will </w:t>
      </w:r>
      <w:r w:rsidRPr="00E64F92">
        <w:t xml:space="preserve">collect data from </w:t>
      </w:r>
      <w:r w:rsidR="00E1226B">
        <w:t>facilit</w:t>
      </w:r>
      <w:r w:rsidRPr="00E64F92">
        <w:t xml:space="preserve">ies </w:t>
      </w:r>
      <w:r w:rsidR="003126FA">
        <w:t xml:space="preserve">that manufacture densified biomass </w:t>
      </w:r>
      <w:r w:rsidR="00E1226B">
        <w:t xml:space="preserve">fuel </w:t>
      </w:r>
      <w:r w:rsidR="003126FA">
        <w:t>products, primarily pellet</w:t>
      </w:r>
      <w:r w:rsidR="00E1226B">
        <w:t xml:space="preserve"> fuels</w:t>
      </w:r>
      <w:r w:rsidR="003126FA">
        <w:t>, for energy applications</w:t>
      </w:r>
      <w:r w:rsidRPr="00E64F92">
        <w:t xml:space="preserve">.  The data </w:t>
      </w:r>
      <w:r w:rsidR="003126FA">
        <w:t xml:space="preserve">to be </w:t>
      </w:r>
      <w:r w:rsidRPr="00E64F92">
        <w:t xml:space="preserve">collected </w:t>
      </w:r>
      <w:r w:rsidR="003126FA">
        <w:t>will</w:t>
      </w:r>
      <w:r w:rsidR="0003740D">
        <w:t xml:space="preserve"> </w:t>
      </w:r>
      <w:r w:rsidR="003126FA">
        <w:t xml:space="preserve">be a </w:t>
      </w:r>
      <w:r w:rsidRPr="00E64F92">
        <w:t xml:space="preserve">primary source of information </w:t>
      </w:r>
      <w:r w:rsidR="003126FA">
        <w:t>for</w:t>
      </w:r>
      <w:r w:rsidRPr="00E64F92">
        <w:t xml:space="preserve"> the nation’s </w:t>
      </w:r>
      <w:r w:rsidR="003126FA">
        <w:t>growing production of biomass products for heating and electric power generation, for both domestic use and export markets</w:t>
      </w:r>
      <w:r w:rsidRPr="00E64F92">
        <w:t>.</w:t>
      </w:r>
      <w:r w:rsidR="009D3EB6">
        <w:t xml:space="preserve">  The Form EIA-63C</w:t>
      </w:r>
      <w:r w:rsidR="003126FA">
        <w:t xml:space="preserve"> survey</w:t>
      </w:r>
      <w:r w:rsidR="003C555D">
        <w:t xml:space="preserve"> </w:t>
      </w:r>
      <w:r w:rsidR="003126FA">
        <w:t xml:space="preserve">will collect </w:t>
      </w:r>
      <w:r w:rsidR="003C555D">
        <w:t>information on the manufacture, shipment, exports</w:t>
      </w:r>
      <w:r w:rsidR="003126FA">
        <w:t>, energy characteristics</w:t>
      </w:r>
      <w:r w:rsidR="000D50AF">
        <w:t>,</w:t>
      </w:r>
      <w:r w:rsidR="003126FA">
        <w:t xml:space="preserve"> and sales</w:t>
      </w:r>
      <w:r w:rsidR="003C555D">
        <w:t xml:space="preserve"> of </w:t>
      </w:r>
      <w:r w:rsidR="003126FA">
        <w:t>pellet</w:t>
      </w:r>
      <w:r w:rsidR="00E1226B">
        <w:t xml:space="preserve"> fuels</w:t>
      </w:r>
      <w:r w:rsidR="003126FA">
        <w:t xml:space="preserve"> and other densified biomass </w:t>
      </w:r>
      <w:r w:rsidR="00E1226B">
        <w:t>fuel products</w:t>
      </w:r>
      <w:r w:rsidR="003C555D">
        <w:t xml:space="preserve">, and </w:t>
      </w:r>
      <w:r w:rsidR="003126FA">
        <w:t>will be</w:t>
      </w:r>
      <w:r w:rsidR="003C555D">
        <w:t xml:space="preserve"> the primary national source of information </w:t>
      </w:r>
      <w:r w:rsidR="00CD2787">
        <w:t xml:space="preserve">on </w:t>
      </w:r>
      <w:r w:rsidR="00E106FA">
        <w:t>these topics</w:t>
      </w:r>
      <w:r w:rsidR="003C555D">
        <w:t>.</w:t>
      </w:r>
    </w:p>
    <w:p w:rsidR="00CD2787" w:rsidRDefault="00E64F92" w:rsidP="00CD2787">
      <w:pPr>
        <w:spacing w:before="100" w:beforeAutospacing="1"/>
      </w:pPr>
      <w:r>
        <w:t>This</w:t>
      </w:r>
      <w:r w:rsidR="00E35C96" w:rsidRPr="00E64F92">
        <w:t xml:space="preserve"> </w:t>
      </w:r>
      <w:r>
        <w:t xml:space="preserve">data collection request </w:t>
      </w:r>
      <w:r w:rsidR="003126FA">
        <w:t xml:space="preserve">is for a </w:t>
      </w:r>
      <w:r>
        <w:t xml:space="preserve">three-year </w:t>
      </w:r>
      <w:r w:rsidR="003126FA">
        <w:t>clearance</w:t>
      </w:r>
      <w:r>
        <w:t xml:space="preserve"> of the </w:t>
      </w:r>
      <w:r w:rsidR="00BF7279">
        <w:t xml:space="preserve">Densified Biomass </w:t>
      </w:r>
      <w:r w:rsidR="00EA2536">
        <w:t>Fuel</w:t>
      </w:r>
      <w:r w:rsidR="00BF7279">
        <w:t xml:space="preserve"> Report </w:t>
      </w:r>
      <w:r>
        <w:t>(OMB Number</w:t>
      </w:r>
      <w:r w:rsidR="008B640A">
        <w:t xml:space="preserve"> </w:t>
      </w:r>
      <w:r w:rsidR="00101C52">
        <w:t>to be assigned</w:t>
      </w:r>
      <w:r>
        <w:t xml:space="preserve">) and </w:t>
      </w:r>
      <w:r w:rsidR="0003740D">
        <w:t xml:space="preserve">is </w:t>
      </w:r>
      <w:r w:rsidR="00CD2787">
        <w:t>to meet the following objectives:</w:t>
      </w:r>
    </w:p>
    <w:p w:rsidR="00CD2787" w:rsidRDefault="00CD2787" w:rsidP="00FE03EB">
      <w:pPr>
        <w:pStyle w:val="ListParagraph"/>
        <w:numPr>
          <w:ilvl w:val="0"/>
          <w:numId w:val="90"/>
        </w:numPr>
        <w:tabs>
          <w:tab w:val="clear" w:pos="360"/>
        </w:tabs>
        <w:spacing w:before="0" w:after="200" w:afterAutospacing="0" w:line="276" w:lineRule="auto"/>
        <w:contextualSpacing w:val="0"/>
      </w:pPr>
      <w:r>
        <w:rPr>
          <w:b/>
        </w:rPr>
        <w:t>Greater</w:t>
      </w:r>
      <w:r w:rsidRPr="00E9566F">
        <w:rPr>
          <w:b/>
        </w:rPr>
        <w:t xml:space="preserve"> </w:t>
      </w:r>
      <w:r>
        <w:rPr>
          <w:b/>
        </w:rPr>
        <w:t>Coverage o</w:t>
      </w:r>
      <w:r w:rsidRPr="00E9566F">
        <w:rPr>
          <w:b/>
        </w:rPr>
        <w:t>f Renewable Energy</w:t>
      </w:r>
      <w:r>
        <w:t xml:space="preserve">: The proposed </w:t>
      </w:r>
      <w:r w:rsidR="0003740D">
        <w:t>survey will</w:t>
      </w:r>
      <w:r>
        <w:t xml:space="preserve"> </w:t>
      </w:r>
      <w:r w:rsidR="0003740D">
        <w:t xml:space="preserve">enhance coverage of the use of biomass for energy applications such as heating and power generation.  The survey will </w:t>
      </w:r>
      <w:r>
        <w:t>collect inform</w:t>
      </w:r>
      <w:r w:rsidR="0003740D">
        <w:t xml:space="preserve">ation on the characteristics of the pellet </w:t>
      </w:r>
      <w:r w:rsidR="00BA14F1">
        <w:t xml:space="preserve">fuel </w:t>
      </w:r>
      <w:r w:rsidR="0003740D">
        <w:t xml:space="preserve">industry including manufacturing capacity, export and domestic sales, and production of densified biomass </w:t>
      </w:r>
      <w:r w:rsidR="00BA14F1">
        <w:t xml:space="preserve">fuel </w:t>
      </w:r>
      <w:r w:rsidR="0003740D">
        <w:t xml:space="preserve">products. </w:t>
      </w:r>
    </w:p>
    <w:p w:rsidR="0003740D" w:rsidRPr="0003740D" w:rsidRDefault="0003740D" w:rsidP="00FE03EB">
      <w:pPr>
        <w:pStyle w:val="ListParagraph"/>
        <w:numPr>
          <w:ilvl w:val="0"/>
          <w:numId w:val="90"/>
        </w:numPr>
        <w:tabs>
          <w:tab w:val="clear" w:pos="360"/>
        </w:tabs>
        <w:spacing w:before="0" w:after="200" w:afterAutospacing="0" w:line="276" w:lineRule="auto"/>
        <w:contextualSpacing w:val="0"/>
        <w:rPr>
          <w:b/>
        </w:rPr>
      </w:pPr>
      <w:r w:rsidRPr="0003740D">
        <w:rPr>
          <w:b/>
        </w:rPr>
        <w:t>Meet a Demand for Informatio</w:t>
      </w:r>
      <w:r>
        <w:rPr>
          <w:b/>
        </w:rPr>
        <w:t xml:space="preserve">n on the Consumption of Biomass for Energy:  </w:t>
      </w:r>
      <w:r>
        <w:t xml:space="preserve">Domestically, a number of states have implemented or plan to implement incentives to replace </w:t>
      </w:r>
      <w:r w:rsidR="00BA14F1">
        <w:t>fossil fuels</w:t>
      </w:r>
      <w:r>
        <w:t xml:space="preserve"> with renewable energy sources for heating, cooling</w:t>
      </w:r>
      <w:r w:rsidR="000D50AF">
        <w:t>,</w:t>
      </w:r>
      <w:r>
        <w:t xml:space="preserve"> and electric power generation.   Additionally, European and Asian markets for pellet</w:t>
      </w:r>
      <w:r w:rsidR="00BA14F1">
        <w:t xml:space="preserve"> fuels</w:t>
      </w:r>
      <w:r>
        <w:t xml:space="preserve"> for electric power generation are growing rapidly in response to </w:t>
      </w:r>
      <w:r w:rsidR="00A404CA">
        <w:t xml:space="preserve">the need to meet carbon reduction targets by </w:t>
      </w:r>
      <w:r>
        <w:t>replac</w:t>
      </w:r>
      <w:r w:rsidR="00A404CA">
        <w:t xml:space="preserve">ing </w:t>
      </w:r>
      <w:r>
        <w:t xml:space="preserve">fossil with </w:t>
      </w:r>
      <w:r w:rsidR="00A404CA">
        <w:t>biomass</w:t>
      </w:r>
      <w:r>
        <w:t xml:space="preserve"> </w:t>
      </w:r>
      <w:r w:rsidR="00A404CA">
        <w:t>for electric power generation.</w:t>
      </w:r>
    </w:p>
    <w:p w:rsidR="0003740D" w:rsidRDefault="0003740D" w:rsidP="0003740D">
      <w:pPr>
        <w:pStyle w:val="ListParagraph"/>
        <w:tabs>
          <w:tab w:val="clear" w:pos="360"/>
        </w:tabs>
        <w:spacing w:before="0" w:after="200" w:afterAutospacing="0" w:line="276" w:lineRule="auto"/>
        <w:contextualSpacing w:val="0"/>
        <w:jc w:val="left"/>
      </w:pPr>
    </w:p>
    <w:p w:rsidR="00CD2787" w:rsidRPr="008D18EA" w:rsidRDefault="00CD2787" w:rsidP="008D18EA">
      <w:pPr>
        <w:spacing w:before="100" w:beforeAutospacing="1"/>
      </w:pPr>
    </w:p>
    <w:p w:rsidR="006304B5" w:rsidRDefault="00264246">
      <w:pPr>
        <w:pStyle w:val="Heading1"/>
      </w:pPr>
      <w:bookmarkStart w:id="5" w:name="_Toc355777374"/>
      <w:bookmarkStart w:id="6" w:name="_Toc355777700"/>
      <w:bookmarkStart w:id="7" w:name="_Toc401669353"/>
      <w:bookmarkStart w:id="8" w:name="_Toc421114930"/>
      <w:r>
        <w:t>A</w:t>
      </w:r>
      <w:r>
        <w:tab/>
      </w:r>
      <w:r w:rsidR="008D18EA" w:rsidRPr="00264246">
        <w:t>JUSTIFICATION</w:t>
      </w:r>
      <w:bookmarkEnd w:id="5"/>
      <w:bookmarkEnd w:id="6"/>
      <w:bookmarkEnd w:id="7"/>
      <w:bookmarkEnd w:id="8"/>
    </w:p>
    <w:p w:rsidR="006304B5" w:rsidRDefault="008318AC">
      <w:pPr>
        <w:pStyle w:val="Heading2"/>
      </w:pPr>
      <w:r w:rsidRPr="00264246">
        <w:t xml:space="preserve">  </w:t>
      </w:r>
      <w:bookmarkStart w:id="9" w:name="_Toc355777375"/>
      <w:bookmarkStart w:id="10" w:name="_Toc355777701"/>
      <w:bookmarkStart w:id="11" w:name="_Toc401669354"/>
      <w:bookmarkStart w:id="12" w:name="_Toc421114931"/>
      <w:r w:rsidR="003215C4" w:rsidRPr="00264246">
        <w:t>Legal Justification</w:t>
      </w:r>
      <w:bookmarkEnd w:id="9"/>
      <w:bookmarkEnd w:id="10"/>
      <w:bookmarkEnd w:id="11"/>
      <w:bookmarkEnd w:id="12"/>
    </w:p>
    <w:p w:rsidR="006304B5" w:rsidRDefault="000875AD">
      <w:pPr>
        <w:spacing w:after="0" w:afterAutospacing="0"/>
      </w:pPr>
      <w:r>
        <w:t>The authority for this data collection is derived from the following provision</w:t>
      </w:r>
      <w:r w:rsidR="00BF64BC">
        <w:t>s</w:t>
      </w:r>
      <w:r>
        <w:t>:</w:t>
      </w:r>
    </w:p>
    <w:p w:rsidR="006304B5" w:rsidRDefault="000875AD">
      <w:pPr>
        <w:spacing w:after="0" w:afterAutospacing="0"/>
      </w:pPr>
      <w:r>
        <w:t xml:space="preserve">Section 13(b), 15 U.S.C. §772(b), of the Federal Energy Administration Act (FEA Act), Public Law 93-275, outlines the types of individuals subject to the data collection authority delegated to the Administrator and the general parameters of the type of data </w:t>
      </w:r>
      <w:r w:rsidR="00A1046E">
        <w:t>that</w:t>
      </w:r>
      <w:r>
        <w:t xml:space="preserve"> can be required.  Section 13(b) states:</w:t>
      </w:r>
    </w:p>
    <w:p w:rsidR="000875AD" w:rsidRDefault="000875AD" w:rsidP="00B76B7B">
      <w:pPr>
        <w:spacing w:after="0" w:afterAutospacing="0"/>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0875AD" w:rsidRDefault="000875AD" w:rsidP="00B76B7B">
      <w:pPr>
        <w:spacing w:before="100" w:beforeAutospacing="1" w:after="0" w:afterAutospacing="0"/>
      </w:pPr>
      <w:r>
        <w:t>The objectives of the FEA Act are set forth in Section 5(b), 15 U.S.C. §764(b), of the FEA Act, which states that the Secretary shall, to the extent (s)he is authorized by Section 5(a) of the FEA Act,</w:t>
      </w:r>
    </w:p>
    <w:p w:rsidR="00333F3F" w:rsidRDefault="00333F3F" w:rsidP="00FE03EB">
      <w:pPr>
        <w:pStyle w:val="ListParagraph"/>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afterAutospacing="0"/>
        <w:jc w:val="left"/>
        <w:rPr>
          <w:rFonts w:asciiTheme="minorHAnsi" w:hAnsiTheme="minorHAnsi"/>
        </w:rPr>
      </w:pPr>
    </w:p>
    <w:p w:rsidR="00E25811" w:rsidRPr="00FD2111" w:rsidRDefault="00333F3F" w:rsidP="00FE03EB">
      <w:pPr>
        <w:pStyle w:val="ListParagraph"/>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afterAutospacing="0"/>
        <w:rPr>
          <w:rFonts w:asciiTheme="minorHAnsi" w:hAnsiTheme="minorHAnsi"/>
        </w:rPr>
      </w:pPr>
      <w:r>
        <w:rPr>
          <w:rFonts w:asciiTheme="minorHAnsi" w:hAnsiTheme="minorHAnsi"/>
        </w:rPr>
        <w:t>“</w:t>
      </w:r>
      <w:r w:rsidRPr="00333F3F">
        <w:rPr>
          <w:rFonts w:asciiTheme="minorHAnsi" w:hAnsiTheme="minorHAnsi"/>
        </w:rPr>
        <w:t>(1</w:t>
      </w:r>
      <w:r>
        <w:rPr>
          <w:rFonts w:asciiTheme="minorHAnsi" w:hAnsiTheme="minorHAnsi"/>
        </w:rPr>
        <w:t>)</w:t>
      </w:r>
      <w:r w:rsidR="00145922">
        <w:rPr>
          <w:rFonts w:asciiTheme="minorHAnsi" w:hAnsiTheme="minorHAnsi"/>
        </w:rPr>
        <w:t xml:space="preserve"> </w:t>
      </w:r>
      <w:r w:rsidR="00E25811" w:rsidRPr="00FD2111">
        <w:rPr>
          <w:rFonts w:asciiTheme="minorHAnsi" w:hAnsiTheme="minorHAnsi"/>
        </w:rPr>
        <w:t>advise the President and the Congress with respect to the establishment of a comprehensive national energy policy in relation to the energy matters for which the [Secretary] has responsibility, and, in coordination with the Secretary of State, the integration of domestic and foreign policies relating to energy resource management;</w:t>
      </w:r>
    </w:p>
    <w:p w:rsidR="000875AD" w:rsidRDefault="000875AD" w:rsidP="00333F3F">
      <w:pPr>
        <w:spacing w:after="0" w:afterAutospacing="0"/>
        <w:ind w:left="720"/>
      </w:pPr>
      <w:r>
        <w:t>(2) assess the adequacy of energy resources to meet demands in the immediate and longer range future for all sectors of the economy and for the general public;...</w:t>
      </w:r>
    </w:p>
    <w:p w:rsidR="000875AD" w:rsidRDefault="000875AD" w:rsidP="00333F3F">
      <w:pPr>
        <w:spacing w:after="0" w:afterAutospacing="0"/>
        <w:ind w:left="720"/>
      </w:pPr>
      <w:r>
        <w:t xml:space="preserve">(9) </w:t>
      </w:r>
      <w:r w:rsidR="00145922">
        <w:t>c</w:t>
      </w:r>
      <w:r w:rsidR="00D640D3">
        <w:t>ollect</w:t>
      </w:r>
      <w:r>
        <w:t>, evaluate, assemble, and analyze energy information on reserves, production, demand, and related economic data;</w:t>
      </w:r>
    </w:p>
    <w:p w:rsidR="000875AD" w:rsidRDefault="000875AD" w:rsidP="00DF413D">
      <w:pPr>
        <w:spacing w:after="0" w:afterAutospacing="0"/>
        <w:ind w:left="720"/>
      </w:pPr>
      <w:r>
        <w:t xml:space="preserve">(12) </w:t>
      </w:r>
      <w:r w:rsidR="00A65135">
        <w:t>p</w:t>
      </w:r>
      <w:r w:rsidR="00D640D3">
        <w:t>erform</w:t>
      </w:r>
      <w:r>
        <w:t xml:space="preserve"> such other functions as may be prescribed by law.”</w:t>
      </w:r>
    </w:p>
    <w:p w:rsidR="000875AD" w:rsidRDefault="000875AD" w:rsidP="00B76B7B">
      <w:pPr>
        <w:spacing w:before="100" w:beforeAutospacing="1" w:after="0" w:afterAutospacing="0"/>
      </w:pPr>
      <w:r>
        <w:t>As the authority for invoking Section 5(b) above, Section 5(a), and 15 U.S.C. §764(a), of the FEA Act in turn states:</w:t>
      </w:r>
    </w:p>
    <w:p w:rsidR="000875AD" w:rsidRDefault="000875AD" w:rsidP="00B76B7B">
      <w:pPr>
        <w:spacing w:after="0" w:afterAutospacing="0"/>
        <w:ind w:left="720"/>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0875AD" w:rsidRDefault="009400C5" w:rsidP="00B76B7B">
      <w:pPr>
        <w:spacing w:after="0" w:afterAutospacing="0"/>
        <w:ind w:left="720"/>
      </w:pPr>
      <w:r>
        <w:tab/>
      </w:r>
      <w:r w:rsidR="000875AD">
        <w:t xml:space="preserve">(1) </w:t>
      </w:r>
      <w:r>
        <w:t>s</w:t>
      </w:r>
      <w:r w:rsidR="00D640D3">
        <w:t>pecifically</w:t>
      </w:r>
      <w:r w:rsidR="000875AD">
        <w:t xml:space="preserve"> transferred to or vested in him by or pursuant to this Act;</w:t>
      </w:r>
    </w:p>
    <w:p w:rsidR="000875AD" w:rsidRDefault="009400C5" w:rsidP="00B76B7B">
      <w:pPr>
        <w:spacing w:after="0" w:afterAutospacing="0"/>
        <w:ind w:left="720"/>
      </w:pPr>
      <w:r>
        <w:tab/>
      </w:r>
      <w:r w:rsidR="000875AD">
        <w:t xml:space="preserve">(3) </w:t>
      </w:r>
      <w:r>
        <w:t>o</w:t>
      </w:r>
      <w:r w:rsidR="00D640D3">
        <w:t>therwise</w:t>
      </w:r>
      <w:r w:rsidR="000875AD">
        <w:t xml:space="preserve"> specifically vested in the [Secretary] by the Congress.”</w:t>
      </w:r>
    </w:p>
    <w:p w:rsidR="000875AD" w:rsidRDefault="000875AD" w:rsidP="00B76B7B">
      <w:pPr>
        <w:spacing w:before="100" w:beforeAutospacing="1" w:after="0" w:afterAutospacing="0"/>
      </w:pPr>
      <w:r>
        <w:t>Authority for invoking Section 5(a) of the FEA Act is provided by Section 52, 15 U.S.C. §790(a) and (b), of the FEA Act, which states that</w:t>
      </w:r>
      <w:r w:rsidR="00145922">
        <w:t>:</w:t>
      </w:r>
      <w:r>
        <w:t xml:space="preserve"> </w:t>
      </w:r>
    </w:p>
    <w:p w:rsidR="000875AD" w:rsidRDefault="000875AD" w:rsidP="00B76B7B">
      <w:pPr>
        <w:spacing w:after="0" w:afterAutospacing="0"/>
        <w:ind w:left="720"/>
      </w:pPr>
      <w:r>
        <w:lastRenderedPageBreak/>
        <w:t>“(a)</w:t>
      </w:r>
      <w:r w:rsidR="00AF08A7">
        <w:t xml:space="preserve"> </w:t>
      </w:r>
      <w:r w:rsidR="00145922">
        <w:t>the Administrator of the EIA shall</w:t>
      </w:r>
      <w:r>
        <w:t xml:space="preserve"> establish a National Energy Information System... [which] shall contain such information as is required to provide a description of and facilitate analysis of energy supply and consumption...</w:t>
      </w:r>
    </w:p>
    <w:p w:rsidR="000875AD" w:rsidRDefault="000875AD" w:rsidP="00B76B7B">
      <w:pPr>
        <w:spacing w:after="0" w:afterAutospacing="0"/>
        <w:ind w:left="720"/>
      </w:pPr>
      <w:r>
        <w:t>(b)</w:t>
      </w:r>
      <w:r w:rsidR="00AF08A7">
        <w:t xml:space="preserve"> </w:t>
      </w:r>
      <w:r w:rsidR="009400C5">
        <w:t xml:space="preserve">the </w:t>
      </w:r>
      <w:r>
        <w:t xml:space="preserve"> System shall contain such energy information as is necessary to carry out the Administration's statistical and forecasting activities..., and such energy information as is required to define and permit analysis of</w:t>
      </w:r>
      <w:r w:rsidR="009400C5">
        <w:t>:</w:t>
      </w:r>
    </w:p>
    <w:p w:rsidR="000875AD" w:rsidRDefault="000875AD" w:rsidP="00B76B7B">
      <w:pPr>
        <w:spacing w:after="0" w:afterAutospacing="0"/>
        <w:ind w:left="1440"/>
      </w:pPr>
      <w:r>
        <w:t>(1)</w:t>
      </w:r>
      <w:r w:rsidR="007A1992">
        <w:t xml:space="preserve"> </w:t>
      </w:r>
      <w:r>
        <w:t>the institutional structure of the energy supply system, including patterns of ownership and control of mineral fuel and non-mineral energy resources and the production, distribution, and marketing of mineral fuels and electricity;</w:t>
      </w:r>
    </w:p>
    <w:p w:rsidR="000875AD" w:rsidRDefault="000875AD" w:rsidP="00B76B7B">
      <w:pPr>
        <w:spacing w:after="0" w:afterAutospacing="0"/>
        <w:ind w:left="1440"/>
      </w:pPr>
      <w:r>
        <w:t>(2) the consumption of mineral fuels, non-mineral energy resources, and electricity by such classes, sectors, and regions as may be appropriate for the purposes of this Act;</w:t>
      </w:r>
    </w:p>
    <w:p w:rsidR="000875AD" w:rsidRDefault="000875AD" w:rsidP="00B76B7B">
      <w:pPr>
        <w:spacing w:after="0" w:afterAutospacing="0"/>
        <w:ind w:left="1440"/>
      </w:pPr>
      <w:r>
        <w:t>(3) the sensitivity of energy resource reserves, exploration, development, production, transportation, and consumption to economic factors, environmental constraints, technological improvements, and substitutability of alternate energy sources;</w:t>
      </w:r>
      <w:r w:rsidR="00632D4B">
        <w:t xml:space="preserve"> </w:t>
      </w:r>
      <w:r w:rsidR="000F5B16">
        <w:t>. . .</w:t>
      </w:r>
    </w:p>
    <w:p w:rsidR="000875AD" w:rsidRDefault="000875AD" w:rsidP="00B76B7B">
      <w:pPr>
        <w:spacing w:after="0" w:afterAutospacing="0"/>
        <w:ind w:left="1440"/>
      </w:pPr>
      <w:r>
        <w:t xml:space="preserve">(5) </w:t>
      </w:r>
      <w:r w:rsidR="009400C5">
        <w:t>the</w:t>
      </w:r>
      <w:r w:rsidR="000F5B16">
        <w:t xml:space="preserve"> </w:t>
      </w:r>
      <w:r>
        <w:t>industrial, labor, and regional impacts of changes and patterns of energy supply and consumption</w:t>
      </w:r>
      <w:r w:rsidR="000F5B16">
        <w:t xml:space="preserve"> </w:t>
      </w:r>
      <w:r>
        <w:t>.</w:t>
      </w:r>
      <w:r w:rsidR="000F5B16">
        <w:t xml:space="preserve"> </w:t>
      </w:r>
      <w:r>
        <w:t>.</w:t>
      </w:r>
      <w:r w:rsidR="000F5B16">
        <w:t xml:space="preserve"> </w:t>
      </w:r>
      <w:r>
        <w:t>.”</w:t>
      </w:r>
    </w:p>
    <w:p w:rsidR="00DF2CFF" w:rsidRDefault="00DF2CFF" w:rsidP="00DF2CFF">
      <w:pPr>
        <w:autoSpaceDE w:val="0"/>
        <w:autoSpaceDN w:val="0"/>
        <w:adjustRightInd w:val="0"/>
        <w:spacing w:after="0"/>
      </w:pPr>
      <w:r>
        <w:t xml:space="preserve">The DOE </w:t>
      </w:r>
      <w:r w:rsidR="00CF6932">
        <w:t>O</w:t>
      </w:r>
      <w:r>
        <w:t xml:space="preserve">rganization Act </w:t>
      </w:r>
      <w:r w:rsidR="00BF64BC">
        <w:t xml:space="preserve">provides additional authority for this collection. 42 U.S.C. §7135 </w:t>
      </w:r>
      <w:r w:rsidR="00C622BE">
        <w:t>states</w:t>
      </w:r>
      <w:r>
        <w:t>:</w:t>
      </w:r>
    </w:p>
    <w:p w:rsidR="00DF2CFF" w:rsidRDefault="00630FC5" w:rsidP="00CF6932">
      <w:pPr>
        <w:autoSpaceDE w:val="0"/>
        <w:autoSpaceDN w:val="0"/>
        <w:adjustRightInd w:val="0"/>
        <w:spacing w:after="0"/>
        <w:ind w:left="1440" w:right="720"/>
      </w:pPr>
      <w:r>
        <w:t>“</w:t>
      </w:r>
      <w:r w:rsidR="00DF2CFF" w:rsidRPr="00ED3D08">
        <w:t>The Administrator shall be responsible for carrying out a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r w:rsidR="00DF2CFF">
        <w:t xml:space="preserve"> </w:t>
      </w:r>
    </w:p>
    <w:p w:rsidR="00DF2CFF" w:rsidRDefault="00DF2CFF" w:rsidP="00CF6932">
      <w:pPr>
        <w:autoSpaceDE w:val="0"/>
        <w:autoSpaceDN w:val="0"/>
        <w:adjustRightInd w:val="0"/>
        <w:spacing w:after="0"/>
        <w:ind w:left="1440" w:right="720"/>
      </w:pPr>
      <w:r>
        <w:t>Information collected by the Energy Information Administration shall be cataloged and, upon request, any such information shall be promptly made available to the public in a form and manner easily adaptable for public use, except that this subsection shall not require disclosure of matters exempted from mandatory disclosure</w:t>
      </w:r>
      <w:r w:rsidR="00630FC5">
        <w:t>”</w:t>
      </w:r>
      <w:r>
        <w:t xml:space="preserve"> </w:t>
      </w:r>
    </w:p>
    <w:p w:rsidR="006304B5" w:rsidRDefault="008318AC">
      <w:pPr>
        <w:pStyle w:val="Heading2"/>
      </w:pPr>
      <w:bookmarkStart w:id="13" w:name="_Toc348356793"/>
      <w:bookmarkStart w:id="14" w:name="_Toc348356821"/>
      <w:bookmarkEnd w:id="13"/>
      <w:bookmarkEnd w:id="14"/>
      <w:r w:rsidRPr="00264246">
        <w:t xml:space="preserve">  </w:t>
      </w:r>
      <w:bookmarkStart w:id="15" w:name="_Toc355777376"/>
      <w:bookmarkStart w:id="16" w:name="_Toc355777702"/>
      <w:bookmarkStart w:id="17" w:name="_Toc401669355"/>
      <w:bookmarkStart w:id="18" w:name="_Toc421114932"/>
      <w:r w:rsidR="000875AD" w:rsidRPr="00264246">
        <w:t>Needs and Uses of Data</w:t>
      </w:r>
      <w:bookmarkEnd w:id="15"/>
      <w:bookmarkEnd w:id="16"/>
      <w:bookmarkEnd w:id="17"/>
      <w:bookmarkEnd w:id="18"/>
    </w:p>
    <w:p w:rsidR="006304B5" w:rsidRDefault="00264246">
      <w:pPr>
        <w:pStyle w:val="Heading3"/>
      </w:pPr>
      <w:bookmarkStart w:id="19" w:name="_Toc355777377"/>
      <w:bookmarkStart w:id="20" w:name="_Toc355777703"/>
      <w:bookmarkStart w:id="21" w:name="_Toc401669356"/>
      <w:bookmarkStart w:id="22" w:name="_Toc421114933"/>
      <w:r>
        <w:t>Overview of Needs and Uses of Data</w:t>
      </w:r>
      <w:bookmarkEnd w:id="19"/>
      <w:bookmarkEnd w:id="20"/>
      <w:bookmarkEnd w:id="21"/>
      <w:bookmarkEnd w:id="22"/>
    </w:p>
    <w:p w:rsidR="00D65805" w:rsidRDefault="006625AF" w:rsidP="00B76B7B">
      <w:pPr>
        <w:pStyle w:val="z-TopofForm"/>
        <w:spacing w:after="100"/>
        <w:rPr>
          <w:rFonts w:ascii="Calibri" w:hAnsi="Calibri"/>
          <w:sz w:val="22"/>
          <w:szCs w:val="22"/>
        </w:rPr>
      </w:pPr>
      <w:r>
        <w:rPr>
          <w:rFonts w:ascii="Calibri" w:hAnsi="Calibri"/>
          <w:sz w:val="22"/>
          <w:szCs w:val="22"/>
        </w:rPr>
        <w:t>EIA</w:t>
      </w:r>
      <w:r w:rsidR="00C16543">
        <w:rPr>
          <w:rFonts w:ascii="Calibri" w:hAnsi="Calibri"/>
          <w:sz w:val="22"/>
          <w:szCs w:val="22"/>
        </w:rPr>
        <w:t xml:space="preserve"> will </w:t>
      </w:r>
      <w:r>
        <w:rPr>
          <w:rFonts w:ascii="Calibri" w:hAnsi="Calibri"/>
          <w:sz w:val="22"/>
          <w:szCs w:val="22"/>
        </w:rPr>
        <w:t xml:space="preserve">use the data collected on the </w:t>
      </w:r>
      <w:r w:rsidR="00BF7279">
        <w:rPr>
          <w:rFonts w:ascii="Calibri" w:hAnsi="Calibri"/>
          <w:sz w:val="22"/>
          <w:szCs w:val="22"/>
        </w:rPr>
        <w:t>D</w:t>
      </w:r>
      <w:r w:rsidR="00C16543">
        <w:rPr>
          <w:rFonts w:ascii="Calibri" w:hAnsi="Calibri"/>
          <w:sz w:val="22"/>
          <w:szCs w:val="22"/>
        </w:rPr>
        <w:t xml:space="preserve">ensified </w:t>
      </w:r>
      <w:r w:rsidR="00BF7279">
        <w:rPr>
          <w:rFonts w:ascii="Calibri" w:hAnsi="Calibri"/>
          <w:sz w:val="22"/>
          <w:szCs w:val="22"/>
        </w:rPr>
        <w:t>B</w:t>
      </w:r>
      <w:r w:rsidR="00C16543">
        <w:rPr>
          <w:rFonts w:ascii="Calibri" w:hAnsi="Calibri"/>
          <w:sz w:val="22"/>
          <w:szCs w:val="22"/>
        </w:rPr>
        <w:t xml:space="preserve">iomass </w:t>
      </w:r>
      <w:r w:rsidR="00EA2536">
        <w:rPr>
          <w:rFonts w:ascii="Calibri" w:hAnsi="Calibri"/>
          <w:sz w:val="22"/>
          <w:szCs w:val="22"/>
        </w:rPr>
        <w:t xml:space="preserve">Fuel </w:t>
      </w:r>
      <w:r w:rsidR="00BF7279">
        <w:rPr>
          <w:rFonts w:ascii="Calibri" w:hAnsi="Calibri"/>
          <w:sz w:val="22"/>
          <w:szCs w:val="22"/>
        </w:rPr>
        <w:t>Report</w:t>
      </w:r>
      <w:r>
        <w:rPr>
          <w:rFonts w:ascii="Calibri" w:hAnsi="Calibri"/>
          <w:sz w:val="22"/>
          <w:szCs w:val="22"/>
        </w:rPr>
        <w:t xml:space="preserve"> to </w:t>
      </w:r>
      <w:r w:rsidRPr="006625AF">
        <w:rPr>
          <w:rFonts w:ascii="Calibri" w:hAnsi="Calibri"/>
          <w:sz w:val="22"/>
          <w:szCs w:val="22"/>
        </w:rPr>
        <w:t xml:space="preserve">answer queries from the </w:t>
      </w:r>
      <w:r w:rsidR="00D35D1E">
        <w:rPr>
          <w:rFonts w:ascii="Calibri" w:hAnsi="Calibri"/>
          <w:sz w:val="22"/>
          <w:szCs w:val="22"/>
        </w:rPr>
        <w:t xml:space="preserve">U.S. </w:t>
      </w:r>
      <w:r w:rsidRPr="006625AF">
        <w:rPr>
          <w:rFonts w:ascii="Calibri" w:hAnsi="Calibri"/>
          <w:sz w:val="22"/>
          <w:szCs w:val="22"/>
        </w:rPr>
        <w:t xml:space="preserve">Congress, other </w:t>
      </w:r>
      <w:r w:rsidR="00D62448">
        <w:rPr>
          <w:rFonts w:ascii="Calibri" w:hAnsi="Calibri"/>
          <w:sz w:val="22"/>
          <w:szCs w:val="22"/>
        </w:rPr>
        <w:t>f</w:t>
      </w:r>
      <w:r w:rsidRPr="006625AF">
        <w:rPr>
          <w:rFonts w:ascii="Calibri" w:hAnsi="Calibri"/>
          <w:sz w:val="22"/>
          <w:szCs w:val="22"/>
        </w:rPr>
        <w:t xml:space="preserve">ederal and </w:t>
      </w:r>
      <w:r w:rsidR="00D62448">
        <w:rPr>
          <w:rFonts w:ascii="Calibri" w:hAnsi="Calibri"/>
          <w:sz w:val="22"/>
          <w:szCs w:val="22"/>
        </w:rPr>
        <w:t>s</w:t>
      </w:r>
      <w:r w:rsidRPr="006625AF">
        <w:rPr>
          <w:rFonts w:ascii="Calibri" w:hAnsi="Calibri"/>
          <w:sz w:val="22"/>
          <w:szCs w:val="22"/>
        </w:rPr>
        <w:t xml:space="preserve">tate agencies, the </w:t>
      </w:r>
      <w:r w:rsidR="00C16543">
        <w:rPr>
          <w:rFonts w:ascii="Calibri" w:hAnsi="Calibri"/>
          <w:sz w:val="22"/>
          <w:szCs w:val="22"/>
        </w:rPr>
        <w:t>pellet</w:t>
      </w:r>
      <w:r w:rsidRPr="006625AF">
        <w:rPr>
          <w:rFonts w:ascii="Calibri" w:hAnsi="Calibri"/>
          <w:sz w:val="22"/>
          <w:szCs w:val="22"/>
        </w:rPr>
        <w:t xml:space="preserve"> </w:t>
      </w:r>
      <w:r w:rsidR="00EA2536">
        <w:rPr>
          <w:rFonts w:ascii="Calibri" w:hAnsi="Calibri"/>
          <w:sz w:val="22"/>
          <w:szCs w:val="22"/>
        </w:rPr>
        <w:t xml:space="preserve">fuel </w:t>
      </w:r>
      <w:r w:rsidRPr="006625AF">
        <w:rPr>
          <w:rFonts w:ascii="Calibri" w:hAnsi="Calibri"/>
          <w:sz w:val="22"/>
          <w:szCs w:val="22"/>
        </w:rPr>
        <w:t>industry, and the general public</w:t>
      </w:r>
      <w:r w:rsidR="00D35D1E">
        <w:rPr>
          <w:rFonts w:ascii="Calibri" w:hAnsi="Calibri"/>
          <w:sz w:val="22"/>
          <w:szCs w:val="22"/>
        </w:rPr>
        <w:t>;</w:t>
      </w:r>
      <w:r w:rsidR="00D35D1E" w:rsidRPr="006625AF">
        <w:rPr>
          <w:rFonts w:ascii="Calibri" w:hAnsi="Calibri"/>
          <w:sz w:val="22"/>
          <w:szCs w:val="22"/>
        </w:rPr>
        <w:t xml:space="preserve"> </w:t>
      </w:r>
      <w:r w:rsidRPr="006625AF">
        <w:rPr>
          <w:rFonts w:ascii="Calibri" w:hAnsi="Calibri"/>
          <w:sz w:val="22"/>
          <w:szCs w:val="22"/>
        </w:rPr>
        <w:t xml:space="preserve">and as input to the National Energy Modeling System </w:t>
      </w:r>
      <w:r w:rsidR="00407C42">
        <w:rPr>
          <w:rFonts w:ascii="Calibri" w:hAnsi="Calibri"/>
          <w:sz w:val="22"/>
          <w:szCs w:val="22"/>
        </w:rPr>
        <w:t xml:space="preserve">(NEMS) </w:t>
      </w:r>
      <w:r w:rsidRPr="006625AF">
        <w:rPr>
          <w:rFonts w:ascii="Calibri" w:hAnsi="Calibri"/>
          <w:sz w:val="22"/>
          <w:szCs w:val="22"/>
        </w:rPr>
        <w:t>and to EIA’s other forecasting and analytical activities</w:t>
      </w:r>
      <w:r w:rsidR="00D65805">
        <w:rPr>
          <w:rFonts w:ascii="Calibri" w:hAnsi="Calibri"/>
          <w:sz w:val="22"/>
          <w:szCs w:val="22"/>
        </w:rPr>
        <w:t>.  Other users of the data include p</w:t>
      </w:r>
      <w:r w:rsidR="0045011F" w:rsidRPr="006258FB">
        <w:rPr>
          <w:rFonts w:ascii="Calibri" w:hAnsi="Calibri"/>
          <w:sz w:val="22"/>
          <w:szCs w:val="22"/>
        </w:rPr>
        <w:t xml:space="preserve">olicy makers, regulators, energy </w:t>
      </w:r>
      <w:r w:rsidR="00D65805">
        <w:rPr>
          <w:rFonts w:ascii="Calibri" w:hAnsi="Calibri"/>
          <w:sz w:val="22"/>
          <w:szCs w:val="22"/>
        </w:rPr>
        <w:t>market analysts</w:t>
      </w:r>
      <w:r w:rsidR="0045011F" w:rsidRPr="006258FB">
        <w:rPr>
          <w:rFonts w:ascii="Calibri" w:hAnsi="Calibri"/>
          <w:sz w:val="22"/>
          <w:szCs w:val="22"/>
        </w:rPr>
        <w:t xml:space="preserve">, </w:t>
      </w:r>
      <w:r w:rsidR="000473B7">
        <w:rPr>
          <w:rFonts w:ascii="Calibri" w:hAnsi="Calibri"/>
          <w:sz w:val="22"/>
          <w:szCs w:val="22"/>
        </w:rPr>
        <w:t>academia</w:t>
      </w:r>
      <w:r w:rsidR="00630FC5">
        <w:rPr>
          <w:rFonts w:ascii="Calibri" w:hAnsi="Calibri"/>
          <w:sz w:val="22"/>
          <w:szCs w:val="22"/>
        </w:rPr>
        <w:t>,</w:t>
      </w:r>
      <w:r w:rsidR="000473B7">
        <w:rPr>
          <w:rFonts w:ascii="Calibri" w:hAnsi="Calibri"/>
          <w:sz w:val="22"/>
          <w:szCs w:val="22"/>
        </w:rPr>
        <w:t xml:space="preserve"> </w:t>
      </w:r>
      <w:r w:rsidR="0045011F" w:rsidRPr="006258FB">
        <w:rPr>
          <w:rFonts w:ascii="Calibri" w:hAnsi="Calibri"/>
          <w:sz w:val="22"/>
          <w:szCs w:val="22"/>
        </w:rPr>
        <w:t xml:space="preserve">and the </w:t>
      </w:r>
      <w:r w:rsidR="000473B7">
        <w:rPr>
          <w:rFonts w:ascii="Calibri" w:hAnsi="Calibri"/>
          <w:sz w:val="22"/>
          <w:szCs w:val="22"/>
        </w:rPr>
        <w:t xml:space="preserve">renewable </w:t>
      </w:r>
      <w:r w:rsidR="008F1CEA">
        <w:rPr>
          <w:rFonts w:ascii="Calibri" w:hAnsi="Calibri"/>
          <w:sz w:val="22"/>
          <w:szCs w:val="22"/>
        </w:rPr>
        <w:t>energy</w:t>
      </w:r>
      <w:r w:rsidR="0045011F" w:rsidRPr="006258FB">
        <w:rPr>
          <w:rFonts w:ascii="Calibri" w:hAnsi="Calibri"/>
          <w:sz w:val="22"/>
          <w:szCs w:val="22"/>
        </w:rPr>
        <w:t xml:space="preserve"> industr</w:t>
      </w:r>
      <w:r w:rsidR="008F1CEA">
        <w:rPr>
          <w:rFonts w:ascii="Calibri" w:hAnsi="Calibri"/>
          <w:sz w:val="22"/>
          <w:szCs w:val="22"/>
        </w:rPr>
        <w:t>ies</w:t>
      </w:r>
      <w:r w:rsidR="00D65805">
        <w:rPr>
          <w:rFonts w:ascii="Calibri" w:hAnsi="Calibri"/>
          <w:sz w:val="22"/>
          <w:szCs w:val="22"/>
        </w:rPr>
        <w:t>.</w:t>
      </w:r>
    </w:p>
    <w:p w:rsidR="000A202B" w:rsidRPr="00B40728" w:rsidRDefault="00C16543" w:rsidP="00B76B7B">
      <w:pPr>
        <w:pStyle w:val="z-TopofForm"/>
        <w:spacing w:before="100" w:beforeAutospacing="1" w:after="100"/>
        <w:rPr>
          <w:rFonts w:ascii="Calibri" w:hAnsi="Calibri"/>
          <w:sz w:val="22"/>
          <w:szCs w:val="22"/>
        </w:rPr>
      </w:pPr>
      <w:r>
        <w:rPr>
          <w:rFonts w:ascii="Calibri" w:hAnsi="Calibri"/>
          <w:sz w:val="22"/>
          <w:szCs w:val="22"/>
        </w:rPr>
        <w:t>Information on the densified biomass industry by s</w:t>
      </w:r>
      <w:r w:rsidR="00D65805" w:rsidRPr="006258FB">
        <w:rPr>
          <w:rFonts w:ascii="Calibri" w:hAnsi="Calibri"/>
          <w:sz w:val="22"/>
          <w:szCs w:val="22"/>
        </w:rPr>
        <w:t xml:space="preserve">tates </w:t>
      </w:r>
      <w:r>
        <w:rPr>
          <w:rFonts w:ascii="Calibri" w:hAnsi="Calibri"/>
          <w:sz w:val="22"/>
          <w:szCs w:val="22"/>
        </w:rPr>
        <w:t xml:space="preserve">and the pellet </w:t>
      </w:r>
      <w:r w:rsidR="000473B7">
        <w:rPr>
          <w:rFonts w:ascii="Calibri" w:hAnsi="Calibri"/>
          <w:sz w:val="22"/>
          <w:szCs w:val="22"/>
        </w:rPr>
        <w:t xml:space="preserve">fuel </w:t>
      </w:r>
      <w:r>
        <w:rPr>
          <w:rFonts w:ascii="Calibri" w:hAnsi="Calibri"/>
          <w:sz w:val="22"/>
          <w:szCs w:val="22"/>
        </w:rPr>
        <w:t xml:space="preserve">industry is minimal and what does exist is confined to </w:t>
      </w:r>
      <w:r w:rsidR="00014178">
        <w:rPr>
          <w:rFonts w:ascii="Calibri" w:hAnsi="Calibri"/>
          <w:sz w:val="22"/>
          <w:szCs w:val="22"/>
        </w:rPr>
        <w:t xml:space="preserve">a few </w:t>
      </w:r>
      <w:r>
        <w:rPr>
          <w:rFonts w:ascii="Calibri" w:hAnsi="Calibri"/>
          <w:sz w:val="22"/>
          <w:szCs w:val="22"/>
        </w:rPr>
        <w:t>individual state</w:t>
      </w:r>
      <w:r w:rsidR="00014178">
        <w:rPr>
          <w:rFonts w:ascii="Calibri" w:hAnsi="Calibri"/>
          <w:sz w:val="22"/>
          <w:szCs w:val="22"/>
        </w:rPr>
        <w:t>s</w:t>
      </w:r>
      <w:r>
        <w:rPr>
          <w:rFonts w:ascii="Calibri" w:hAnsi="Calibri"/>
          <w:sz w:val="22"/>
          <w:szCs w:val="22"/>
        </w:rPr>
        <w:t xml:space="preserve">.   EIA will meet a gap in the biomass energy industry, which lacks comprehensive and comparable data across </w:t>
      </w:r>
      <w:r w:rsidR="00014178">
        <w:rPr>
          <w:rFonts w:ascii="Calibri" w:hAnsi="Calibri"/>
          <w:sz w:val="22"/>
          <w:szCs w:val="22"/>
        </w:rPr>
        <w:t xml:space="preserve">all states and </w:t>
      </w:r>
      <w:r>
        <w:rPr>
          <w:rFonts w:ascii="Calibri" w:hAnsi="Calibri"/>
          <w:sz w:val="22"/>
          <w:szCs w:val="22"/>
        </w:rPr>
        <w:t>regions.</w:t>
      </w:r>
      <w:r w:rsidR="00D65805" w:rsidRPr="006258FB">
        <w:rPr>
          <w:rFonts w:ascii="Calibri" w:hAnsi="Calibri"/>
          <w:sz w:val="22"/>
          <w:szCs w:val="22"/>
        </w:rPr>
        <w:t xml:space="preserve"> </w:t>
      </w:r>
      <w:r>
        <w:rPr>
          <w:rFonts w:ascii="Calibri" w:hAnsi="Calibri"/>
          <w:sz w:val="22"/>
          <w:szCs w:val="22"/>
        </w:rPr>
        <w:t xml:space="preserve"> </w:t>
      </w:r>
      <w:r w:rsidR="000473B7">
        <w:rPr>
          <w:rFonts w:ascii="Calibri" w:hAnsi="Calibri"/>
          <w:sz w:val="22"/>
          <w:szCs w:val="22"/>
        </w:rPr>
        <w:t xml:space="preserve">EIA met with </w:t>
      </w:r>
      <w:r w:rsidR="000473B7">
        <w:rPr>
          <w:rFonts w:ascii="Calibri" w:hAnsi="Calibri"/>
          <w:sz w:val="22"/>
          <w:szCs w:val="22"/>
        </w:rPr>
        <w:lastRenderedPageBreak/>
        <w:t xml:space="preserve">representatives of the pellet fuel industry and several large producers of pellet fuels for both domestic and export markets.  The participants attending the meetings fully supported and verified the need for information about a growing energy source and its current lack of information.  </w:t>
      </w:r>
      <w:r>
        <w:rPr>
          <w:rFonts w:ascii="Calibri" w:hAnsi="Calibri"/>
          <w:sz w:val="22"/>
          <w:szCs w:val="22"/>
        </w:rPr>
        <w:t>Several New En</w:t>
      </w:r>
      <w:r w:rsidR="00014178">
        <w:rPr>
          <w:rFonts w:ascii="Calibri" w:hAnsi="Calibri"/>
          <w:sz w:val="22"/>
          <w:szCs w:val="22"/>
        </w:rPr>
        <w:t xml:space="preserve">gland states have expressed confidence </w:t>
      </w:r>
      <w:r w:rsidR="00446703">
        <w:rPr>
          <w:rFonts w:ascii="Calibri" w:hAnsi="Calibri"/>
          <w:sz w:val="22"/>
          <w:szCs w:val="22"/>
        </w:rPr>
        <w:t xml:space="preserve">in </w:t>
      </w:r>
      <w:r w:rsidR="00014178">
        <w:rPr>
          <w:rFonts w:ascii="Calibri" w:hAnsi="Calibri"/>
          <w:sz w:val="22"/>
          <w:szCs w:val="22"/>
        </w:rPr>
        <w:t>and the desire</w:t>
      </w:r>
      <w:r>
        <w:rPr>
          <w:rFonts w:ascii="Calibri" w:hAnsi="Calibri"/>
          <w:sz w:val="22"/>
          <w:szCs w:val="22"/>
        </w:rPr>
        <w:t xml:space="preserve"> to </w:t>
      </w:r>
      <w:r w:rsidR="00D65805" w:rsidRPr="006258FB">
        <w:rPr>
          <w:rFonts w:ascii="Calibri" w:hAnsi="Calibri"/>
          <w:sz w:val="22"/>
          <w:szCs w:val="22"/>
        </w:rPr>
        <w:t xml:space="preserve">rely on EIA for </w:t>
      </w:r>
      <w:r w:rsidR="00014178">
        <w:rPr>
          <w:rFonts w:ascii="Calibri" w:hAnsi="Calibri"/>
          <w:sz w:val="22"/>
          <w:szCs w:val="22"/>
        </w:rPr>
        <w:t>biomass energy consumption information</w:t>
      </w:r>
      <w:r w:rsidR="00D65805" w:rsidRPr="006258FB">
        <w:rPr>
          <w:rFonts w:ascii="Calibri" w:hAnsi="Calibri"/>
          <w:sz w:val="22"/>
          <w:szCs w:val="22"/>
        </w:rPr>
        <w:t xml:space="preserve">.  </w:t>
      </w:r>
      <w:r w:rsidR="00615516" w:rsidRPr="006258FB">
        <w:rPr>
          <w:rFonts w:ascii="Calibri" w:hAnsi="Calibri"/>
          <w:sz w:val="22"/>
          <w:szCs w:val="22"/>
        </w:rPr>
        <w:t xml:space="preserve">In the absence of </w:t>
      </w:r>
      <w:r w:rsidR="00014178">
        <w:rPr>
          <w:rFonts w:ascii="Calibri" w:hAnsi="Calibri"/>
          <w:sz w:val="22"/>
          <w:szCs w:val="22"/>
        </w:rPr>
        <w:t xml:space="preserve">a </w:t>
      </w:r>
      <w:r w:rsidR="00615516" w:rsidRPr="006258FB">
        <w:rPr>
          <w:rFonts w:ascii="Calibri" w:hAnsi="Calibri"/>
          <w:sz w:val="22"/>
          <w:szCs w:val="22"/>
        </w:rPr>
        <w:t xml:space="preserve">centralized and public data collection by EIA, each </w:t>
      </w:r>
      <w:r w:rsidR="00D62448">
        <w:rPr>
          <w:rFonts w:ascii="Calibri" w:hAnsi="Calibri"/>
          <w:sz w:val="22"/>
          <w:szCs w:val="22"/>
        </w:rPr>
        <w:t>s</w:t>
      </w:r>
      <w:r w:rsidR="00615516" w:rsidRPr="006258FB">
        <w:rPr>
          <w:rFonts w:ascii="Calibri" w:hAnsi="Calibri"/>
          <w:sz w:val="22"/>
          <w:szCs w:val="22"/>
        </w:rPr>
        <w:t xml:space="preserve">tate </w:t>
      </w:r>
      <w:r w:rsidR="00014178">
        <w:rPr>
          <w:rFonts w:ascii="Calibri" w:hAnsi="Calibri"/>
          <w:sz w:val="22"/>
          <w:szCs w:val="22"/>
        </w:rPr>
        <w:t>would</w:t>
      </w:r>
      <w:r w:rsidR="00615516" w:rsidRPr="006258FB">
        <w:rPr>
          <w:rFonts w:ascii="Calibri" w:hAnsi="Calibri"/>
          <w:sz w:val="22"/>
          <w:szCs w:val="22"/>
        </w:rPr>
        <w:t xml:space="preserve"> have to undertake its own data collection effort,</w:t>
      </w:r>
      <w:r w:rsidR="00014178">
        <w:rPr>
          <w:rFonts w:ascii="Calibri" w:hAnsi="Calibri"/>
          <w:sz w:val="22"/>
          <w:szCs w:val="22"/>
        </w:rPr>
        <w:t xml:space="preserve"> and </w:t>
      </w:r>
      <w:r w:rsidR="00615516" w:rsidRPr="006258FB">
        <w:rPr>
          <w:rFonts w:ascii="Calibri" w:hAnsi="Calibri"/>
          <w:sz w:val="22"/>
          <w:szCs w:val="22"/>
        </w:rPr>
        <w:t>in many cases request</w:t>
      </w:r>
      <w:r w:rsidR="00014178">
        <w:rPr>
          <w:rFonts w:ascii="Calibri" w:hAnsi="Calibri"/>
          <w:sz w:val="22"/>
          <w:szCs w:val="22"/>
        </w:rPr>
        <w:t xml:space="preserve"> </w:t>
      </w:r>
      <w:r w:rsidR="00615516" w:rsidRPr="006258FB">
        <w:rPr>
          <w:rFonts w:ascii="Calibri" w:hAnsi="Calibri"/>
          <w:sz w:val="22"/>
          <w:szCs w:val="22"/>
        </w:rPr>
        <w:t xml:space="preserve">duplicative information from firms with operations that cross </w:t>
      </w:r>
      <w:r w:rsidR="00D62448">
        <w:rPr>
          <w:rFonts w:ascii="Calibri" w:hAnsi="Calibri"/>
          <w:sz w:val="22"/>
          <w:szCs w:val="22"/>
        </w:rPr>
        <w:t>s</w:t>
      </w:r>
      <w:r w:rsidR="00615516" w:rsidRPr="006258FB">
        <w:rPr>
          <w:rFonts w:ascii="Calibri" w:hAnsi="Calibri"/>
          <w:sz w:val="22"/>
          <w:szCs w:val="22"/>
        </w:rPr>
        <w:t>tate lines.  The EIA data collection ensures consistent data at minimum cost to the public and respondents.</w:t>
      </w:r>
    </w:p>
    <w:p w:rsidR="0095684D" w:rsidRDefault="0095684D" w:rsidP="00B76B7B">
      <w:pPr>
        <w:pStyle w:val="z-TopofForm"/>
        <w:spacing w:before="100" w:beforeAutospacing="1" w:after="100"/>
        <w:rPr>
          <w:rFonts w:ascii="Calibri" w:hAnsi="Calibri"/>
          <w:sz w:val="22"/>
          <w:szCs w:val="22"/>
        </w:rPr>
      </w:pPr>
      <w:r>
        <w:rPr>
          <w:rFonts w:ascii="Calibri" w:hAnsi="Calibri"/>
          <w:sz w:val="22"/>
          <w:szCs w:val="22"/>
        </w:rPr>
        <w:t xml:space="preserve">The data </w:t>
      </w:r>
      <w:r w:rsidR="00014178">
        <w:rPr>
          <w:rFonts w:ascii="Calibri" w:hAnsi="Calibri"/>
          <w:sz w:val="22"/>
          <w:szCs w:val="22"/>
        </w:rPr>
        <w:t xml:space="preserve">to be </w:t>
      </w:r>
      <w:r>
        <w:rPr>
          <w:rFonts w:ascii="Calibri" w:hAnsi="Calibri"/>
          <w:sz w:val="22"/>
          <w:szCs w:val="22"/>
        </w:rPr>
        <w:t>collected on th</w:t>
      </w:r>
      <w:r w:rsidR="00014178">
        <w:rPr>
          <w:rFonts w:ascii="Calibri" w:hAnsi="Calibri"/>
          <w:sz w:val="22"/>
          <w:szCs w:val="22"/>
        </w:rPr>
        <w:t>is</w:t>
      </w:r>
      <w:r>
        <w:rPr>
          <w:rFonts w:ascii="Calibri" w:hAnsi="Calibri"/>
          <w:sz w:val="22"/>
          <w:szCs w:val="22"/>
        </w:rPr>
        <w:t xml:space="preserve"> survey </w:t>
      </w:r>
      <w:r w:rsidR="00014178">
        <w:rPr>
          <w:rFonts w:ascii="Calibri" w:hAnsi="Calibri"/>
          <w:sz w:val="22"/>
          <w:szCs w:val="22"/>
        </w:rPr>
        <w:t>will be</w:t>
      </w:r>
      <w:r w:rsidR="00F10378">
        <w:rPr>
          <w:rFonts w:ascii="Calibri" w:hAnsi="Calibri"/>
          <w:sz w:val="22"/>
          <w:szCs w:val="22"/>
        </w:rPr>
        <w:t xml:space="preserve"> </w:t>
      </w:r>
      <w:r>
        <w:rPr>
          <w:rFonts w:ascii="Calibri" w:hAnsi="Calibri"/>
          <w:sz w:val="22"/>
          <w:szCs w:val="22"/>
        </w:rPr>
        <w:t xml:space="preserve">reported in Internet-based </w:t>
      </w:r>
      <w:r w:rsidR="00014178">
        <w:rPr>
          <w:rFonts w:ascii="Calibri" w:hAnsi="Calibri"/>
          <w:sz w:val="22"/>
          <w:szCs w:val="22"/>
        </w:rPr>
        <w:t>products</w:t>
      </w:r>
      <w:r>
        <w:rPr>
          <w:rFonts w:ascii="Calibri" w:hAnsi="Calibri"/>
          <w:sz w:val="22"/>
          <w:szCs w:val="22"/>
        </w:rPr>
        <w:t xml:space="preserve"> and used in many EIA reports</w:t>
      </w:r>
      <w:r w:rsidR="003238CA">
        <w:rPr>
          <w:rFonts w:ascii="Calibri" w:hAnsi="Calibri"/>
          <w:sz w:val="22"/>
          <w:szCs w:val="22"/>
        </w:rPr>
        <w:t>,</w:t>
      </w:r>
      <w:r>
        <w:rPr>
          <w:rFonts w:ascii="Calibri" w:hAnsi="Calibri"/>
          <w:sz w:val="22"/>
          <w:szCs w:val="22"/>
        </w:rPr>
        <w:t xml:space="preserve"> including</w:t>
      </w:r>
      <w:r w:rsidR="000473B7">
        <w:rPr>
          <w:rFonts w:ascii="Calibri" w:hAnsi="Calibri"/>
          <w:sz w:val="22"/>
          <w:szCs w:val="22"/>
        </w:rPr>
        <w:t xml:space="preserve"> but not limited to</w:t>
      </w:r>
      <w:r>
        <w:rPr>
          <w:rFonts w:ascii="Calibri" w:hAnsi="Calibri"/>
          <w:sz w:val="22"/>
          <w:szCs w:val="22"/>
        </w:rPr>
        <w:t>:</w:t>
      </w:r>
    </w:p>
    <w:p w:rsidR="00D34768" w:rsidRPr="00F91022" w:rsidRDefault="00D34768" w:rsidP="00D34768">
      <w:pPr>
        <w:pStyle w:val="ListParagraph"/>
        <w:numPr>
          <w:ilvl w:val="0"/>
          <w:numId w:val="4"/>
        </w:numPr>
        <w:tabs>
          <w:tab w:val="left" w:pos="540"/>
        </w:tabs>
        <w:spacing w:after="120"/>
        <w:ind w:right="1440"/>
        <w:contextualSpacing w:val="0"/>
        <w:jc w:val="left"/>
        <w:rPr>
          <w:rStyle w:val="Hyperlink"/>
          <w:color w:val="auto"/>
        </w:rPr>
      </w:pPr>
      <w:r w:rsidRPr="008B54F1">
        <w:t xml:space="preserve">Annual Energy </w:t>
      </w:r>
      <w:r w:rsidRPr="0005734F">
        <w:t>Outlook</w:t>
      </w:r>
      <w:r w:rsidRPr="00D34768">
        <w:rPr>
          <w:sz w:val="18"/>
        </w:rPr>
        <w:t xml:space="preserve">: </w:t>
      </w:r>
      <w:hyperlink r:id="rId11" w:history="1">
        <w:r w:rsidRPr="00F91022">
          <w:rPr>
            <w:rStyle w:val="Hyperlink"/>
            <w:sz w:val="18"/>
            <w:szCs w:val="18"/>
          </w:rPr>
          <w:t>http://www.eia.gov/forecasts/aeo/er/</w:t>
        </w:r>
      </w:hyperlink>
    </w:p>
    <w:p w:rsidR="00A3779D" w:rsidRPr="001E69C5" w:rsidRDefault="00D34768" w:rsidP="00A3779D">
      <w:pPr>
        <w:pStyle w:val="ListParagraph"/>
        <w:numPr>
          <w:ilvl w:val="0"/>
          <w:numId w:val="4"/>
        </w:numPr>
        <w:tabs>
          <w:tab w:val="left" w:pos="540"/>
        </w:tabs>
        <w:spacing w:after="120"/>
        <w:ind w:right="1440"/>
        <w:contextualSpacing w:val="0"/>
        <w:jc w:val="left"/>
        <w:rPr>
          <w:rStyle w:val="Hyperlink"/>
          <w:color w:val="auto"/>
          <w:u w:val="none"/>
        </w:rPr>
      </w:pPr>
      <w:r>
        <w:rPr>
          <w:rFonts w:cs="Calibri"/>
        </w:rPr>
        <w:t xml:space="preserve">Short-Term Energy Outlook: </w:t>
      </w:r>
      <w:hyperlink r:id="rId12" w:history="1">
        <w:r w:rsidR="001E69C5" w:rsidRPr="00F43F32">
          <w:rPr>
            <w:rStyle w:val="Hyperlink"/>
            <w:sz w:val="18"/>
            <w:szCs w:val="18"/>
          </w:rPr>
          <w:t>http://www.eia.gov/forecasts/steo/</w:t>
        </w:r>
      </w:hyperlink>
    </w:p>
    <w:p w:rsidR="00D34768" w:rsidRPr="00F91022" w:rsidRDefault="00D34768" w:rsidP="00D34768">
      <w:pPr>
        <w:pStyle w:val="ListParagraph"/>
        <w:numPr>
          <w:ilvl w:val="0"/>
          <w:numId w:val="4"/>
        </w:numPr>
        <w:tabs>
          <w:tab w:val="left" w:pos="540"/>
        </w:tabs>
        <w:spacing w:after="0" w:afterAutospacing="0"/>
        <w:ind w:right="1440"/>
        <w:contextualSpacing w:val="0"/>
        <w:jc w:val="left"/>
      </w:pPr>
      <w:r w:rsidRPr="006C7923">
        <w:t>Trends in Renewable En</w:t>
      </w:r>
      <w:r>
        <w:t>e</w:t>
      </w:r>
      <w:r w:rsidRPr="006C7923">
        <w:t>rgy Consumption and Electricity</w:t>
      </w:r>
      <w:r w:rsidRPr="00F91022">
        <w:t xml:space="preserve">: </w:t>
      </w:r>
      <w:hyperlink r:id="rId13" w:history="1">
        <w:r w:rsidRPr="00F91022">
          <w:rPr>
            <w:rStyle w:val="Hyperlink"/>
            <w:sz w:val="18"/>
            <w:szCs w:val="18"/>
          </w:rPr>
          <w:t>http://www.eia.gov/renewable/annual/trends/</w:t>
        </w:r>
      </w:hyperlink>
    </w:p>
    <w:p w:rsidR="008B54F1" w:rsidRPr="006C7923" w:rsidRDefault="008B54F1" w:rsidP="00D34768">
      <w:pPr>
        <w:pStyle w:val="ListParagraph"/>
        <w:numPr>
          <w:ilvl w:val="0"/>
          <w:numId w:val="4"/>
        </w:numPr>
        <w:tabs>
          <w:tab w:val="left" w:pos="540"/>
        </w:tabs>
        <w:ind w:right="1440"/>
        <w:contextualSpacing w:val="0"/>
        <w:jc w:val="left"/>
      </w:pPr>
      <w:r>
        <w:t>Monthly Energy Review</w:t>
      </w:r>
      <w:r w:rsidR="00D34768">
        <w:t>:</w:t>
      </w:r>
      <w:r>
        <w:t xml:space="preserve"> </w:t>
      </w:r>
      <w:hyperlink r:id="rId14" w:history="1">
        <w:r w:rsidR="006C7923" w:rsidRPr="00216CEF">
          <w:rPr>
            <w:rStyle w:val="Hyperlink"/>
            <w:sz w:val="18"/>
          </w:rPr>
          <w:t>http://www.eia.gov/totalenergy/data/monthly/</w:t>
        </w:r>
      </w:hyperlink>
    </w:p>
    <w:p w:rsidR="006C7923" w:rsidRPr="00FE63F1" w:rsidRDefault="006C7923" w:rsidP="00D34768">
      <w:pPr>
        <w:pStyle w:val="ListParagraph"/>
        <w:numPr>
          <w:ilvl w:val="0"/>
          <w:numId w:val="4"/>
        </w:numPr>
        <w:tabs>
          <w:tab w:val="left" w:pos="540"/>
        </w:tabs>
        <w:ind w:right="1440"/>
        <w:contextualSpacing w:val="0"/>
        <w:jc w:val="left"/>
      </w:pPr>
      <w:r w:rsidRPr="00FE63F1">
        <w:t>Annual Energy Review</w:t>
      </w:r>
      <w:r w:rsidR="00D34768" w:rsidRPr="00FE63F1">
        <w:t>:</w:t>
      </w:r>
      <w:r w:rsidR="00D34768" w:rsidRPr="00FE63F1">
        <w:rPr>
          <w:sz w:val="18"/>
        </w:rPr>
        <w:t xml:space="preserve"> </w:t>
      </w:r>
      <w:hyperlink r:id="rId15" w:history="1">
        <w:r w:rsidR="00D34768" w:rsidRPr="00FE63F1">
          <w:rPr>
            <w:rStyle w:val="Hyperlink"/>
            <w:color w:val="auto"/>
            <w:sz w:val="18"/>
            <w:szCs w:val="18"/>
          </w:rPr>
          <w:t>http://www.eia.gov/totalenergy/data/annual/</w:t>
        </w:r>
      </w:hyperlink>
    </w:p>
    <w:p w:rsidR="00D65805" w:rsidRPr="00FE63F1" w:rsidRDefault="00D65805" w:rsidP="00B76B7B">
      <w:pPr>
        <w:pStyle w:val="z-TopofForm"/>
        <w:spacing w:before="100" w:beforeAutospacing="1" w:after="100"/>
        <w:rPr>
          <w:rFonts w:ascii="Calibri" w:hAnsi="Calibri"/>
          <w:sz w:val="22"/>
          <w:szCs w:val="22"/>
        </w:rPr>
      </w:pPr>
      <w:r w:rsidRPr="00FE63F1">
        <w:rPr>
          <w:rFonts w:ascii="Calibri" w:hAnsi="Calibri"/>
          <w:sz w:val="22"/>
          <w:szCs w:val="22"/>
        </w:rPr>
        <w:t>Specific applications of the data collected by the surveys are discussed below in Section A.2.3.</w:t>
      </w:r>
    </w:p>
    <w:p w:rsidR="00264246" w:rsidRPr="00FE63F1" w:rsidRDefault="00264246" w:rsidP="00E15494">
      <w:pPr>
        <w:pStyle w:val="Heading3"/>
      </w:pPr>
      <w:bookmarkStart w:id="23" w:name="_Toc355777378"/>
      <w:bookmarkStart w:id="24" w:name="_Toc355777704"/>
      <w:bookmarkStart w:id="25" w:name="_Toc401669357"/>
      <w:bookmarkStart w:id="26" w:name="_Toc421114934"/>
      <w:bookmarkStart w:id="27" w:name="_Toc524334488"/>
      <w:bookmarkStart w:id="28" w:name="_Toc524334570"/>
      <w:bookmarkStart w:id="29" w:name="_Toc524334718"/>
      <w:bookmarkStart w:id="30" w:name="_Toc524334911"/>
      <w:r w:rsidRPr="00FE63F1">
        <w:t xml:space="preserve">Overview of </w:t>
      </w:r>
      <w:r w:rsidR="00B2664F" w:rsidRPr="00FE63F1">
        <w:t>Proposed Densified Biomass</w:t>
      </w:r>
      <w:r w:rsidR="000473B7" w:rsidRPr="00FE63F1">
        <w:t xml:space="preserve"> Fuel</w:t>
      </w:r>
      <w:r w:rsidR="00B2664F" w:rsidRPr="00FE63F1">
        <w:t xml:space="preserve"> </w:t>
      </w:r>
      <w:r w:rsidRPr="00FE63F1">
        <w:t>Data Collection</w:t>
      </w:r>
      <w:bookmarkEnd w:id="23"/>
      <w:bookmarkEnd w:id="24"/>
      <w:bookmarkEnd w:id="25"/>
      <w:bookmarkEnd w:id="26"/>
    </w:p>
    <w:bookmarkEnd w:id="27"/>
    <w:bookmarkEnd w:id="28"/>
    <w:bookmarkEnd w:id="29"/>
    <w:bookmarkEnd w:id="30"/>
    <w:p w:rsidR="0045011F" w:rsidRPr="00FE63F1" w:rsidRDefault="00EA2536" w:rsidP="00174195">
      <w:pPr>
        <w:spacing w:after="0"/>
      </w:pPr>
      <w:r w:rsidRPr="00FE63F1">
        <w:t>EIA</w:t>
      </w:r>
      <w:r w:rsidR="008B058C" w:rsidRPr="00FE63F1">
        <w:t xml:space="preserve"> </w:t>
      </w:r>
      <w:r w:rsidR="00F91022" w:rsidRPr="00FE63F1">
        <w:t>d</w:t>
      </w:r>
      <w:r w:rsidR="0045011F" w:rsidRPr="00FE63F1">
        <w:t xml:space="preserve">ata forms collect a </w:t>
      </w:r>
      <w:r w:rsidR="00EE4505" w:rsidRPr="00FE63F1">
        <w:t xml:space="preserve">wide </w:t>
      </w:r>
      <w:r w:rsidR="0045011F" w:rsidRPr="00FE63F1">
        <w:t>range of information while</w:t>
      </w:r>
      <w:r w:rsidR="00EE4505" w:rsidRPr="00FE63F1">
        <w:t xml:space="preserve"> seeking to</w:t>
      </w:r>
      <w:r w:rsidR="0045011F" w:rsidRPr="00FE63F1">
        <w:t xml:space="preserve"> </w:t>
      </w:r>
      <w:r w:rsidR="00EE4505" w:rsidRPr="00FE63F1">
        <w:t xml:space="preserve">minimize </w:t>
      </w:r>
      <w:r w:rsidR="0045011F" w:rsidRPr="00FE63F1">
        <w:t xml:space="preserve">respondent burden and </w:t>
      </w:r>
      <w:r w:rsidR="00BD565F" w:rsidRPr="00FE63F1">
        <w:t xml:space="preserve">avoid </w:t>
      </w:r>
      <w:r w:rsidR="0045011F" w:rsidRPr="00FE63F1">
        <w:t>duplicat</w:t>
      </w:r>
      <w:r w:rsidR="00BD565F" w:rsidRPr="00FE63F1">
        <w:t>iv</w:t>
      </w:r>
      <w:r w:rsidR="0045011F" w:rsidRPr="00FE63F1">
        <w:t>e data collection</w:t>
      </w:r>
      <w:r w:rsidR="00D609CA" w:rsidRPr="00FE63F1">
        <w:t xml:space="preserve">.  </w:t>
      </w:r>
      <w:r w:rsidRPr="00FE63F1">
        <w:t>T</w:t>
      </w:r>
      <w:r w:rsidR="008B058C" w:rsidRPr="00FE63F1">
        <w:t xml:space="preserve">he proposed form will be handled in the same manner.  </w:t>
      </w:r>
      <w:r w:rsidR="00131194" w:rsidRPr="00FE63F1">
        <w:t xml:space="preserve">Data </w:t>
      </w:r>
      <w:r w:rsidR="00B2664F" w:rsidRPr="00FE63F1">
        <w:t xml:space="preserve">for this survey will be </w:t>
      </w:r>
      <w:r w:rsidR="00131194" w:rsidRPr="00FE63F1">
        <w:t>collected monthly</w:t>
      </w:r>
      <w:r w:rsidR="00706766" w:rsidRPr="00FE63F1">
        <w:t xml:space="preserve"> from respondents with a production capacity of 10,000 tons per year or more</w:t>
      </w:r>
      <w:r w:rsidR="008B640A" w:rsidRPr="00FE63F1">
        <w:t xml:space="preserve">.  </w:t>
      </w:r>
      <w:r w:rsidR="00706766" w:rsidRPr="00FE63F1">
        <w:t>Limited d</w:t>
      </w:r>
      <w:r w:rsidR="000473B7" w:rsidRPr="00FE63F1">
        <w:t xml:space="preserve">ata </w:t>
      </w:r>
      <w:r w:rsidR="00706766" w:rsidRPr="00FE63F1">
        <w:t xml:space="preserve">(Parts 1 and 2) </w:t>
      </w:r>
      <w:r w:rsidR="00274A0E" w:rsidRPr="00FE63F1">
        <w:t xml:space="preserve">will be collected </w:t>
      </w:r>
      <w:r w:rsidR="000473B7" w:rsidRPr="00FE63F1">
        <w:t xml:space="preserve">from the </w:t>
      </w:r>
      <w:r w:rsidR="00706766" w:rsidRPr="00FE63F1">
        <w:t xml:space="preserve">remaining small </w:t>
      </w:r>
      <w:r w:rsidR="000473B7" w:rsidRPr="00FE63F1">
        <w:t>respondents</w:t>
      </w:r>
      <w:r w:rsidR="00706766" w:rsidRPr="00FE63F1">
        <w:t xml:space="preserve"> (those with under 10,000 tons per year capacity) on an annual basis.</w:t>
      </w:r>
    </w:p>
    <w:p w:rsidR="00706766" w:rsidRPr="00FE63F1" w:rsidRDefault="00706766" w:rsidP="00706766">
      <w:r w:rsidRPr="00FE63F1">
        <w:t>Production and consumption of biomass fuel for heating follows seasonal patterns.  Collection on a monthly basis will allow analysis of seasonal patterns which could not be captured from data collected less frequently.  Cognitive interviews with potential respondents confirmed the seasonal nature of production and sales.  Accounting records are kept on a monthly basis by most potential respondents making monthly data easily a</w:t>
      </w:r>
      <w:r w:rsidR="00630FC5">
        <w:t>cc</w:t>
      </w:r>
      <w:r w:rsidRPr="00FE63F1">
        <w:t>ess</w:t>
      </w:r>
      <w:r w:rsidR="00630FC5">
        <w:t>i</w:t>
      </w:r>
      <w:r w:rsidRPr="00FE63F1">
        <w:t xml:space="preserve">ble for reporting.  </w:t>
      </w:r>
    </w:p>
    <w:p w:rsidR="00706766" w:rsidRPr="00FE63F1" w:rsidRDefault="00706766" w:rsidP="00706766">
      <w:r w:rsidRPr="00FE63F1">
        <w:t xml:space="preserve">An analysis of existing information on the production capacity of potential respondents indicated using 10,000 tons per year to define the cutoff criteria for small producers.  At that level, about 90 percent of the industry activity will be captured in the monthly data collection, and the number of respondents would allow publication of aggregate data at a state or regional level.  Raising the cutoff would not capture an adequate number of respondents in some regions or states to allow publication of meaningful data. </w:t>
      </w:r>
    </w:p>
    <w:p w:rsidR="00264246" w:rsidRPr="00264246" w:rsidRDefault="00264246" w:rsidP="00264246">
      <w:pPr>
        <w:pStyle w:val="Heading3"/>
      </w:pPr>
      <w:bookmarkStart w:id="31" w:name="_Toc401669358"/>
      <w:bookmarkStart w:id="32" w:name="_Toc421114935"/>
      <w:bookmarkStart w:id="33" w:name="_Toc355777379"/>
      <w:bookmarkStart w:id="34" w:name="_Toc355777705"/>
      <w:bookmarkStart w:id="35" w:name="_Toc524334489"/>
      <w:bookmarkStart w:id="36" w:name="_Toc524334571"/>
      <w:bookmarkStart w:id="37" w:name="_Toc524334719"/>
      <w:bookmarkStart w:id="38" w:name="_Toc524334912"/>
      <w:r w:rsidRPr="00264246">
        <w:t>Individual For</w:t>
      </w:r>
      <w:r w:rsidR="00007238">
        <w:t>m</w:t>
      </w:r>
      <w:r w:rsidRPr="00264246">
        <w:t xml:space="preserve"> Data Uses</w:t>
      </w:r>
      <w:bookmarkEnd w:id="31"/>
      <w:bookmarkEnd w:id="32"/>
      <w:r w:rsidRPr="00264246">
        <w:t xml:space="preserve"> </w:t>
      </w:r>
      <w:bookmarkEnd w:id="33"/>
      <w:bookmarkEnd w:id="34"/>
    </w:p>
    <w:bookmarkEnd w:id="35"/>
    <w:bookmarkEnd w:id="36"/>
    <w:bookmarkEnd w:id="37"/>
    <w:bookmarkEnd w:id="38"/>
    <w:p w:rsidR="005006D5" w:rsidRDefault="00B2664F" w:rsidP="00D00B21">
      <w:r>
        <w:t>The proposed survey</w:t>
      </w:r>
      <w:r w:rsidR="008E220D">
        <w:t xml:space="preserve"> in this clearance package </w:t>
      </w:r>
      <w:r>
        <w:t>will be a</w:t>
      </w:r>
      <w:r w:rsidR="008E220D">
        <w:t xml:space="preserve"> mandatory</w:t>
      </w:r>
      <w:r>
        <w:t xml:space="preserve"> collection</w:t>
      </w:r>
      <w:r w:rsidR="008E220D">
        <w:t xml:space="preserve">.  </w:t>
      </w:r>
      <w:r>
        <w:t>A c</w:t>
      </w:r>
      <w:r w:rsidR="00A86EDF" w:rsidRPr="0093717D">
        <w:t>op</w:t>
      </w:r>
      <w:r>
        <w:t>y</w:t>
      </w:r>
      <w:r w:rsidR="00A86EDF" w:rsidRPr="0093717D">
        <w:t xml:space="preserve"> of the proposed </w:t>
      </w:r>
      <w:r w:rsidR="005006D5" w:rsidRPr="0093717D">
        <w:t>form</w:t>
      </w:r>
      <w:r>
        <w:t xml:space="preserve"> </w:t>
      </w:r>
      <w:r w:rsidR="008E220D">
        <w:t>and instructions</w:t>
      </w:r>
      <w:r w:rsidR="00EE4505" w:rsidRPr="0093717D">
        <w:t xml:space="preserve"> </w:t>
      </w:r>
      <w:r w:rsidR="00804F61">
        <w:t>accompany this supporting statement</w:t>
      </w:r>
      <w:r w:rsidR="008E220D">
        <w:t>.</w:t>
      </w:r>
    </w:p>
    <w:p w:rsidR="00D00B21" w:rsidRPr="004D2B58" w:rsidRDefault="009D3EB6" w:rsidP="00123CC0">
      <w:pPr>
        <w:spacing w:before="100" w:beforeAutospacing="1" w:after="0" w:afterAutospacing="0"/>
        <w:rPr>
          <w:rFonts w:asciiTheme="minorHAnsi" w:hAnsiTheme="minorHAnsi" w:cstheme="minorHAnsi"/>
        </w:rPr>
      </w:pPr>
      <w:r>
        <w:rPr>
          <w:rFonts w:asciiTheme="minorHAnsi" w:hAnsiTheme="minorHAnsi" w:cstheme="minorHAnsi"/>
          <w:b/>
          <w:sz w:val="24"/>
          <w:szCs w:val="24"/>
        </w:rPr>
        <w:lastRenderedPageBreak/>
        <w:t>Form EIA-63C</w:t>
      </w:r>
      <w:r w:rsidR="00D00B21" w:rsidRPr="004D2B58">
        <w:rPr>
          <w:rFonts w:asciiTheme="minorHAnsi" w:hAnsiTheme="minorHAnsi" w:cstheme="minorHAnsi"/>
          <w:b/>
          <w:sz w:val="24"/>
          <w:szCs w:val="24"/>
        </w:rPr>
        <w:t>, “</w:t>
      </w:r>
      <w:r w:rsidR="00B2664F">
        <w:rPr>
          <w:rFonts w:asciiTheme="minorHAnsi" w:hAnsiTheme="minorHAnsi" w:cstheme="minorHAnsi"/>
          <w:b/>
          <w:sz w:val="24"/>
          <w:szCs w:val="24"/>
        </w:rPr>
        <w:t xml:space="preserve">Densified Biomass </w:t>
      </w:r>
      <w:r w:rsidR="00D609CA">
        <w:rPr>
          <w:rFonts w:asciiTheme="minorHAnsi" w:hAnsiTheme="minorHAnsi" w:cstheme="minorHAnsi"/>
          <w:b/>
          <w:sz w:val="24"/>
          <w:szCs w:val="24"/>
        </w:rPr>
        <w:t>Fuel</w:t>
      </w:r>
      <w:r w:rsidR="00D609CA" w:rsidRPr="004D2B58">
        <w:rPr>
          <w:rStyle w:val="Strong"/>
          <w:rFonts w:asciiTheme="minorHAnsi" w:hAnsiTheme="minorHAnsi" w:cstheme="minorHAnsi"/>
          <w:sz w:val="24"/>
          <w:szCs w:val="24"/>
        </w:rPr>
        <w:t xml:space="preserve"> </w:t>
      </w:r>
      <w:r w:rsidR="00D00B21" w:rsidRPr="004D2B58">
        <w:rPr>
          <w:rStyle w:val="Strong"/>
          <w:rFonts w:asciiTheme="minorHAnsi" w:hAnsiTheme="minorHAnsi" w:cstheme="minorHAnsi"/>
          <w:sz w:val="24"/>
          <w:szCs w:val="24"/>
        </w:rPr>
        <w:t>Report”</w:t>
      </w:r>
    </w:p>
    <w:p w:rsidR="00D00B21" w:rsidRPr="00170444" w:rsidRDefault="00D00B21" w:rsidP="00123CC0">
      <w:pPr>
        <w:pStyle w:val="NormalWeb"/>
        <w:spacing w:before="120" w:beforeAutospacing="0"/>
        <w:rPr>
          <w:rFonts w:asciiTheme="minorHAnsi" w:hAnsiTheme="minorHAnsi" w:cstheme="minorHAnsi"/>
          <w:sz w:val="22"/>
          <w:szCs w:val="22"/>
        </w:rPr>
      </w:pPr>
      <w:r w:rsidRPr="00170444">
        <w:rPr>
          <w:rFonts w:asciiTheme="minorHAnsi" w:hAnsiTheme="minorHAnsi" w:cstheme="minorHAnsi"/>
          <w:sz w:val="22"/>
          <w:szCs w:val="22"/>
        </w:rPr>
        <w:t xml:space="preserve">The </w:t>
      </w:r>
      <w:r w:rsidR="00B967AE">
        <w:rPr>
          <w:rFonts w:asciiTheme="minorHAnsi" w:hAnsiTheme="minorHAnsi" w:cstheme="minorHAnsi"/>
          <w:sz w:val="22"/>
          <w:szCs w:val="22"/>
        </w:rPr>
        <w:t xml:space="preserve">mandatory </w:t>
      </w:r>
      <w:r w:rsidR="009D3EB6">
        <w:rPr>
          <w:rFonts w:asciiTheme="minorHAnsi" w:hAnsiTheme="minorHAnsi" w:cstheme="minorHAnsi"/>
          <w:sz w:val="22"/>
          <w:szCs w:val="22"/>
        </w:rPr>
        <w:t>Form EIA-63C</w:t>
      </w:r>
      <w:r w:rsidRPr="00170444">
        <w:rPr>
          <w:rFonts w:asciiTheme="minorHAnsi" w:hAnsiTheme="minorHAnsi" w:cstheme="minorHAnsi"/>
          <w:sz w:val="22"/>
          <w:szCs w:val="22"/>
        </w:rPr>
        <w:t xml:space="preserve"> </w:t>
      </w:r>
      <w:r w:rsidR="00943610">
        <w:rPr>
          <w:rFonts w:asciiTheme="minorHAnsi" w:hAnsiTheme="minorHAnsi" w:cstheme="minorHAnsi"/>
          <w:sz w:val="22"/>
          <w:szCs w:val="22"/>
        </w:rPr>
        <w:t xml:space="preserve">will </w:t>
      </w:r>
      <w:r w:rsidRPr="00170444">
        <w:rPr>
          <w:rFonts w:asciiTheme="minorHAnsi" w:hAnsiTheme="minorHAnsi" w:cstheme="minorHAnsi"/>
          <w:sz w:val="22"/>
          <w:szCs w:val="22"/>
        </w:rPr>
        <w:t xml:space="preserve">track </w:t>
      </w:r>
      <w:r w:rsidR="00B2664F">
        <w:rPr>
          <w:rFonts w:asciiTheme="minorHAnsi" w:hAnsiTheme="minorHAnsi" w:cstheme="minorHAnsi"/>
          <w:sz w:val="22"/>
          <w:szCs w:val="22"/>
        </w:rPr>
        <w:t xml:space="preserve">pellet and other densified biomass </w:t>
      </w:r>
      <w:r w:rsidR="000473B7">
        <w:rPr>
          <w:rFonts w:asciiTheme="minorHAnsi" w:hAnsiTheme="minorHAnsi" w:cstheme="minorHAnsi"/>
          <w:sz w:val="22"/>
          <w:szCs w:val="22"/>
        </w:rPr>
        <w:t>fuel</w:t>
      </w:r>
      <w:r w:rsidRPr="00170444">
        <w:rPr>
          <w:rFonts w:asciiTheme="minorHAnsi" w:hAnsiTheme="minorHAnsi" w:cstheme="minorHAnsi"/>
          <w:sz w:val="22"/>
          <w:szCs w:val="22"/>
        </w:rPr>
        <w:t xml:space="preserve"> </w:t>
      </w:r>
      <w:r w:rsidR="00645DFC" w:rsidRPr="00170444">
        <w:rPr>
          <w:rFonts w:asciiTheme="minorHAnsi" w:hAnsiTheme="minorHAnsi" w:cstheme="minorHAnsi"/>
          <w:sz w:val="22"/>
          <w:szCs w:val="22"/>
        </w:rPr>
        <w:t>manufactur</w:t>
      </w:r>
      <w:r w:rsidR="00645DFC">
        <w:rPr>
          <w:rFonts w:asciiTheme="minorHAnsi" w:hAnsiTheme="minorHAnsi" w:cstheme="minorHAnsi"/>
          <w:sz w:val="22"/>
          <w:szCs w:val="22"/>
        </w:rPr>
        <w:t>e</w:t>
      </w:r>
      <w:r w:rsidRPr="00170444">
        <w:rPr>
          <w:rFonts w:asciiTheme="minorHAnsi" w:hAnsiTheme="minorHAnsi" w:cstheme="minorHAnsi"/>
          <w:sz w:val="22"/>
          <w:szCs w:val="22"/>
        </w:rPr>
        <w:t xml:space="preserve">, </w:t>
      </w:r>
      <w:r w:rsidR="00B2664F">
        <w:rPr>
          <w:rFonts w:asciiTheme="minorHAnsi" w:hAnsiTheme="minorHAnsi" w:cstheme="minorHAnsi"/>
          <w:sz w:val="22"/>
          <w:szCs w:val="22"/>
        </w:rPr>
        <w:t>sales</w:t>
      </w:r>
      <w:r w:rsidRPr="00170444">
        <w:rPr>
          <w:rFonts w:asciiTheme="minorHAnsi" w:hAnsiTheme="minorHAnsi" w:cstheme="minorHAnsi"/>
          <w:sz w:val="22"/>
          <w:szCs w:val="22"/>
        </w:rPr>
        <w:t xml:space="preserve">, </w:t>
      </w:r>
      <w:r w:rsidR="00B2664F">
        <w:rPr>
          <w:rFonts w:asciiTheme="minorHAnsi" w:hAnsiTheme="minorHAnsi" w:cstheme="minorHAnsi"/>
          <w:sz w:val="22"/>
          <w:szCs w:val="22"/>
        </w:rPr>
        <w:t>product</w:t>
      </w:r>
      <w:r w:rsidRPr="00170444">
        <w:rPr>
          <w:rFonts w:asciiTheme="minorHAnsi" w:hAnsiTheme="minorHAnsi" w:cstheme="minorHAnsi"/>
          <w:sz w:val="22"/>
          <w:szCs w:val="22"/>
        </w:rPr>
        <w:t xml:space="preserve"> types, </w:t>
      </w:r>
      <w:r w:rsidR="00645DFC">
        <w:rPr>
          <w:rFonts w:asciiTheme="minorHAnsi" w:hAnsiTheme="minorHAnsi" w:cstheme="minorHAnsi"/>
          <w:sz w:val="22"/>
          <w:szCs w:val="22"/>
        </w:rPr>
        <w:t xml:space="preserve">exports, </w:t>
      </w:r>
      <w:r w:rsidR="000473B7">
        <w:rPr>
          <w:rFonts w:asciiTheme="minorHAnsi" w:hAnsiTheme="minorHAnsi" w:cstheme="minorHAnsi"/>
          <w:sz w:val="22"/>
          <w:szCs w:val="22"/>
        </w:rPr>
        <w:t xml:space="preserve">inventory, </w:t>
      </w:r>
      <w:r w:rsidRPr="00170444">
        <w:rPr>
          <w:rFonts w:asciiTheme="minorHAnsi" w:hAnsiTheme="minorHAnsi" w:cstheme="minorHAnsi"/>
          <w:sz w:val="22"/>
          <w:szCs w:val="22"/>
        </w:rPr>
        <w:t>revenue</w:t>
      </w:r>
      <w:r w:rsidR="00630FC5">
        <w:rPr>
          <w:rFonts w:asciiTheme="minorHAnsi" w:hAnsiTheme="minorHAnsi" w:cstheme="minorHAnsi"/>
          <w:sz w:val="22"/>
          <w:szCs w:val="22"/>
        </w:rPr>
        <w:t>,</w:t>
      </w:r>
      <w:r w:rsidRPr="00170444">
        <w:rPr>
          <w:rFonts w:asciiTheme="minorHAnsi" w:hAnsiTheme="minorHAnsi" w:cstheme="minorHAnsi"/>
          <w:sz w:val="22"/>
          <w:szCs w:val="22"/>
        </w:rPr>
        <w:t xml:space="preserve"> and related information. </w:t>
      </w:r>
      <w:r w:rsidR="00636520">
        <w:rPr>
          <w:rFonts w:asciiTheme="minorHAnsi" w:hAnsiTheme="minorHAnsi" w:cstheme="minorHAnsi"/>
          <w:sz w:val="22"/>
          <w:szCs w:val="22"/>
        </w:rPr>
        <w:t xml:space="preserve"> </w:t>
      </w:r>
      <w:r w:rsidRPr="00170444">
        <w:rPr>
          <w:rFonts w:asciiTheme="minorHAnsi" w:hAnsiTheme="minorHAnsi" w:cstheme="minorHAnsi"/>
          <w:sz w:val="22"/>
          <w:szCs w:val="22"/>
        </w:rPr>
        <w:t xml:space="preserve">The data collected on this form </w:t>
      </w:r>
      <w:r w:rsidR="006B238C">
        <w:rPr>
          <w:rFonts w:asciiTheme="minorHAnsi" w:hAnsiTheme="minorHAnsi" w:cstheme="minorHAnsi"/>
          <w:sz w:val="22"/>
          <w:szCs w:val="22"/>
        </w:rPr>
        <w:t xml:space="preserve">will </w:t>
      </w:r>
      <w:r w:rsidRPr="00170444">
        <w:rPr>
          <w:rFonts w:asciiTheme="minorHAnsi" w:hAnsiTheme="minorHAnsi" w:cstheme="minorHAnsi"/>
          <w:sz w:val="22"/>
          <w:szCs w:val="22"/>
        </w:rPr>
        <w:t xml:space="preserve">appear in various EIA publications.  The data </w:t>
      </w:r>
      <w:r w:rsidR="006B238C">
        <w:rPr>
          <w:rFonts w:asciiTheme="minorHAnsi" w:hAnsiTheme="minorHAnsi" w:cstheme="minorHAnsi"/>
          <w:sz w:val="22"/>
          <w:szCs w:val="22"/>
        </w:rPr>
        <w:t>will be</w:t>
      </w:r>
      <w:r w:rsidRPr="00170444">
        <w:rPr>
          <w:rFonts w:asciiTheme="minorHAnsi" w:hAnsiTheme="minorHAnsi" w:cstheme="minorHAnsi"/>
          <w:sz w:val="22"/>
          <w:szCs w:val="22"/>
        </w:rPr>
        <w:t xml:space="preserve"> used by the U.S. Department of Energy,</w:t>
      </w:r>
      <w:r w:rsidR="00636520">
        <w:rPr>
          <w:rFonts w:asciiTheme="minorHAnsi" w:hAnsiTheme="minorHAnsi" w:cstheme="minorHAnsi"/>
          <w:sz w:val="22"/>
          <w:szCs w:val="22"/>
        </w:rPr>
        <w:t xml:space="preserve"> </w:t>
      </w:r>
      <w:r w:rsidRPr="00170444">
        <w:rPr>
          <w:rFonts w:asciiTheme="minorHAnsi" w:hAnsiTheme="minorHAnsi" w:cstheme="minorHAnsi"/>
          <w:sz w:val="22"/>
          <w:szCs w:val="22"/>
        </w:rPr>
        <w:t xml:space="preserve">Congress, other government and non-government entities, </w:t>
      </w:r>
      <w:r w:rsidR="000473B7">
        <w:rPr>
          <w:rFonts w:asciiTheme="minorHAnsi" w:hAnsiTheme="minorHAnsi" w:cstheme="minorHAnsi"/>
          <w:sz w:val="22"/>
          <w:szCs w:val="22"/>
        </w:rPr>
        <w:t>academia</w:t>
      </w:r>
      <w:r w:rsidR="00943610">
        <w:rPr>
          <w:rFonts w:asciiTheme="minorHAnsi" w:hAnsiTheme="minorHAnsi" w:cstheme="minorHAnsi"/>
          <w:sz w:val="22"/>
          <w:szCs w:val="22"/>
        </w:rPr>
        <w:t>,</w:t>
      </w:r>
      <w:r w:rsidR="000473B7">
        <w:rPr>
          <w:rFonts w:asciiTheme="minorHAnsi" w:hAnsiTheme="minorHAnsi" w:cstheme="minorHAnsi"/>
          <w:sz w:val="22"/>
          <w:szCs w:val="22"/>
        </w:rPr>
        <w:t xml:space="preserve"> </w:t>
      </w:r>
      <w:r w:rsidRPr="00170444">
        <w:rPr>
          <w:rFonts w:asciiTheme="minorHAnsi" w:hAnsiTheme="minorHAnsi" w:cstheme="minorHAnsi"/>
          <w:sz w:val="22"/>
          <w:szCs w:val="22"/>
        </w:rPr>
        <w:t xml:space="preserve">and the public to monitor the current status and trends of the </w:t>
      </w:r>
      <w:r w:rsidR="006B238C">
        <w:rPr>
          <w:rFonts w:asciiTheme="minorHAnsi" w:hAnsiTheme="minorHAnsi" w:cstheme="minorHAnsi"/>
          <w:sz w:val="22"/>
          <w:szCs w:val="22"/>
        </w:rPr>
        <w:t>densified biomass</w:t>
      </w:r>
      <w:r w:rsidRPr="00170444">
        <w:rPr>
          <w:rFonts w:asciiTheme="minorHAnsi" w:hAnsiTheme="minorHAnsi" w:cstheme="minorHAnsi"/>
          <w:sz w:val="22"/>
          <w:szCs w:val="22"/>
        </w:rPr>
        <w:t xml:space="preserve"> </w:t>
      </w:r>
      <w:r w:rsidR="000473B7">
        <w:rPr>
          <w:rFonts w:asciiTheme="minorHAnsi" w:hAnsiTheme="minorHAnsi" w:cstheme="minorHAnsi"/>
          <w:sz w:val="22"/>
          <w:szCs w:val="22"/>
        </w:rPr>
        <w:t xml:space="preserve">fuel </w:t>
      </w:r>
      <w:r w:rsidRPr="00170444">
        <w:rPr>
          <w:rFonts w:asciiTheme="minorHAnsi" w:hAnsiTheme="minorHAnsi" w:cstheme="minorHAnsi"/>
          <w:sz w:val="22"/>
          <w:szCs w:val="22"/>
        </w:rPr>
        <w:t xml:space="preserve">industry and to evaluate the future of the industry.  </w:t>
      </w:r>
      <w:r w:rsidR="006B238C">
        <w:rPr>
          <w:rFonts w:asciiTheme="minorHAnsi" w:hAnsiTheme="minorHAnsi" w:cstheme="minorHAnsi"/>
          <w:sz w:val="22"/>
          <w:szCs w:val="22"/>
        </w:rPr>
        <w:t>D</w:t>
      </w:r>
      <w:r w:rsidRPr="00170444">
        <w:rPr>
          <w:rFonts w:asciiTheme="minorHAnsi" w:hAnsiTheme="minorHAnsi" w:cstheme="minorHAnsi"/>
          <w:sz w:val="22"/>
          <w:szCs w:val="22"/>
        </w:rPr>
        <w:t>ata on this form are protected</w:t>
      </w:r>
      <w:r w:rsidR="001A6926">
        <w:rPr>
          <w:rFonts w:asciiTheme="minorHAnsi" w:hAnsiTheme="minorHAnsi" w:cstheme="minorHAnsi"/>
          <w:sz w:val="22"/>
          <w:szCs w:val="22"/>
        </w:rPr>
        <w:t xml:space="preserve"> from public release in identifiable form</w:t>
      </w:r>
      <w:r w:rsidRPr="00170444">
        <w:rPr>
          <w:rFonts w:asciiTheme="minorHAnsi" w:hAnsiTheme="minorHAnsi" w:cstheme="minorHAnsi"/>
          <w:sz w:val="22"/>
          <w:szCs w:val="22"/>
        </w:rPr>
        <w:t>.</w:t>
      </w:r>
    </w:p>
    <w:p w:rsidR="004C273D" w:rsidRDefault="009621B7">
      <w:pPr>
        <w:pStyle w:val="Heading2"/>
      </w:pPr>
      <w:bookmarkStart w:id="39" w:name="_Toc524334490"/>
      <w:bookmarkStart w:id="40" w:name="_Toc524334572"/>
      <w:bookmarkStart w:id="41" w:name="_Toc524334720"/>
      <w:bookmarkStart w:id="42" w:name="_Toc524334913"/>
      <w:bookmarkStart w:id="43" w:name="_Toc81279296"/>
      <w:r w:rsidRPr="009621B7">
        <w:t xml:space="preserve">  </w:t>
      </w:r>
      <w:bookmarkStart w:id="44" w:name="_Toc355777380"/>
      <w:bookmarkStart w:id="45" w:name="_Toc355777706"/>
      <w:bookmarkStart w:id="46" w:name="_Toc401669359"/>
      <w:bookmarkStart w:id="47" w:name="_Toc421114936"/>
      <w:r w:rsidRPr="009621B7">
        <w:t>Use of Technology</w:t>
      </w:r>
      <w:bookmarkEnd w:id="39"/>
      <w:bookmarkEnd w:id="40"/>
      <w:bookmarkEnd w:id="41"/>
      <w:bookmarkEnd w:id="42"/>
      <w:bookmarkEnd w:id="43"/>
      <w:bookmarkEnd w:id="44"/>
      <w:bookmarkEnd w:id="45"/>
      <w:bookmarkEnd w:id="46"/>
      <w:bookmarkEnd w:id="47"/>
    </w:p>
    <w:p w:rsidR="00C04153" w:rsidRDefault="00C04153" w:rsidP="00C04153">
      <w:pPr>
        <w:pStyle w:val="Heading3"/>
      </w:pPr>
      <w:bookmarkStart w:id="48" w:name="_Toc401669360"/>
      <w:bookmarkStart w:id="49" w:name="_Toc421114937"/>
      <w:r>
        <w:t>General Use of Technology</w:t>
      </w:r>
      <w:bookmarkEnd w:id="48"/>
      <w:bookmarkEnd w:id="49"/>
    </w:p>
    <w:p w:rsidR="00EC5C76" w:rsidRPr="00DE2CC0" w:rsidRDefault="006B238C" w:rsidP="004D4468">
      <w:r>
        <w:t xml:space="preserve">The EIA Densified Biomass </w:t>
      </w:r>
      <w:r w:rsidR="00D609CA">
        <w:t xml:space="preserve">Fuel </w:t>
      </w:r>
      <w:r w:rsidR="008B058C">
        <w:t>Report</w:t>
      </w:r>
      <w:r w:rsidR="001C35B3">
        <w:t xml:space="preserve"> </w:t>
      </w:r>
      <w:r>
        <w:t xml:space="preserve">will </w:t>
      </w:r>
      <w:r w:rsidR="00EC5C76" w:rsidRPr="00DE2CC0">
        <w:t xml:space="preserve">use </w:t>
      </w:r>
      <w:r w:rsidR="000473B7">
        <w:t>an</w:t>
      </w:r>
      <w:r>
        <w:t xml:space="preserve"> </w:t>
      </w:r>
      <w:r w:rsidR="00EC5C76" w:rsidRPr="00DE2CC0">
        <w:t>Internet-based data collection system</w:t>
      </w:r>
      <w:r>
        <w:t xml:space="preserve"> established at EIA</w:t>
      </w:r>
      <w:r w:rsidR="00EC5C76" w:rsidRPr="00DE2CC0">
        <w:t xml:space="preserve"> as the primary means of data collection.  </w:t>
      </w:r>
      <w:r w:rsidR="00E7774F" w:rsidRPr="00DE2CC0">
        <w:t xml:space="preserve">The majority of </w:t>
      </w:r>
      <w:r w:rsidR="00EC5C76" w:rsidRPr="00DE2CC0">
        <w:t>routine contact with respondents (e.g., notification that a survey has opened for a collection cyc</w:t>
      </w:r>
      <w:r w:rsidR="00976846" w:rsidRPr="00DE2CC0">
        <w:t xml:space="preserve">le) </w:t>
      </w:r>
      <w:r>
        <w:t xml:space="preserve">will be </w:t>
      </w:r>
      <w:r w:rsidR="00976846" w:rsidRPr="00DE2CC0">
        <w:t xml:space="preserve">performed using </w:t>
      </w:r>
      <w:r w:rsidR="00C6679D">
        <w:t>email</w:t>
      </w:r>
      <w:r w:rsidR="00976846" w:rsidRPr="00DE2CC0">
        <w:t>.</w:t>
      </w:r>
    </w:p>
    <w:p w:rsidR="00EC5C76" w:rsidRDefault="00EC5C76" w:rsidP="007C3B5E">
      <w:pPr>
        <w:spacing w:before="100" w:beforeAutospacing="1"/>
      </w:pPr>
      <w:r w:rsidRPr="00DE2CC0">
        <w:t xml:space="preserve">Internet data collection </w:t>
      </w:r>
      <w:r w:rsidR="00A9344A">
        <w:t xml:space="preserve">using the EIA’s Data XChange Portal will allow respondents to </w:t>
      </w:r>
      <w:r w:rsidR="00A9344A" w:rsidRPr="00A9344A">
        <w:t>upload a PDF transmittal sheet, enter data interactively using a web form, or conduct system to system transfers</w:t>
      </w:r>
      <w:r w:rsidR="00A9344A">
        <w:t xml:space="preserve"> and constitute the </w:t>
      </w:r>
      <w:r w:rsidRPr="00DE2CC0">
        <w:t>primary collection mode</w:t>
      </w:r>
      <w:r w:rsidR="006B238C">
        <w:t>s</w:t>
      </w:r>
      <w:r w:rsidRPr="00DE2CC0">
        <w:t xml:space="preserve"> for the </w:t>
      </w:r>
      <w:r w:rsidR="007C3B5E" w:rsidRPr="00DE2CC0">
        <w:t>s</w:t>
      </w:r>
      <w:r w:rsidR="00E7774F" w:rsidRPr="00DE2CC0">
        <w:t>urvey</w:t>
      </w:r>
      <w:r w:rsidRPr="00DE2CC0">
        <w:t>.  Th</w:t>
      </w:r>
      <w:r w:rsidR="006B238C">
        <w:t>is</w:t>
      </w:r>
      <w:r w:rsidRPr="00DE2CC0">
        <w:t xml:space="preserve"> system </w:t>
      </w:r>
      <w:r w:rsidR="00571484" w:rsidRPr="00DE2CC0">
        <w:t>allows respondents to enter their data directly into the EIA survey database</w:t>
      </w:r>
      <w:r w:rsidR="00F5316A" w:rsidRPr="00DE2CC0">
        <w:t>,</w:t>
      </w:r>
      <w:r w:rsidR="00571484" w:rsidRPr="00DE2CC0">
        <w:t xml:space="preserve"> which reduces the time needed for data collection and processing. </w:t>
      </w:r>
      <w:r w:rsidR="00C6544A" w:rsidRPr="00DE2CC0">
        <w:t xml:space="preserve"> </w:t>
      </w:r>
      <w:r w:rsidR="007D4A91">
        <w:t xml:space="preserve">The internet based system allows the use of pick lists to minimize respondent keying errors and provide consistent responses to standard and technical information.  </w:t>
      </w:r>
      <w:r w:rsidR="00571484" w:rsidRPr="00DE2CC0">
        <w:t xml:space="preserve">The system also identifies data that fail </w:t>
      </w:r>
      <w:r w:rsidR="001C5ECE">
        <w:t>edits</w:t>
      </w:r>
      <w:r w:rsidR="00B1103C" w:rsidRPr="00DE2CC0">
        <w:t xml:space="preserve"> </w:t>
      </w:r>
      <w:r w:rsidR="00571484" w:rsidRPr="00DE2CC0">
        <w:t>prior to submission</w:t>
      </w:r>
      <w:r w:rsidR="00F5316A" w:rsidRPr="00DE2CC0">
        <w:t>,</w:t>
      </w:r>
      <w:r w:rsidR="00571484" w:rsidRPr="00DE2CC0">
        <w:t xml:space="preserve"> which allows respondents to make</w:t>
      </w:r>
      <w:r w:rsidR="00571484" w:rsidRPr="000D6A2A">
        <w:t xml:space="preserve"> necessary correction</w:t>
      </w:r>
      <w:r w:rsidR="009075DC">
        <w:t>s</w:t>
      </w:r>
      <w:r w:rsidR="00571484" w:rsidRPr="000D6A2A">
        <w:t xml:space="preserve"> or explain unusual events impacting the reported data</w:t>
      </w:r>
      <w:r w:rsidR="00C62A0C">
        <w:t xml:space="preserve"> </w:t>
      </w:r>
      <w:r w:rsidR="00571484" w:rsidRPr="000D6A2A">
        <w:t xml:space="preserve">prior to submission. </w:t>
      </w:r>
      <w:r w:rsidR="00C6544A">
        <w:t xml:space="preserve"> </w:t>
      </w:r>
      <w:r w:rsidR="00571484" w:rsidRPr="000D6A2A">
        <w:t xml:space="preserve">This </w:t>
      </w:r>
      <w:r w:rsidR="004D4468">
        <w:t xml:space="preserve">data editing process </w:t>
      </w:r>
      <w:r w:rsidR="00571484" w:rsidRPr="000D6A2A">
        <w:t xml:space="preserve">reduces respondent burden by reducing the number of times a respondent must resubmit forms prior to acceptance by EIA. </w:t>
      </w:r>
      <w:r w:rsidR="00C6544A">
        <w:t xml:space="preserve"> </w:t>
      </w:r>
      <w:r w:rsidR="00571484" w:rsidRPr="000D6A2A">
        <w:t>It also improves the timeliness of reporting the information to the public.</w:t>
      </w:r>
      <w:r w:rsidR="006976D8">
        <w:t xml:space="preserve"> </w:t>
      </w:r>
      <w:r w:rsidR="00571484" w:rsidRPr="000D6A2A">
        <w:t xml:space="preserve"> The only equipment and software the respondent require</w:t>
      </w:r>
      <w:r w:rsidR="006976D8">
        <w:t>s</w:t>
      </w:r>
      <w:r w:rsidR="00571484" w:rsidRPr="000D6A2A">
        <w:t xml:space="preserve"> is a connection to the Internet and a s</w:t>
      </w:r>
      <w:r w:rsidR="00704809">
        <w:t xml:space="preserve">tandard industry </w:t>
      </w:r>
      <w:r w:rsidR="00716A41">
        <w:t>w</w:t>
      </w:r>
      <w:r w:rsidR="00704809">
        <w:t>eb browser.</w:t>
      </w:r>
    </w:p>
    <w:p w:rsidR="00571484" w:rsidRDefault="00571484" w:rsidP="004D4468">
      <w:pPr>
        <w:spacing w:before="100" w:beforeAutospacing="1" w:after="0"/>
      </w:pPr>
      <w:r w:rsidRPr="000D6A2A">
        <w:t xml:space="preserve">EIA will make </w:t>
      </w:r>
      <w:r w:rsidR="006B238C">
        <w:t xml:space="preserve">the </w:t>
      </w:r>
      <w:r w:rsidRPr="000D6A2A">
        <w:t xml:space="preserve">survey form and instructions available for printing or downloading from the </w:t>
      </w:r>
      <w:hyperlink r:id="rId16" w:anchor="electricity" w:history="1">
        <w:r w:rsidRPr="00630FC5">
          <w:rPr>
            <w:rStyle w:val="Hyperlink"/>
          </w:rPr>
          <w:t xml:space="preserve">EIA </w:t>
        </w:r>
        <w:r w:rsidR="00CD7922" w:rsidRPr="00630FC5">
          <w:rPr>
            <w:rStyle w:val="Hyperlink"/>
          </w:rPr>
          <w:t>w</w:t>
        </w:r>
        <w:r w:rsidRPr="00630FC5">
          <w:rPr>
            <w:rStyle w:val="Hyperlink"/>
          </w:rPr>
          <w:t>eb</w:t>
        </w:r>
        <w:r w:rsidR="006976D8" w:rsidRPr="00630FC5">
          <w:rPr>
            <w:rStyle w:val="Hyperlink"/>
          </w:rPr>
          <w:t>s</w:t>
        </w:r>
        <w:r w:rsidRPr="00630FC5">
          <w:rPr>
            <w:rStyle w:val="Hyperlink"/>
          </w:rPr>
          <w:t>ite</w:t>
        </w:r>
      </w:hyperlink>
      <w:r w:rsidR="00EC5C76">
        <w:t xml:space="preserve"> for </w:t>
      </w:r>
      <w:r w:rsidR="006B238C">
        <w:t xml:space="preserve">informational purposes.  </w:t>
      </w:r>
    </w:p>
    <w:p w:rsidR="00E25119" w:rsidRPr="00264246" w:rsidRDefault="007D4A91" w:rsidP="00264246">
      <w:pPr>
        <w:pStyle w:val="Heading2"/>
      </w:pPr>
      <w:bookmarkStart w:id="50" w:name="_Toc81279297"/>
      <w:bookmarkStart w:id="51" w:name="_Toc355777386"/>
      <w:bookmarkStart w:id="52" w:name="_Toc355777712"/>
      <w:r>
        <w:t xml:space="preserve"> </w:t>
      </w:r>
      <w:bookmarkStart w:id="53" w:name="_Toc401669361"/>
      <w:bookmarkStart w:id="54" w:name="_Toc421114938"/>
      <w:r w:rsidR="00E25119" w:rsidRPr="00264246">
        <w:t>Efforts to Reduce Duplication</w:t>
      </w:r>
      <w:bookmarkEnd w:id="50"/>
      <w:bookmarkEnd w:id="51"/>
      <w:bookmarkEnd w:id="52"/>
      <w:bookmarkEnd w:id="53"/>
      <w:bookmarkEnd w:id="54"/>
    </w:p>
    <w:p w:rsidR="00E25119" w:rsidRDefault="009A0C0F" w:rsidP="00C86C74">
      <w:pPr>
        <w:spacing w:after="0" w:afterAutospacing="0"/>
      </w:pPr>
      <w:r>
        <w:t xml:space="preserve">In addition to EIA, several other government and private entities conduct </w:t>
      </w:r>
      <w:r w:rsidR="007D4A91">
        <w:t xml:space="preserve">biomass energy </w:t>
      </w:r>
      <w:r>
        <w:t xml:space="preserve">data collection, estimation, and/or publication programs.  These </w:t>
      </w:r>
      <w:r w:rsidR="00C86C74">
        <w:t xml:space="preserve">entities </w:t>
      </w:r>
      <w:r>
        <w:t>include:</w:t>
      </w:r>
    </w:p>
    <w:p w:rsidR="004C273D" w:rsidRDefault="007D4A91">
      <w:pPr>
        <w:numPr>
          <w:ilvl w:val="0"/>
          <w:numId w:val="2"/>
        </w:numPr>
      </w:pPr>
      <w:r>
        <w:t>Pellet Mill Institute</w:t>
      </w:r>
    </w:p>
    <w:p w:rsidR="00773785" w:rsidRDefault="00653255" w:rsidP="00FD5011">
      <w:pPr>
        <w:numPr>
          <w:ilvl w:val="0"/>
          <w:numId w:val="2"/>
        </w:numPr>
        <w:spacing w:after="120"/>
      </w:pPr>
      <w:r>
        <w:t>Resource Information Sy</w:t>
      </w:r>
      <w:r w:rsidR="008B058C">
        <w:t>s</w:t>
      </w:r>
      <w:r>
        <w:t>tems, Inc</w:t>
      </w:r>
      <w:r w:rsidR="008B058C">
        <w:t>.</w:t>
      </w:r>
      <w:r>
        <w:t xml:space="preserve"> (</w:t>
      </w:r>
      <w:r w:rsidR="007D4A91">
        <w:t>RISI</w:t>
      </w:r>
      <w:r>
        <w:t>)</w:t>
      </w:r>
    </w:p>
    <w:p w:rsidR="00773785" w:rsidRDefault="007D4A91" w:rsidP="00FD5011">
      <w:pPr>
        <w:numPr>
          <w:ilvl w:val="0"/>
          <w:numId w:val="2"/>
        </w:numPr>
        <w:spacing w:after="120"/>
      </w:pPr>
      <w:r>
        <w:t>USDA Forest Service</w:t>
      </w:r>
    </w:p>
    <w:p w:rsidR="007D4A91" w:rsidRDefault="007D4A91" w:rsidP="00FD5011">
      <w:pPr>
        <w:numPr>
          <w:ilvl w:val="0"/>
          <w:numId w:val="2"/>
        </w:numPr>
        <w:spacing w:after="120"/>
      </w:pPr>
      <w:r>
        <w:t xml:space="preserve">States </w:t>
      </w:r>
    </w:p>
    <w:p w:rsidR="00E25119" w:rsidRDefault="00E25119" w:rsidP="00C86C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bookmarkStart w:id="55" w:name="_Toc524420601"/>
      <w:r w:rsidRPr="0043780E">
        <w:t xml:space="preserve">EIA evaluated </w:t>
      </w:r>
      <w:r w:rsidR="009777B0" w:rsidRPr="0043780E">
        <w:t>other</w:t>
      </w:r>
      <w:r w:rsidRPr="0043780E">
        <w:t xml:space="preserve"> sources of data relating to the </w:t>
      </w:r>
      <w:r w:rsidR="007D4A91">
        <w:t>densified biomass</w:t>
      </w:r>
      <w:r w:rsidRPr="0043780E">
        <w:t xml:space="preserve"> industr</w:t>
      </w:r>
      <w:r w:rsidR="007D4A91">
        <w:t>y</w:t>
      </w:r>
      <w:r w:rsidRPr="0043780E">
        <w:t xml:space="preserve"> and has found no other source </w:t>
      </w:r>
      <w:r w:rsidR="00F630A5">
        <w:t>that can</w:t>
      </w:r>
      <w:r w:rsidRPr="0043780E">
        <w:t xml:space="preserve"> replace the</w:t>
      </w:r>
      <w:r w:rsidR="00EE2A0F" w:rsidRPr="0043780E">
        <w:t xml:space="preserve"> </w:t>
      </w:r>
      <w:r w:rsidR="00730361">
        <w:t xml:space="preserve">survey in this </w:t>
      </w:r>
      <w:r w:rsidR="00CE260D">
        <w:t xml:space="preserve">package </w:t>
      </w:r>
      <w:r w:rsidR="00CE260D" w:rsidRPr="0043780E">
        <w:t>(</w:t>
      </w:r>
      <w:r w:rsidR="00D511FB" w:rsidRPr="0043780E">
        <w:t>see Table 1)</w:t>
      </w:r>
      <w:r w:rsidRPr="0043780E">
        <w:t xml:space="preserve">.  </w:t>
      </w:r>
      <w:r w:rsidR="00F630A5">
        <w:t>This is</w:t>
      </w:r>
      <w:r w:rsidRPr="0043780E">
        <w:t xml:space="preserve"> because of differences in classification, inconsistency, incompleteness, unavailability, or lack of universal coverage.</w:t>
      </w:r>
    </w:p>
    <w:p w:rsidR="00C622BE" w:rsidRDefault="00C622BE">
      <w:pPr>
        <w:tabs>
          <w:tab w:val="clear" w:pos="360"/>
        </w:tabs>
        <w:spacing w:before="0" w:after="0" w:afterAutospacing="0"/>
        <w:jc w:val="left"/>
        <w:rPr>
          <w:b/>
          <w:sz w:val="24"/>
          <w:szCs w:val="24"/>
        </w:rPr>
      </w:pPr>
    </w:p>
    <w:p w:rsidR="0071461A" w:rsidRPr="00A9344A" w:rsidRDefault="00D73CEC" w:rsidP="00CE260D">
      <w:pPr>
        <w:tabs>
          <w:tab w:val="clear" w:pos="360"/>
        </w:tabs>
        <w:spacing w:before="0" w:after="0" w:afterAutospacing="0"/>
        <w:rPr>
          <w:b/>
        </w:rPr>
      </w:pPr>
      <w:r w:rsidRPr="00D73CEC">
        <w:rPr>
          <w:b/>
        </w:rPr>
        <w:lastRenderedPageBreak/>
        <w:t xml:space="preserve">Table 1.  Non-EIA </w:t>
      </w:r>
      <w:r w:rsidR="00A9344A">
        <w:rPr>
          <w:b/>
        </w:rPr>
        <w:t>Pellet Fuel</w:t>
      </w:r>
      <w:r w:rsidRPr="00D73CEC">
        <w:rPr>
          <w:b/>
        </w:rPr>
        <w:t xml:space="preserve"> Data Collection Programs and Forms</w:t>
      </w:r>
      <w:r w:rsidR="00CE260D" w:rsidRPr="00C14AB1">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174"/>
        <w:gridCol w:w="2250"/>
        <w:gridCol w:w="5130"/>
      </w:tblGrid>
      <w:tr w:rsidR="00EC30E3" w:rsidRPr="00D54D08" w:rsidTr="00C71C13">
        <w:trPr>
          <w:cantSplit/>
          <w:tblHeader/>
        </w:trPr>
        <w:tc>
          <w:tcPr>
            <w:tcW w:w="1634" w:type="dxa"/>
            <w:shd w:val="clear" w:color="auto" w:fill="DDD9C3" w:themeFill="background2" w:themeFillShade="E6"/>
            <w:vAlign w:val="center"/>
          </w:tcPr>
          <w:p w:rsidR="00EC30E3" w:rsidRPr="00D54D08" w:rsidRDefault="00EC30E3" w:rsidP="00CE260D">
            <w:pPr>
              <w:spacing w:before="40" w:after="40" w:afterAutospacing="0"/>
              <w:jc w:val="center"/>
              <w:rPr>
                <w:b/>
                <w:sz w:val="20"/>
                <w:szCs w:val="20"/>
              </w:rPr>
            </w:pPr>
            <w:r w:rsidRPr="00D54D08">
              <w:rPr>
                <w:b/>
                <w:sz w:val="20"/>
                <w:szCs w:val="20"/>
              </w:rPr>
              <w:t>Responsible Group</w:t>
            </w:r>
          </w:p>
        </w:tc>
        <w:tc>
          <w:tcPr>
            <w:tcW w:w="1174" w:type="dxa"/>
            <w:shd w:val="clear" w:color="auto" w:fill="DDD9C3" w:themeFill="background2" w:themeFillShade="E6"/>
            <w:vAlign w:val="center"/>
          </w:tcPr>
          <w:p w:rsidR="00C71C13" w:rsidRDefault="00EC30E3" w:rsidP="00CE260D">
            <w:pPr>
              <w:spacing w:before="40" w:after="40" w:afterAutospacing="0"/>
              <w:jc w:val="center"/>
              <w:rPr>
                <w:b/>
                <w:sz w:val="20"/>
                <w:szCs w:val="20"/>
              </w:rPr>
            </w:pPr>
            <w:r w:rsidRPr="00D54D08">
              <w:rPr>
                <w:b/>
                <w:sz w:val="20"/>
                <w:szCs w:val="20"/>
              </w:rPr>
              <w:t>Form</w:t>
            </w:r>
            <w:r w:rsidR="00C71C13">
              <w:rPr>
                <w:b/>
                <w:sz w:val="20"/>
                <w:szCs w:val="20"/>
              </w:rPr>
              <w:t xml:space="preserve"> or Collection</w:t>
            </w:r>
          </w:p>
          <w:p w:rsidR="00EC30E3" w:rsidRPr="00D54D08" w:rsidRDefault="00EC30E3" w:rsidP="00CE260D">
            <w:pPr>
              <w:spacing w:before="40" w:after="40" w:afterAutospacing="0"/>
              <w:jc w:val="center"/>
              <w:rPr>
                <w:b/>
                <w:sz w:val="20"/>
                <w:szCs w:val="20"/>
              </w:rPr>
            </w:pPr>
            <w:r w:rsidRPr="00D54D08">
              <w:rPr>
                <w:b/>
                <w:sz w:val="20"/>
                <w:szCs w:val="20"/>
              </w:rPr>
              <w:t xml:space="preserve"> No.</w:t>
            </w:r>
          </w:p>
        </w:tc>
        <w:tc>
          <w:tcPr>
            <w:tcW w:w="2250" w:type="dxa"/>
            <w:shd w:val="clear" w:color="auto" w:fill="DDD9C3" w:themeFill="background2" w:themeFillShade="E6"/>
            <w:vAlign w:val="center"/>
          </w:tcPr>
          <w:p w:rsidR="00EC30E3" w:rsidRPr="00D54D08" w:rsidRDefault="00EC30E3" w:rsidP="00CE260D">
            <w:pPr>
              <w:spacing w:before="40" w:after="40" w:afterAutospacing="0"/>
              <w:jc w:val="center"/>
              <w:rPr>
                <w:b/>
                <w:sz w:val="20"/>
                <w:szCs w:val="20"/>
              </w:rPr>
            </w:pPr>
            <w:r w:rsidRPr="00D54D08">
              <w:rPr>
                <w:b/>
                <w:sz w:val="20"/>
                <w:szCs w:val="20"/>
              </w:rPr>
              <w:t>Title</w:t>
            </w:r>
          </w:p>
        </w:tc>
        <w:tc>
          <w:tcPr>
            <w:tcW w:w="5130" w:type="dxa"/>
            <w:shd w:val="clear" w:color="auto" w:fill="DDD9C3" w:themeFill="background2" w:themeFillShade="E6"/>
            <w:vAlign w:val="center"/>
          </w:tcPr>
          <w:p w:rsidR="00EC30E3" w:rsidRPr="00D54D08" w:rsidRDefault="00EC30E3" w:rsidP="00CE260D">
            <w:pPr>
              <w:spacing w:before="40" w:after="40" w:afterAutospacing="0"/>
              <w:jc w:val="center"/>
              <w:rPr>
                <w:b/>
                <w:sz w:val="20"/>
                <w:szCs w:val="20"/>
              </w:rPr>
            </w:pPr>
            <w:r w:rsidRPr="00D54D08">
              <w:rPr>
                <w:b/>
                <w:sz w:val="20"/>
                <w:szCs w:val="20"/>
              </w:rPr>
              <w:t>Notes</w:t>
            </w:r>
          </w:p>
        </w:tc>
      </w:tr>
      <w:tr w:rsidR="00EC30E3" w:rsidRPr="00D54D08" w:rsidTr="00C71C13">
        <w:trPr>
          <w:cantSplit/>
        </w:trPr>
        <w:tc>
          <w:tcPr>
            <w:tcW w:w="1634" w:type="dxa"/>
          </w:tcPr>
          <w:p w:rsidR="00EC30E3" w:rsidRPr="00D54D08" w:rsidRDefault="007D4A91" w:rsidP="00E734FA">
            <w:pPr>
              <w:spacing w:before="40" w:after="40" w:afterAutospacing="0"/>
              <w:jc w:val="left"/>
              <w:rPr>
                <w:sz w:val="20"/>
                <w:szCs w:val="20"/>
              </w:rPr>
            </w:pPr>
            <w:r>
              <w:rPr>
                <w:sz w:val="20"/>
                <w:szCs w:val="20"/>
              </w:rPr>
              <w:t>Pellet Mill Institute</w:t>
            </w:r>
          </w:p>
        </w:tc>
        <w:tc>
          <w:tcPr>
            <w:tcW w:w="1174" w:type="dxa"/>
          </w:tcPr>
          <w:p w:rsidR="00EC30E3" w:rsidRPr="00D54D08" w:rsidRDefault="00EC30E3" w:rsidP="00F84AFA">
            <w:pPr>
              <w:spacing w:before="40" w:after="40" w:afterAutospacing="0"/>
              <w:rPr>
                <w:sz w:val="20"/>
                <w:szCs w:val="20"/>
              </w:rPr>
            </w:pPr>
            <w:r w:rsidRPr="00D54D08">
              <w:rPr>
                <w:sz w:val="20"/>
                <w:szCs w:val="20"/>
              </w:rPr>
              <w:t>N/A</w:t>
            </w:r>
          </w:p>
        </w:tc>
        <w:tc>
          <w:tcPr>
            <w:tcW w:w="2250" w:type="dxa"/>
          </w:tcPr>
          <w:p w:rsidR="00EC30E3" w:rsidRPr="00D54D08" w:rsidRDefault="00A9344A" w:rsidP="00E734FA">
            <w:pPr>
              <w:spacing w:before="40" w:after="40" w:afterAutospacing="0"/>
              <w:jc w:val="left"/>
              <w:rPr>
                <w:sz w:val="20"/>
                <w:szCs w:val="20"/>
              </w:rPr>
            </w:pPr>
            <w:r>
              <w:rPr>
                <w:sz w:val="20"/>
                <w:szCs w:val="20"/>
              </w:rPr>
              <w:t>RISI and PFI Pellet Industry Survey</w:t>
            </w:r>
          </w:p>
        </w:tc>
        <w:tc>
          <w:tcPr>
            <w:tcW w:w="5130" w:type="dxa"/>
          </w:tcPr>
          <w:p w:rsidR="00EC30E3" w:rsidRPr="00914E92" w:rsidRDefault="00A9344A" w:rsidP="00A9344A">
            <w:pPr>
              <w:tabs>
                <w:tab w:val="clear" w:pos="360"/>
              </w:tabs>
              <w:spacing w:before="100" w:beforeAutospacing="1"/>
              <w:jc w:val="left"/>
              <w:rPr>
                <w:sz w:val="20"/>
                <w:szCs w:val="20"/>
              </w:rPr>
            </w:pPr>
            <w:r>
              <w:rPr>
                <w:sz w:val="20"/>
                <w:szCs w:val="20"/>
              </w:rPr>
              <w:t xml:space="preserve">Coverage of approximately 20% of the industry.  Last survey was for 2012.  Collected </w:t>
            </w:r>
            <w:r w:rsidR="00764258">
              <w:rPr>
                <w:sz w:val="20"/>
                <w:szCs w:val="20"/>
              </w:rPr>
              <w:t xml:space="preserve">data on </w:t>
            </w:r>
            <w:r>
              <w:rPr>
                <w:sz w:val="20"/>
                <w:szCs w:val="20"/>
              </w:rPr>
              <w:t>production, pricing, feedstock, and sales of pellet fuels.</w:t>
            </w:r>
          </w:p>
        </w:tc>
      </w:tr>
      <w:tr w:rsidR="00116C8D" w:rsidRPr="00D54D08" w:rsidTr="00C71C13">
        <w:trPr>
          <w:cantSplit/>
        </w:trPr>
        <w:tc>
          <w:tcPr>
            <w:tcW w:w="1634" w:type="dxa"/>
          </w:tcPr>
          <w:p w:rsidR="00116C8D" w:rsidRPr="00D54D08" w:rsidRDefault="007D4A91" w:rsidP="00E734FA">
            <w:pPr>
              <w:spacing w:before="40" w:after="40" w:afterAutospacing="0"/>
              <w:jc w:val="left"/>
              <w:rPr>
                <w:sz w:val="20"/>
                <w:szCs w:val="20"/>
              </w:rPr>
            </w:pPr>
            <w:r>
              <w:rPr>
                <w:sz w:val="20"/>
                <w:szCs w:val="20"/>
              </w:rPr>
              <w:t>RISI</w:t>
            </w:r>
          </w:p>
        </w:tc>
        <w:tc>
          <w:tcPr>
            <w:tcW w:w="1174" w:type="dxa"/>
          </w:tcPr>
          <w:p w:rsidR="00116C8D" w:rsidRPr="00D54D08" w:rsidRDefault="00116C8D" w:rsidP="00F84AFA">
            <w:pPr>
              <w:spacing w:before="40" w:after="40" w:afterAutospacing="0"/>
              <w:rPr>
                <w:sz w:val="20"/>
                <w:szCs w:val="20"/>
              </w:rPr>
            </w:pPr>
            <w:r w:rsidRPr="00A9344A">
              <w:rPr>
                <w:sz w:val="20"/>
                <w:szCs w:val="20"/>
              </w:rPr>
              <w:t>N/A</w:t>
            </w:r>
          </w:p>
        </w:tc>
        <w:tc>
          <w:tcPr>
            <w:tcW w:w="2250" w:type="dxa"/>
          </w:tcPr>
          <w:p w:rsidR="00116C8D" w:rsidRPr="00116C8D" w:rsidRDefault="00A9344A" w:rsidP="00E734FA">
            <w:pPr>
              <w:spacing w:before="40" w:after="40"/>
              <w:jc w:val="left"/>
              <w:rPr>
                <w:rFonts w:eastAsiaTheme="minorHAnsi" w:cs="Calibri"/>
                <w:sz w:val="20"/>
                <w:szCs w:val="20"/>
              </w:rPr>
            </w:pPr>
            <w:r>
              <w:rPr>
                <w:sz w:val="20"/>
                <w:szCs w:val="20"/>
              </w:rPr>
              <w:t>RISI and PFI Pellet Industry Survey</w:t>
            </w:r>
          </w:p>
        </w:tc>
        <w:tc>
          <w:tcPr>
            <w:tcW w:w="5130" w:type="dxa"/>
          </w:tcPr>
          <w:p w:rsidR="00116C8D" w:rsidRPr="00360F92" w:rsidRDefault="00A9344A" w:rsidP="00A9344A">
            <w:pPr>
              <w:spacing w:before="40" w:after="40"/>
              <w:jc w:val="left"/>
              <w:rPr>
                <w:rFonts w:eastAsiaTheme="minorHAnsi" w:cs="Calibri"/>
                <w:sz w:val="20"/>
                <w:szCs w:val="20"/>
              </w:rPr>
            </w:pPr>
            <w:r>
              <w:rPr>
                <w:sz w:val="20"/>
                <w:szCs w:val="20"/>
              </w:rPr>
              <w:t xml:space="preserve">Coverage of approximately 20% of the industry.  Last survey was for 2012.  Collected </w:t>
            </w:r>
            <w:r w:rsidR="00764258">
              <w:rPr>
                <w:sz w:val="20"/>
                <w:szCs w:val="20"/>
              </w:rPr>
              <w:t xml:space="preserve">data on </w:t>
            </w:r>
            <w:r>
              <w:rPr>
                <w:sz w:val="20"/>
                <w:szCs w:val="20"/>
              </w:rPr>
              <w:t>production, pricing, feedstock, and sales of pellet fuels.</w:t>
            </w:r>
          </w:p>
        </w:tc>
      </w:tr>
    </w:tbl>
    <w:p w:rsidR="00EC30E3" w:rsidRPr="00111BEC" w:rsidRDefault="00EC30E3" w:rsidP="00D4250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pPr>
    </w:p>
    <w:p w:rsidR="003806C8" w:rsidRPr="00264246" w:rsidRDefault="00716A41" w:rsidP="00264246">
      <w:pPr>
        <w:pStyle w:val="Heading2"/>
      </w:pPr>
      <w:bookmarkStart w:id="56" w:name="_Toc318697077"/>
      <w:bookmarkEnd w:id="55"/>
      <w:r w:rsidRPr="00264246">
        <w:t xml:space="preserve">  </w:t>
      </w:r>
      <w:bookmarkStart w:id="57" w:name="_Toc355777387"/>
      <w:bookmarkStart w:id="58" w:name="_Toc355777713"/>
      <w:bookmarkStart w:id="59" w:name="_Toc401669362"/>
      <w:bookmarkStart w:id="60" w:name="_Toc421114939"/>
      <w:r w:rsidR="003806C8" w:rsidRPr="00264246">
        <w:t>Provisions for Reducing Burden on Small Businesses</w:t>
      </w:r>
      <w:bookmarkEnd w:id="56"/>
      <w:bookmarkEnd w:id="57"/>
      <w:bookmarkEnd w:id="58"/>
      <w:bookmarkEnd w:id="59"/>
      <w:bookmarkEnd w:id="60"/>
    </w:p>
    <w:p w:rsidR="00F35F98" w:rsidRDefault="00BD42F1"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bookmarkStart w:id="61" w:name="_Toc524334494"/>
      <w:bookmarkStart w:id="62" w:name="_Toc524334576"/>
      <w:bookmarkStart w:id="63" w:name="_Toc524334724"/>
      <w:bookmarkStart w:id="64" w:name="_Toc524334917"/>
      <w:r>
        <w:t>T</w:t>
      </w:r>
      <w:r w:rsidR="00F35F98" w:rsidRPr="00F35F98">
        <w:t>hrough its Internet data collection system, EIA pre-populates</w:t>
      </w:r>
      <w:r w:rsidR="007D4A91">
        <w:t xml:space="preserve"> </w:t>
      </w:r>
      <w:r w:rsidR="00F35F98" w:rsidRPr="00F35F98">
        <w:t xml:space="preserve">data elements for items that do not frequently change.  This allows respondents (both large and small) to simply verify that the information has not changed, as opposed to </w:t>
      </w:r>
      <w:r>
        <w:t>entering</w:t>
      </w:r>
      <w:r w:rsidR="00F35F98" w:rsidRPr="00F35F98">
        <w:t xml:space="preserve"> the same information for each survey cycle.  </w:t>
      </w:r>
      <w:r w:rsidR="009B507B" w:rsidRPr="00F35F98">
        <w:t>In addition</w:t>
      </w:r>
      <w:r w:rsidR="00F35F98" w:rsidRPr="00F35F98">
        <w:t>, the Internet data collection system with its built-in edits has reduced the burden on businesses by reducing the call-backs to verify or correct questionable data.</w:t>
      </w:r>
    </w:p>
    <w:p w:rsidR="003806C8" w:rsidRPr="00264246" w:rsidRDefault="008318AC" w:rsidP="00264246">
      <w:pPr>
        <w:pStyle w:val="Heading2"/>
      </w:pPr>
      <w:bookmarkStart w:id="65" w:name="_Toc318697078"/>
      <w:r w:rsidRPr="00264246">
        <w:t xml:space="preserve"> </w:t>
      </w:r>
      <w:r w:rsidR="00A73314" w:rsidRPr="00264246">
        <w:t xml:space="preserve"> </w:t>
      </w:r>
      <w:bookmarkStart w:id="66" w:name="_Toc355777388"/>
      <w:bookmarkStart w:id="67" w:name="_Toc355777714"/>
      <w:bookmarkStart w:id="68" w:name="_Toc401669363"/>
      <w:bookmarkStart w:id="69" w:name="_Toc421114940"/>
      <w:r w:rsidR="003806C8" w:rsidRPr="00264246">
        <w:t>Consequences of Less-Frequent Reporting</w:t>
      </w:r>
      <w:bookmarkEnd w:id="61"/>
      <w:bookmarkEnd w:id="62"/>
      <w:bookmarkEnd w:id="63"/>
      <w:bookmarkEnd w:id="64"/>
      <w:bookmarkEnd w:id="65"/>
      <w:bookmarkEnd w:id="66"/>
      <w:bookmarkEnd w:id="67"/>
      <w:bookmarkEnd w:id="68"/>
      <w:bookmarkEnd w:id="69"/>
    </w:p>
    <w:p w:rsidR="00C9040D" w:rsidRDefault="00EC0FCE" w:rsidP="00DE2CC0">
      <w:pPr>
        <w:spacing w:before="100" w:beforeAutospacing="1"/>
        <w:rPr>
          <w:rFonts w:asciiTheme="minorHAnsi" w:hAnsiTheme="minorHAnsi" w:cstheme="minorHAnsi"/>
        </w:rPr>
      </w:pPr>
      <w:r w:rsidRPr="00DE2CC0">
        <w:t xml:space="preserve">The monthly </w:t>
      </w:r>
      <w:r w:rsidR="00D834CE">
        <w:t xml:space="preserve">data </w:t>
      </w:r>
      <w:r w:rsidR="007D4A91">
        <w:t xml:space="preserve">to be </w:t>
      </w:r>
      <w:r w:rsidRPr="00DE2CC0">
        <w:t xml:space="preserve">collected on the </w:t>
      </w:r>
      <w:r w:rsidR="008B058C">
        <w:t>D</w:t>
      </w:r>
      <w:r w:rsidR="00D834CE">
        <w:t xml:space="preserve">ensified </w:t>
      </w:r>
      <w:r w:rsidR="008B058C">
        <w:t>B</w:t>
      </w:r>
      <w:r w:rsidR="007D4A91">
        <w:t>iomass</w:t>
      </w:r>
      <w:r w:rsidR="00645DFC">
        <w:t xml:space="preserve"> </w:t>
      </w:r>
      <w:r w:rsidR="00D609CA">
        <w:t xml:space="preserve">Fuel Report </w:t>
      </w:r>
      <w:r w:rsidR="001D1974">
        <w:t>will be</w:t>
      </w:r>
      <w:r w:rsidR="0087598C" w:rsidRPr="00DE2CC0">
        <w:t xml:space="preserve"> </w:t>
      </w:r>
      <w:r w:rsidRPr="00DE2CC0">
        <w:t xml:space="preserve">used to provide </w:t>
      </w:r>
      <w:r w:rsidR="00F813BF" w:rsidRPr="00DE2CC0">
        <w:t>critical</w:t>
      </w:r>
      <w:r w:rsidR="00AB76BF" w:rsidRPr="00DE2CC0">
        <w:t xml:space="preserve"> </w:t>
      </w:r>
      <w:r w:rsidR="00D834CE">
        <w:t xml:space="preserve">densified </w:t>
      </w:r>
      <w:r w:rsidR="001D1974">
        <w:t>biomass</w:t>
      </w:r>
      <w:r w:rsidR="00D834CE">
        <w:t xml:space="preserve"> fuel</w:t>
      </w:r>
      <w:r w:rsidR="001D1974">
        <w:t xml:space="preserve"> energy </w:t>
      </w:r>
      <w:r w:rsidR="00AB76BF" w:rsidRPr="00DE2CC0">
        <w:t xml:space="preserve">industry </w:t>
      </w:r>
      <w:r w:rsidRPr="00DE2CC0">
        <w:t>statistics on</w:t>
      </w:r>
      <w:r w:rsidR="00D834CE">
        <w:t xml:space="preserve"> </w:t>
      </w:r>
      <w:r w:rsidR="001D1974">
        <w:t>consumption for heating and electric power generation in the residential, commercial, industrial</w:t>
      </w:r>
      <w:r w:rsidR="00320512">
        <w:t>,</w:t>
      </w:r>
      <w:r w:rsidR="001D1974">
        <w:t xml:space="preserve"> and electric power sectors</w:t>
      </w:r>
      <w:r w:rsidR="00C21042" w:rsidRPr="00DE2CC0">
        <w:t>;</w:t>
      </w:r>
      <w:r w:rsidR="006E4825" w:rsidRPr="00DE2CC0">
        <w:t xml:space="preserve"> </w:t>
      </w:r>
      <w:r w:rsidR="001D1974">
        <w:t xml:space="preserve">the production of various </w:t>
      </w:r>
      <w:r w:rsidR="00D834CE">
        <w:t>densified biomass</w:t>
      </w:r>
      <w:r w:rsidR="001D1974">
        <w:t xml:space="preserve"> </w:t>
      </w:r>
      <w:r w:rsidR="00D834CE">
        <w:t xml:space="preserve">fuel </w:t>
      </w:r>
      <w:r w:rsidR="001D1974">
        <w:t>types and their characteristics, market share</w:t>
      </w:r>
      <w:r w:rsidR="00DB6D14">
        <w:t>,</w:t>
      </w:r>
      <w:r w:rsidR="001D1974">
        <w:t xml:space="preserve"> and distribution; domestic and export market </w:t>
      </w:r>
      <w:r w:rsidRPr="00DE2CC0">
        <w:t>sales and revenues</w:t>
      </w:r>
      <w:r w:rsidR="00C21042" w:rsidRPr="00DE2CC0">
        <w:t>;</w:t>
      </w:r>
      <w:r w:rsidR="006E4825" w:rsidRPr="00DE2CC0">
        <w:t xml:space="preserve"> </w:t>
      </w:r>
      <w:r w:rsidR="001D1974">
        <w:t>and manufacturing capacity</w:t>
      </w:r>
      <w:r w:rsidR="00F813BF" w:rsidRPr="00DE2CC0">
        <w:rPr>
          <w:rFonts w:asciiTheme="minorHAnsi" w:hAnsiTheme="minorHAnsi" w:cstheme="minorHAnsi"/>
        </w:rPr>
        <w:t>.</w:t>
      </w:r>
    </w:p>
    <w:p w:rsidR="00F630A5" w:rsidRDefault="00F813BF" w:rsidP="00DE2CC0">
      <w:pPr>
        <w:spacing w:before="100" w:beforeAutospacing="1"/>
      </w:pPr>
      <w:r w:rsidRPr="00DE2CC0">
        <w:rPr>
          <w:rFonts w:asciiTheme="minorHAnsi" w:hAnsiTheme="minorHAnsi" w:cstheme="minorHAnsi"/>
        </w:rPr>
        <w:t xml:space="preserve">Because there is currently no </w:t>
      </w:r>
      <w:r w:rsidRPr="00DE2CC0">
        <w:rPr>
          <w:bCs/>
        </w:rPr>
        <w:t xml:space="preserve">central or comprehensive source for </w:t>
      </w:r>
      <w:r w:rsidR="00D834CE">
        <w:rPr>
          <w:bCs/>
        </w:rPr>
        <w:t xml:space="preserve">densified </w:t>
      </w:r>
      <w:r w:rsidR="001D1974">
        <w:rPr>
          <w:bCs/>
        </w:rPr>
        <w:t xml:space="preserve">biomass </w:t>
      </w:r>
      <w:r w:rsidR="00D834CE">
        <w:rPr>
          <w:bCs/>
        </w:rPr>
        <w:t xml:space="preserve">fuel </w:t>
      </w:r>
      <w:r w:rsidR="001D1974">
        <w:rPr>
          <w:bCs/>
        </w:rPr>
        <w:t xml:space="preserve">production and consumption </w:t>
      </w:r>
      <w:r w:rsidRPr="00DE2CC0">
        <w:rPr>
          <w:bCs/>
        </w:rPr>
        <w:t>statistics</w:t>
      </w:r>
      <w:r w:rsidR="001D1974">
        <w:rPr>
          <w:bCs/>
        </w:rPr>
        <w:t xml:space="preserve"> in the residential and commercial sectors or export market sector</w:t>
      </w:r>
      <w:r w:rsidRPr="00DE2CC0">
        <w:rPr>
          <w:bCs/>
        </w:rPr>
        <w:t xml:space="preserve">, EIA </w:t>
      </w:r>
      <w:r w:rsidR="009D3EB6">
        <w:rPr>
          <w:bCs/>
        </w:rPr>
        <w:t>is proposing the new Form EIA-63C</w:t>
      </w:r>
      <w:r w:rsidRPr="00DE2CC0">
        <w:rPr>
          <w:bCs/>
        </w:rPr>
        <w:t xml:space="preserve">.  The </w:t>
      </w:r>
      <w:r w:rsidR="001D1974">
        <w:rPr>
          <w:bCs/>
        </w:rPr>
        <w:t xml:space="preserve">data collection </w:t>
      </w:r>
      <w:r w:rsidRPr="00DE2CC0">
        <w:rPr>
          <w:bCs/>
        </w:rPr>
        <w:t xml:space="preserve">will provide a basic measure of the status </w:t>
      </w:r>
      <w:r w:rsidR="001D1974">
        <w:rPr>
          <w:bCs/>
        </w:rPr>
        <w:t xml:space="preserve">and magnitude of densified biomass </w:t>
      </w:r>
      <w:r w:rsidR="00D834CE">
        <w:rPr>
          <w:bCs/>
        </w:rPr>
        <w:t xml:space="preserve">fuel </w:t>
      </w:r>
      <w:r w:rsidR="001D1974">
        <w:rPr>
          <w:bCs/>
        </w:rPr>
        <w:t>manufacture and consumption to monitor this growing energy sector and provide</w:t>
      </w:r>
      <w:r w:rsidR="00EC0FCE" w:rsidRPr="00DE2CC0">
        <w:t xml:space="preserve"> reports on the </w:t>
      </w:r>
      <w:r w:rsidR="00D834CE">
        <w:t>densified biomass fuel</w:t>
      </w:r>
      <w:r w:rsidR="00EC0FCE" w:rsidRPr="00DE2CC0">
        <w:t xml:space="preserve"> industry </w:t>
      </w:r>
      <w:r w:rsidR="001D1974">
        <w:t xml:space="preserve">to </w:t>
      </w:r>
      <w:r w:rsidR="00EC0FCE" w:rsidRPr="00DE2CC0">
        <w:t xml:space="preserve">the </w:t>
      </w:r>
      <w:r w:rsidR="00CC5F0B" w:rsidRPr="00DE2CC0">
        <w:t xml:space="preserve">U.S. </w:t>
      </w:r>
      <w:r w:rsidR="00EC0FCE" w:rsidRPr="00DE2CC0">
        <w:t>Congress</w:t>
      </w:r>
      <w:r w:rsidR="00BD42F1">
        <w:t>, federal and state agencies,</w:t>
      </w:r>
      <w:r w:rsidR="0009773C" w:rsidRPr="00DE2CC0">
        <w:t xml:space="preserve"> and </w:t>
      </w:r>
      <w:r w:rsidR="003A1C8D" w:rsidRPr="00DE2CC0">
        <w:t xml:space="preserve">the </w:t>
      </w:r>
      <w:r w:rsidR="0009773C" w:rsidRPr="00DE2CC0">
        <w:t xml:space="preserve">public on an industry </w:t>
      </w:r>
      <w:r w:rsidR="006E4825" w:rsidRPr="00DE2CC0">
        <w:t xml:space="preserve">that is </w:t>
      </w:r>
      <w:r w:rsidR="001D1974">
        <w:t xml:space="preserve">a growing part of the </w:t>
      </w:r>
      <w:r w:rsidR="0009773C" w:rsidRPr="00DE2CC0">
        <w:t xml:space="preserve">economy.  </w:t>
      </w:r>
      <w:r w:rsidR="00CC5F0B" w:rsidRPr="00DE2CC0">
        <w:t>In addition</w:t>
      </w:r>
      <w:r w:rsidR="001D1974">
        <w:t>, this collection will provide a service to s</w:t>
      </w:r>
      <w:r w:rsidR="001D1974" w:rsidRPr="0087598C">
        <w:t xml:space="preserve">tate governments </w:t>
      </w:r>
      <w:r w:rsidR="001D1974">
        <w:t xml:space="preserve">and alleviate the need to </w:t>
      </w:r>
      <w:r w:rsidR="00EC0FCE" w:rsidRPr="00DE2CC0">
        <w:t>place a large</w:t>
      </w:r>
      <w:r w:rsidR="00CC5F0B" w:rsidRPr="00DE2CC0">
        <w:t>r</w:t>
      </w:r>
      <w:r w:rsidR="00EC0FCE" w:rsidRPr="0087598C">
        <w:t xml:space="preserve"> burden on </w:t>
      </w:r>
      <w:r w:rsidR="003A1C8D">
        <w:t>s</w:t>
      </w:r>
      <w:r w:rsidR="00EC0FCE" w:rsidRPr="0087598C">
        <w:t xml:space="preserve">tate governments to collect and process </w:t>
      </w:r>
      <w:r w:rsidR="001D1974">
        <w:t xml:space="preserve">similar </w:t>
      </w:r>
      <w:r w:rsidR="00EC0FCE" w:rsidRPr="0087598C">
        <w:t>data</w:t>
      </w:r>
      <w:r w:rsidR="007F23B7">
        <w:t xml:space="preserve"> and</w:t>
      </w:r>
      <w:r w:rsidR="00EC0FCE" w:rsidRPr="0087598C">
        <w:t xml:space="preserve"> on the industry to provide its information to more than one data collection agency.</w:t>
      </w:r>
      <w:bookmarkStart w:id="70" w:name="_Toc318697079"/>
    </w:p>
    <w:p w:rsidR="003806C8" w:rsidRPr="00264246" w:rsidRDefault="00A73314" w:rsidP="00264246">
      <w:pPr>
        <w:pStyle w:val="Heading2"/>
      </w:pPr>
      <w:r w:rsidRPr="00264246">
        <w:t xml:space="preserve">  </w:t>
      </w:r>
      <w:bookmarkStart w:id="71" w:name="_Toc355777389"/>
      <w:bookmarkStart w:id="72" w:name="_Toc355777715"/>
      <w:bookmarkStart w:id="73" w:name="_Toc401669364"/>
      <w:bookmarkStart w:id="74" w:name="_Toc421114941"/>
      <w:r w:rsidR="003806C8" w:rsidRPr="00264246">
        <w:t>Compliance with 5 CFR 1320.5</w:t>
      </w:r>
      <w:bookmarkEnd w:id="70"/>
      <w:bookmarkEnd w:id="71"/>
      <w:bookmarkEnd w:id="72"/>
      <w:bookmarkEnd w:id="73"/>
      <w:bookmarkEnd w:id="74"/>
    </w:p>
    <w:p w:rsidR="003C555D" w:rsidRDefault="003806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 xml:space="preserve">The data </w:t>
      </w:r>
      <w:r w:rsidR="006E4825">
        <w:t xml:space="preserve">for the collection instruments in this proposal </w:t>
      </w:r>
      <w:r w:rsidRPr="000D6A2A">
        <w:t>are being collected consistent with the guidelines in 5 C.F.R. 1320.5</w:t>
      </w:r>
      <w:r w:rsidR="007F23B7">
        <w:t xml:space="preserve"> (</w:t>
      </w:r>
      <w:r w:rsidR="007F23B7" w:rsidRPr="000906EB">
        <w:t>Controlling Paperwork Burdens On the Public – General Requirements</w:t>
      </w:r>
      <w:r w:rsidR="007F23B7">
        <w:t>)</w:t>
      </w:r>
      <w:r w:rsidR="000C26A4">
        <w:t>.</w:t>
      </w:r>
      <w:r w:rsidR="00E734FA">
        <w:t xml:space="preserve"> </w:t>
      </w:r>
    </w:p>
    <w:p w:rsidR="003806C8" w:rsidRPr="00264246" w:rsidRDefault="00A73314" w:rsidP="00A47BAA">
      <w:pPr>
        <w:pStyle w:val="Heading2"/>
        <w:spacing w:after="120"/>
      </w:pPr>
      <w:bookmarkStart w:id="75" w:name="_Toc524334496"/>
      <w:bookmarkStart w:id="76" w:name="_Toc524334578"/>
      <w:bookmarkStart w:id="77" w:name="_Toc524334726"/>
      <w:bookmarkStart w:id="78" w:name="_Toc524334919"/>
      <w:bookmarkStart w:id="79" w:name="_Toc318697080"/>
      <w:r w:rsidRPr="00264246">
        <w:t xml:space="preserve">  </w:t>
      </w:r>
      <w:bookmarkStart w:id="80" w:name="_Toc355777390"/>
      <w:bookmarkStart w:id="81" w:name="_Toc355777716"/>
      <w:bookmarkStart w:id="82" w:name="_Toc401669365"/>
      <w:bookmarkStart w:id="83" w:name="_Toc421114942"/>
      <w:r w:rsidR="003806C8" w:rsidRPr="00264246">
        <w:t xml:space="preserve">Summary of Consultations </w:t>
      </w:r>
      <w:r w:rsidR="00BC686C" w:rsidRPr="00264246">
        <w:t>O</w:t>
      </w:r>
      <w:r w:rsidR="003806C8" w:rsidRPr="00264246">
        <w:t xml:space="preserve">utside </w:t>
      </w:r>
      <w:r w:rsidR="00BC686C" w:rsidRPr="00264246">
        <w:t xml:space="preserve">of </w:t>
      </w:r>
      <w:r w:rsidR="003806C8" w:rsidRPr="00264246">
        <w:t>the Agency</w:t>
      </w:r>
      <w:bookmarkEnd w:id="75"/>
      <w:bookmarkEnd w:id="76"/>
      <w:bookmarkEnd w:id="77"/>
      <w:bookmarkEnd w:id="78"/>
      <w:bookmarkEnd w:id="79"/>
      <w:bookmarkEnd w:id="80"/>
      <w:bookmarkEnd w:id="81"/>
      <w:bookmarkEnd w:id="82"/>
      <w:bookmarkEnd w:id="83"/>
    </w:p>
    <w:p w:rsidR="00C56846" w:rsidRPr="00C56846" w:rsidRDefault="00C56846" w:rsidP="00A47BAA">
      <w:pPr>
        <w:tabs>
          <w:tab w:val="clear" w:pos="360"/>
        </w:tabs>
        <w:spacing w:before="0" w:after="200" w:afterAutospacing="0" w:line="276" w:lineRule="auto"/>
      </w:pPr>
      <w:r w:rsidRPr="00C56846">
        <w:t xml:space="preserve">Prior to the first Federal Register Notice (FRN) published on </w:t>
      </w:r>
      <w:r w:rsidR="00A1046E">
        <w:t>December 31</w:t>
      </w:r>
      <w:r w:rsidRPr="000E6621">
        <w:t>,</w:t>
      </w:r>
      <w:r w:rsidR="00A10F9B" w:rsidRPr="000E6621">
        <w:t xml:space="preserve"> 2014</w:t>
      </w:r>
      <w:r w:rsidR="00A10F9B">
        <w:t>,</w:t>
      </w:r>
      <w:r w:rsidRPr="00C56846">
        <w:t xml:space="preserve"> EIA consulted with stakeholder</w:t>
      </w:r>
      <w:r w:rsidR="00D834CE">
        <w:t xml:space="preserve">s in the densified biomass fuel industry (trade associations, state energy and environmental </w:t>
      </w:r>
      <w:r w:rsidR="00D834CE">
        <w:lastRenderedPageBreak/>
        <w:t>offices, federal agencies, academics, national laboratories</w:t>
      </w:r>
      <w:r w:rsidR="008B7860">
        <w:t>,</w:t>
      </w:r>
      <w:r w:rsidR="00D834CE">
        <w:t xml:space="preserve"> and other interested</w:t>
      </w:r>
      <w:r w:rsidR="002D1498">
        <w:t xml:space="preserve"> organizations</w:t>
      </w:r>
      <w:r w:rsidR="008B640A">
        <w:t>)</w:t>
      </w:r>
      <w:r w:rsidRPr="00C56846">
        <w:t xml:space="preserve"> regarding the </w:t>
      </w:r>
      <w:r w:rsidR="00A10F9B">
        <w:t>proposed data collection</w:t>
      </w:r>
      <w:r w:rsidRPr="00C56846">
        <w:t xml:space="preserve">.  </w:t>
      </w:r>
    </w:p>
    <w:p w:rsidR="000C542C" w:rsidRDefault="000C542C" w:rsidP="00A47BAA">
      <w:pPr>
        <w:tabs>
          <w:tab w:val="clear" w:pos="360"/>
        </w:tabs>
        <w:spacing w:before="0" w:after="200" w:afterAutospacing="0" w:line="276" w:lineRule="auto"/>
        <w:rPr>
          <w:rFonts w:asciiTheme="minorHAnsi" w:hAnsiTheme="minorHAnsi"/>
        </w:rPr>
      </w:pPr>
      <w:r>
        <w:rPr>
          <w:rFonts w:asciiTheme="minorHAnsi" w:hAnsiTheme="minorHAnsi"/>
        </w:rPr>
        <w:t xml:space="preserve">The consultations for this proposed survey took place in the summer of 2014.  EIA established a schedule of topic-oriented meetings that interested parties could attend either in person or through Internet conferencing.  Information on these meetings and associated background materials were announced via email.  </w:t>
      </w:r>
      <w:r w:rsidRPr="00E217CD">
        <w:rPr>
          <w:rFonts w:asciiTheme="minorHAnsi" w:hAnsiTheme="minorHAnsi"/>
        </w:rPr>
        <w:t xml:space="preserve">In </w:t>
      </w:r>
      <w:r>
        <w:rPr>
          <w:rFonts w:asciiTheme="minorHAnsi" w:hAnsiTheme="minorHAnsi"/>
        </w:rPr>
        <w:t>August 2014</w:t>
      </w:r>
      <w:r w:rsidRPr="00E217CD">
        <w:rPr>
          <w:rFonts w:asciiTheme="minorHAnsi" w:hAnsiTheme="minorHAnsi"/>
        </w:rPr>
        <w:t xml:space="preserve">, </w:t>
      </w:r>
      <w:r>
        <w:rPr>
          <w:rFonts w:asciiTheme="minorHAnsi" w:hAnsiTheme="minorHAnsi"/>
        </w:rPr>
        <w:t xml:space="preserve">telephone contacts and </w:t>
      </w:r>
      <w:r w:rsidRPr="00E217CD">
        <w:rPr>
          <w:rFonts w:asciiTheme="minorHAnsi" w:hAnsiTheme="minorHAnsi"/>
        </w:rPr>
        <w:t>email</w:t>
      </w:r>
      <w:r>
        <w:rPr>
          <w:rFonts w:asciiTheme="minorHAnsi" w:hAnsiTheme="minorHAnsi"/>
        </w:rPr>
        <w:t>s</w:t>
      </w:r>
      <w:r w:rsidRPr="00E217CD">
        <w:rPr>
          <w:rFonts w:asciiTheme="minorHAnsi" w:hAnsiTheme="minorHAnsi"/>
        </w:rPr>
        <w:t xml:space="preserve"> </w:t>
      </w:r>
      <w:r>
        <w:rPr>
          <w:rFonts w:asciiTheme="minorHAnsi" w:hAnsiTheme="minorHAnsi"/>
        </w:rPr>
        <w:t xml:space="preserve">about the meetings </w:t>
      </w:r>
      <w:r w:rsidRPr="00E217CD">
        <w:rPr>
          <w:rFonts w:asciiTheme="minorHAnsi" w:hAnsiTheme="minorHAnsi"/>
        </w:rPr>
        <w:t>w</w:t>
      </w:r>
      <w:r>
        <w:rPr>
          <w:rFonts w:asciiTheme="minorHAnsi" w:hAnsiTheme="minorHAnsi"/>
        </w:rPr>
        <w:t>ere</w:t>
      </w:r>
      <w:r w:rsidRPr="00E217CD">
        <w:rPr>
          <w:rFonts w:asciiTheme="minorHAnsi" w:hAnsiTheme="minorHAnsi"/>
        </w:rPr>
        <w:t xml:space="preserve"> sent to </w:t>
      </w:r>
      <w:r w:rsidR="008B640A">
        <w:rPr>
          <w:rFonts w:asciiTheme="minorHAnsi" w:hAnsiTheme="minorHAnsi"/>
        </w:rPr>
        <w:t>approximately 75 industry</w:t>
      </w:r>
      <w:r w:rsidRPr="00BD42F1">
        <w:rPr>
          <w:rFonts w:asciiTheme="minorHAnsi" w:hAnsiTheme="minorHAnsi"/>
        </w:rPr>
        <w:t xml:space="preserve"> stakeholders including, for example, academics and trade associations.  The emails</w:t>
      </w:r>
      <w:r>
        <w:rPr>
          <w:rFonts w:asciiTheme="minorHAnsi" w:hAnsiTheme="minorHAnsi"/>
        </w:rPr>
        <w:t xml:space="preserve"> provided links to the schedules and background materials.  </w:t>
      </w:r>
    </w:p>
    <w:p w:rsidR="000C542C" w:rsidRDefault="000C542C" w:rsidP="00A47BAA">
      <w:pPr>
        <w:tabs>
          <w:tab w:val="clear" w:pos="360"/>
        </w:tabs>
        <w:spacing w:before="0" w:after="200" w:afterAutospacing="0" w:line="276" w:lineRule="auto"/>
        <w:rPr>
          <w:rFonts w:asciiTheme="minorHAnsi" w:hAnsiTheme="minorHAnsi"/>
        </w:rPr>
      </w:pPr>
      <w:r>
        <w:rPr>
          <w:rFonts w:asciiTheme="minorHAnsi" w:hAnsiTheme="minorHAnsi"/>
        </w:rPr>
        <w:t xml:space="preserve">A series of meetings were held on August 21 and 27 for interested parties. </w:t>
      </w:r>
    </w:p>
    <w:p w:rsidR="000C542C" w:rsidRDefault="000C542C" w:rsidP="00A47BAA">
      <w:pPr>
        <w:tabs>
          <w:tab w:val="clear" w:pos="360"/>
        </w:tabs>
        <w:spacing w:before="0" w:after="200" w:afterAutospacing="0" w:line="276" w:lineRule="auto"/>
        <w:rPr>
          <w:rFonts w:asciiTheme="minorHAnsi" w:hAnsiTheme="minorHAnsi"/>
        </w:rPr>
      </w:pPr>
      <w:r>
        <w:rPr>
          <w:rFonts w:asciiTheme="minorHAnsi" w:hAnsiTheme="minorHAnsi"/>
        </w:rPr>
        <w:t>Representatives from t</w:t>
      </w:r>
      <w:r w:rsidRPr="00E217CD">
        <w:rPr>
          <w:rFonts w:asciiTheme="minorHAnsi" w:hAnsiTheme="minorHAnsi"/>
        </w:rPr>
        <w:t xml:space="preserve">he </w:t>
      </w:r>
      <w:r>
        <w:rPr>
          <w:rFonts w:asciiTheme="minorHAnsi" w:hAnsiTheme="minorHAnsi"/>
        </w:rPr>
        <w:t xml:space="preserve">organizations listed in Table </w:t>
      </w:r>
      <w:r w:rsidR="00D609CA">
        <w:rPr>
          <w:rFonts w:asciiTheme="minorHAnsi" w:hAnsiTheme="minorHAnsi"/>
        </w:rPr>
        <w:t xml:space="preserve">2 </w:t>
      </w:r>
      <w:r w:rsidRPr="00E217CD">
        <w:rPr>
          <w:rFonts w:asciiTheme="minorHAnsi" w:hAnsiTheme="minorHAnsi"/>
        </w:rPr>
        <w:t>attended one or more meetings in person or via web</w:t>
      </w:r>
      <w:r>
        <w:rPr>
          <w:rFonts w:asciiTheme="minorHAnsi" w:hAnsiTheme="minorHAnsi"/>
        </w:rPr>
        <w:t xml:space="preserve"> conferencing.</w:t>
      </w:r>
    </w:p>
    <w:p w:rsidR="000C542C" w:rsidRDefault="000C542C" w:rsidP="00A47BAA">
      <w:pPr>
        <w:tabs>
          <w:tab w:val="clear" w:pos="360"/>
        </w:tabs>
        <w:spacing w:before="0" w:after="200" w:afterAutospacing="0" w:line="276" w:lineRule="auto"/>
      </w:pPr>
    </w:p>
    <w:p w:rsidR="00BD42F1" w:rsidRDefault="002D1498" w:rsidP="00A47BAA">
      <w:pPr>
        <w:tabs>
          <w:tab w:val="clear" w:pos="360"/>
        </w:tabs>
        <w:spacing w:before="0" w:after="0" w:afterAutospacing="0" w:line="276" w:lineRule="auto"/>
        <w:ind w:left="1800" w:firstLine="360"/>
        <w:rPr>
          <w:b/>
        </w:rPr>
      </w:pPr>
      <w:r w:rsidRPr="002D1498">
        <w:rPr>
          <w:b/>
        </w:rPr>
        <w:t xml:space="preserve">Table </w:t>
      </w:r>
      <w:r w:rsidR="0023529D">
        <w:rPr>
          <w:b/>
        </w:rPr>
        <w:t>2</w:t>
      </w:r>
      <w:r w:rsidRPr="002D1498">
        <w:rPr>
          <w:b/>
        </w:rPr>
        <w:t>.  Consultations Regarding Collection</w:t>
      </w:r>
    </w:p>
    <w:p w:rsidR="002D1498" w:rsidRDefault="002D1498" w:rsidP="00A47BAA">
      <w:pPr>
        <w:tabs>
          <w:tab w:val="clear" w:pos="360"/>
        </w:tabs>
        <w:spacing w:before="0" w:after="120" w:afterAutospacing="0" w:line="276" w:lineRule="auto"/>
        <w:ind w:left="1800" w:firstLine="360"/>
        <w:rPr>
          <w:b/>
        </w:rPr>
      </w:pPr>
      <w:r w:rsidRPr="002D1498">
        <w:rPr>
          <w:b/>
        </w:rPr>
        <w:t xml:space="preserve">of </w:t>
      </w:r>
      <w:r w:rsidR="000C542C">
        <w:rPr>
          <w:b/>
        </w:rPr>
        <w:t>Densified Biomass Fuel</w:t>
      </w:r>
      <w:r w:rsidRPr="002D1498">
        <w:rPr>
          <w:b/>
        </w:rPr>
        <w:t xml:space="preserve"> Data</w:t>
      </w:r>
    </w:p>
    <w:tbl>
      <w:tblPr>
        <w:tblStyle w:val="TableGrid1"/>
        <w:tblW w:w="0" w:type="auto"/>
        <w:jc w:val="center"/>
        <w:tblInd w:w="-2210" w:type="dxa"/>
        <w:tblLook w:val="04A0" w:firstRow="1" w:lastRow="0" w:firstColumn="1" w:lastColumn="0" w:noHBand="0" w:noVBand="1"/>
      </w:tblPr>
      <w:tblGrid>
        <w:gridCol w:w="6794"/>
      </w:tblGrid>
      <w:tr w:rsidR="00845D96" w:rsidRPr="00C56846" w:rsidTr="00845D96">
        <w:trPr>
          <w:jc w:val="center"/>
        </w:trPr>
        <w:tc>
          <w:tcPr>
            <w:tcW w:w="6794" w:type="dxa"/>
            <w:shd w:val="clear" w:color="auto" w:fill="DDD9C3" w:themeFill="background2" w:themeFillShade="E6"/>
          </w:tcPr>
          <w:p w:rsidR="00845D96" w:rsidRPr="002D1498" w:rsidRDefault="00845D96" w:rsidP="00A47BAA">
            <w:pPr>
              <w:tabs>
                <w:tab w:val="clear" w:pos="360"/>
              </w:tabs>
              <w:spacing w:before="0" w:after="0" w:afterAutospacing="0"/>
              <w:rPr>
                <w:sz w:val="20"/>
                <w:szCs w:val="20"/>
              </w:rPr>
            </w:pPr>
            <w:r w:rsidRPr="002D1498">
              <w:rPr>
                <w:sz w:val="20"/>
                <w:szCs w:val="20"/>
              </w:rPr>
              <w:t>Organization</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Biomass Thermal Energy Council</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Orion Associates</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New York Biomass Alliance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Nebraska Energy Office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Massachusetts Department of Energy Resources</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Pellet Fuels Institute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Wisconsin Department of Administration/State Energy Office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Trae Fuels</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PRG Covington Mill</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Idaho National Lab (NREL)</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Indiana Office of Energy Development</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University of Maine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Resources for the Future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Rentech, Inc.</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American Forest and Paper Association</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U.S. Forest Service</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Enviva</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Pacific Coast Fiber Fuels/Olympus Pellets</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Maryland Energy Association</w:t>
            </w:r>
          </w:p>
        </w:tc>
      </w:tr>
      <w:tr w:rsidR="00845D96" w:rsidRPr="00C56846" w:rsidTr="00845D96">
        <w:trPr>
          <w:jc w:val="center"/>
        </w:trPr>
        <w:tc>
          <w:tcPr>
            <w:tcW w:w="6794" w:type="dxa"/>
            <w:vAlign w:val="center"/>
          </w:tcPr>
          <w:p w:rsidR="00845D96" w:rsidRPr="002D1498" w:rsidRDefault="00845D96" w:rsidP="00A47BAA">
            <w:pPr>
              <w:tabs>
                <w:tab w:val="clear" w:pos="360"/>
              </w:tabs>
              <w:spacing w:before="0" w:after="0" w:afterAutospacing="0"/>
              <w:rPr>
                <w:sz w:val="20"/>
                <w:szCs w:val="20"/>
              </w:rPr>
            </w:pPr>
            <w:r>
              <w:rPr>
                <w:sz w:val="20"/>
                <w:szCs w:val="20"/>
              </w:rPr>
              <w:t>Oak Ridge National Laboratory</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Alliance for Green Heat</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Wisconsin State Energy Office</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Mississippi Development Authority/Energy &amp; Natural Resources Division</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New Hampshire Office of Energy and Planning, State Energy Program</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Vermont Public Service Department/ Clean Energy Development Fund</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Maine Governor’s Energy Office</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Lignetics</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Hammerschlag &amp; Co.  LLC</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lastRenderedPageBreak/>
              <w:t>RISI</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Northern Forest Center</w:t>
            </w:r>
          </w:p>
        </w:tc>
      </w:tr>
      <w:tr w:rsidR="00845D96" w:rsidRPr="00C56846" w:rsidTr="00845D96">
        <w:trPr>
          <w:jc w:val="center"/>
        </w:trPr>
        <w:tc>
          <w:tcPr>
            <w:tcW w:w="6794" w:type="dxa"/>
            <w:vAlign w:val="center"/>
          </w:tcPr>
          <w:p w:rsidR="00845D96" w:rsidRDefault="00845D96" w:rsidP="00A47BAA">
            <w:pPr>
              <w:tabs>
                <w:tab w:val="clear" w:pos="360"/>
              </w:tabs>
              <w:spacing w:before="0" w:after="0" w:afterAutospacing="0"/>
              <w:rPr>
                <w:sz w:val="20"/>
                <w:szCs w:val="20"/>
              </w:rPr>
            </w:pPr>
            <w:r>
              <w:rPr>
                <w:sz w:val="20"/>
                <w:szCs w:val="20"/>
              </w:rPr>
              <w:t>Hamer Pellet Fuel</w:t>
            </w:r>
          </w:p>
        </w:tc>
      </w:tr>
    </w:tbl>
    <w:p w:rsidR="00C56846" w:rsidRPr="00C56846" w:rsidRDefault="00C56846" w:rsidP="00A47BAA">
      <w:pPr>
        <w:tabs>
          <w:tab w:val="clear" w:pos="360"/>
        </w:tabs>
        <w:spacing w:before="0" w:after="200" w:afterAutospacing="0" w:line="276" w:lineRule="auto"/>
        <w:rPr>
          <w:rFonts w:asciiTheme="minorHAnsi" w:hAnsiTheme="minorHAnsi"/>
        </w:rPr>
      </w:pPr>
    </w:p>
    <w:p w:rsidR="001C5ECE" w:rsidRDefault="001C5ECE" w:rsidP="00A47BAA">
      <w:pPr>
        <w:tabs>
          <w:tab w:val="clear" w:pos="360"/>
        </w:tabs>
        <w:spacing w:before="0" w:after="200" w:afterAutospacing="0" w:line="276" w:lineRule="auto"/>
        <w:rPr>
          <w:rFonts w:asciiTheme="minorHAnsi" w:hAnsiTheme="minorHAnsi"/>
        </w:rPr>
      </w:pPr>
    </w:p>
    <w:p w:rsidR="00C56846" w:rsidRDefault="00E217CD" w:rsidP="00A47BAA">
      <w:pPr>
        <w:tabs>
          <w:tab w:val="clear" w:pos="360"/>
        </w:tabs>
        <w:spacing w:before="0" w:after="200" w:afterAutospacing="0" w:line="276" w:lineRule="auto"/>
        <w:rPr>
          <w:rFonts w:asciiTheme="minorHAnsi" w:hAnsiTheme="minorHAnsi"/>
        </w:rPr>
      </w:pPr>
      <w:r w:rsidRPr="00E217CD">
        <w:rPr>
          <w:rFonts w:asciiTheme="minorHAnsi" w:hAnsiTheme="minorHAnsi"/>
        </w:rPr>
        <w:t xml:space="preserve">After each meeting, attendees were urged to </w:t>
      </w:r>
      <w:r w:rsidR="008F704D">
        <w:rPr>
          <w:rFonts w:asciiTheme="minorHAnsi" w:hAnsiTheme="minorHAnsi"/>
        </w:rPr>
        <w:t>contact</w:t>
      </w:r>
      <w:r w:rsidRPr="00E217CD">
        <w:rPr>
          <w:rFonts w:asciiTheme="minorHAnsi" w:hAnsiTheme="minorHAnsi"/>
        </w:rPr>
        <w:t xml:space="preserve"> EIA if they had questions or comments.  </w:t>
      </w:r>
    </w:p>
    <w:p w:rsidR="009D67A4" w:rsidRPr="00C56846" w:rsidRDefault="00353CE4" w:rsidP="00A47BAA">
      <w:pPr>
        <w:tabs>
          <w:tab w:val="clear" w:pos="360"/>
        </w:tabs>
        <w:spacing w:before="0" w:after="200" w:afterAutospacing="0" w:line="276" w:lineRule="auto"/>
        <w:rPr>
          <w:rFonts w:asciiTheme="minorHAnsi" w:hAnsiTheme="minorHAnsi"/>
        </w:rPr>
      </w:pPr>
      <w:r w:rsidRPr="00353CE4">
        <w:rPr>
          <w:rFonts w:asciiTheme="minorHAnsi" w:hAnsiTheme="minorHAnsi"/>
        </w:rPr>
        <w:t>On December 31,</w:t>
      </w:r>
      <w:r w:rsidR="00A42822">
        <w:rPr>
          <w:rFonts w:asciiTheme="minorHAnsi" w:hAnsiTheme="minorHAnsi"/>
        </w:rPr>
        <w:t xml:space="preserve"> </w:t>
      </w:r>
      <w:r w:rsidRPr="00353CE4">
        <w:rPr>
          <w:rFonts w:asciiTheme="minorHAnsi" w:hAnsiTheme="minorHAnsi"/>
        </w:rPr>
        <w:t xml:space="preserve">2014, a request for comments from interested persons was solicited in an open Federal Register Notice (Federal Register/Vol. 79, No. 250) on the creation of the  Form EIA-63C.  Comments were received from 16 entities and individuals.  The comments and EIA’s responses are summarized in Appendix A-1.  </w:t>
      </w:r>
    </w:p>
    <w:p w:rsidR="003806C8" w:rsidRPr="00264246" w:rsidRDefault="00A73314" w:rsidP="00882D54">
      <w:pPr>
        <w:pStyle w:val="Heading2"/>
        <w:spacing w:after="240"/>
      </w:pPr>
      <w:bookmarkStart w:id="84" w:name="_Toc524334497"/>
      <w:bookmarkStart w:id="85" w:name="_Toc524334579"/>
      <w:bookmarkStart w:id="86" w:name="_Toc524334727"/>
      <w:bookmarkStart w:id="87" w:name="_Toc524334920"/>
      <w:bookmarkStart w:id="88" w:name="_Toc318697081"/>
      <w:r w:rsidRPr="00264246">
        <w:t xml:space="preserve">  </w:t>
      </w:r>
      <w:bookmarkStart w:id="89" w:name="_Toc355777391"/>
      <w:bookmarkStart w:id="90" w:name="_Toc355777717"/>
      <w:bookmarkStart w:id="91" w:name="_Toc401669366"/>
      <w:bookmarkStart w:id="92" w:name="_Toc421114943"/>
      <w:r w:rsidR="003806C8" w:rsidRPr="00264246">
        <w:t>Payments or Gifts to Respondents</w:t>
      </w:r>
      <w:bookmarkEnd w:id="84"/>
      <w:bookmarkEnd w:id="85"/>
      <w:bookmarkEnd w:id="86"/>
      <w:bookmarkEnd w:id="87"/>
      <w:bookmarkEnd w:id="88"/>
      <w:bookmarkEnd w:id="89"/>
      <w:bookmarkEnd w:id="90"/>
      <w:bookmarkEnd w:id="91"/>
      <w:bookmarkEnd w:id="92"/>
    </w:p>
    <w:p w:rsidR="00E14523" w:rsidRPr="00882D54" w:rsidRDefault="00655690" w:rsidP="00FC6583">
      <w:pPr>
        <w:pStyle w:val="Default"/>
        <w:jc w:val="both"/>
        <w:rPr>
          <w:rFonts w:asciiTheme="minorHAnsi" w:hAnsiTheme="minorHAnsi"/>
          <w:sz w:val="22"/>
          <w:szCs w:val="22"/>
        </w:rPr>
      </w:pPr>
      <w:bookmarkStart w:id="93" w:name="_Toc524334498"/>
      <w:bookmarkStart w:id="94" w:name="_Toc524334580"/>
      <w:bookmarkStart w:id="95" w:name="_Toc524334728"/>
      <w:bookmarkStart w:id="96" w:name="_Toc524334921"/>
      <w:bookmarkStart w:id="97" w:name="_Toc318697082"/>
      <w:r w:rsidRPr="00882D54">
        <w:rPr>
          <w:rFonts w:asciiTheme="minorHAnsi" w:hAnsiTheme="minorHAnsi"/>
          <w:sz w:val="22"/>
          <w:szCs w:val="22"/>
        </w:rPr>
        <w:t xml:space="preserve">Respondents to this proposed information collection will not receive any payments or gifts from EIA </w:t>
      </w:r>
      <w:r w:rsidR="008B7860" w:rsidRPr="00882D54">
        <w:rPr>
          <w:rFonts w:asciiTheme="minorHAnsi" w:hAnsiTheme="minorHAnsi"/>
          <w:sz w:val="22"/>
          <w:szCs w:val="22"/>
        </w:rPr>
        <w:t xml:space="preserve">for their mandatory </w:t>
      </w:r>
      <w:r w:rsidRPr="00882D54">
        <w:rPr>
          <w:rFonts w:asciiTheme="minorHAnsi" w:hAnsiTheme="minorHAnsi"/>
          <w:sz w:val="22"/>
          <w:szCs w:val="22"/>
        </w:rPr>
        <w:t>participat</w:t>
      </w:r>
      <w:r w:rsidR="008B7860" w:rsidRPr="00882D54">
        <w:rPr>
          <w:rFonts w:asciiTheme="minorHAnsi" w:hAnsiTheme="minorHAnsi"/>
          <w:sz w:val="22"/>
          <w:szCs w:val="22"/>
        </w:rPr>
        <w:t>ion</w:t>
      </w:r>
      <w:r w:rsidRPr="00882D54">
        <w:rPr>
          <w:rFonts w:asciiTheme="minorHAnsi" w:hAnsiTheme="minorHAnsi"/>
          <w:sz w:val="22"/>
          <w:szCs w:val="22"/>
        </w:rPr>
        <w:t>.</w:t>
      </w:r>
      <w:bookmarkStart w:id="98" w:name="_Toc355777392"/>
      <w:bookmarkStart w:id="99" w:name="_Toc355777718"/>
      <w:bookmarkStart w:id="100" w:name="_Toc401669367"/>
    </w:p>
    <w:p w:rsidR="00E14523" w:rsidRDefault="00E14523" w:rsidP="00FC6583">
      <w:pPr>
        <w:pStyle w:val="Default"/>
        <w:jc w:val="both"/>
        <w:rPr>
          <w:rFonts w:asciiTheme="minorHAnsi" w:hAnsiTheme="minorHAnsi"/>
        </w:rPr>
      </w:pPr>
    </w:p>
    <w:p w:rsidR="000E6621" w:rsidRPr="00882D54" w:rsidRDefault="003806C8" w:rsidP="00882D54">
      <w:pPr>
        <w:pStyle w:val="Heading2"/>
        <w:spacing w:after="240"/>
        <w:rPr>
          <w:b w:val="0"/>
        </w:rPr>
      </w:pPr>
      <w:bookmarkStart w:id="101" w:name="_Toc421114944"/>
      <w:r w:rsidRPr="00882D54">
        <w:t xml:space="preserve">Provisions for </w:t>
      </w:r>
      <w:r w:rsidR="00E82327" w:rsidRPr="00882D54">
        <w:t>Protection</w:t>
      </w:r>
      <w:r w:rsidRPr="00882D54">
        <w:t xml:space="preserve"> of Informatio</w:t>
      </w:r>
      <w:r w:rsidR="000E6621" w:rsidRPr="00882D54">
        <w:t>n</w:t>
      </w:r>
      <w:bookmarkEnd w:id="93"/>
      <w:bookmarkEnd w:id="94"/>
      <w:bookmarkEnd w:id="95"/>
      <w:bookmarkEnd w:id="96"/>
      <w:bookmarkEnd w:id="97"/>
      <w:bookmarkEnd w:id="98"/>
      <w:bookmarkEnd w:id="99"/>
      <w:bookmarkEnd w:id="100"/>
      <w:bookmarkEnd w:id="101"/>
    </w:p>
    <w:p w:rsidR="00FC6583" w:rsidRPr="00D37343" w:rsidRDefault="00FC6583" w:rsidP="00FC6583">
      <w:pPr>
        <w:pStyle w:val="Default"/>
        <w:jc w:val="both"/>
        <w:rPr>
          <w:rFonts w:asciiTheme="minorHAnsi" w:hAnsiTheme="minorHAnsi" w:cs="Arial"/>
          <w:sz w:val="22"/>
          <w:szCs w:val="22"/>
        </w:rPr>
      </w:pPr>
      <w:r w:rsidRPr="000E6621">
        <w:rPr>
          <w:rFonts w:asciiTheme="minorHAnsi" w:hAnsiTheme="minorHAnsi"/>
          <w:sz w:val="22"/>
          <w:szCs w:val="22"/>
        </w:rPr>
        <w:t>Information reported for the following three data elements: Part 1. Name of Facility; Question 1.2. Physical Location of Facility</w:t>
      </w:r>
      <w:r w:rsidR="00E25811">
        <w:rPr>
          <w:rFonts w:asciiTheme="minorHAnsi" w:hAnsiTheme="minorHAnsi"/>
          <w:sz w:val="22"/>
          <w:szCs w:val="22"/>
        </w:rPr>
        <w:t>;</w:t>
      </w:r>
      <w:r w:rsidRPr="000E6621">
        <w:rPr>
          <w:rFonts w:asciiTheme="minorHAnsi" w:hAnsiTheme="minorHAnsi"/>
          <w:sz w:val="22"/>
          <w:szCs w:val="22"/>
        </w:rPr>
        <w:t xml:space="preserve"> and Question 2.2. Maximum Annual Production Capacity</w:t>
      </w:r>
      <w:r w:rsidR="00E25811">
        <w:rPr>
          <w:rFonts w:asciiTheme="minorHAnsi" w:hAnsiTheme="minorHAnsi"/>
          <w:sz w:val="22"/>
          <w:szCs w:val="22"/>
        </w:rPr>
        <w:t>;</w:t>
      </w:r>
      <w:r w:rsidRPr="000E6621">
        <w:rPr>
          <w:rFonts w:asciiTheme="minorHAnsi" w:hAnsiTheme="minorHAnsi"/>
          <w:sz w:val="22"/>
          <w:szCs w:val="22"/>
        </w:rPr>
        <w:t xml:space="preserve"> are considered </w:t>
      </w:r>
      <w:r w:rsidRPr="00D37343">
        <w:rPr>
          <w:rFonts w:asciiTheme="minorHAnsi" w:hAnsiTheme="minorHAnsi" w:cs="Arial"/>
          <w:sz w:val="22"/>
          <w:szCs w:val="22"/>
        </w:rPr>
        <w:t>public information and may be publicly released in company identifiable form.</w:t>
      </w:r>
    </w:p>
    <w:p w:rsidR="00FC6583" w:rsidRPr="000E6621" w:rsidRDefault="00FC6583" w:rsidP="00FC6583">
      <w:pPr>
        <w:rPr>
          <w:rFonts w:asciiTheme="minorHAnsi" w:hAnsiTheme="minorHAnsi"/>
        </w:rPr>
      </w:pPr>
      <w:r w:rsidRPr="000E6621">
        <w:rPr>
          <w:rFonts w:asciiTheme="minorHAnsi" w:hAnsiTheme="minorHAnsi"/>
        </w:rPr>
        <w:t>All other information reported on this survey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004A0C2C" w:rsidRPr="000E6621" w:rsidRDefault="004A0C2C" w:rsidP="004A0C2C">
      <w:pPr>
        <w:rPr>
          <w:rFonts w:asciiTheme="minorHAnsi" w:hAnsiTheme="minorHAnsi"/>
        </w:rPr>
      </w:pPr>
      <w:r w:rsidRPr="000E6621">
        <w:rPr>
          <w:rFonts w:asciiTheme="minorHAnsi" w:hAnsiTheme="minorHAnsi"/>
        </w:rPr>
        <w:t xml:space="preserve">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w:t>
      </w:r>
      <w:r w:rsidR="00E32331">
        <w:rPr>
          <w:rFonts w:asciiTheme="minorHAnsi" w:hAnsiTheme="minorHAnsi"/>
        </w:rPr>
        <w:t xml:space="preserve">by other </w:t>
      </w:r>
      <w:r w:rsidR="00834A91">
        <w:rPr>
          <w:rFonts w:asciiTheme="minorHAnsi" w:hAnsiTheme="minorHAnsi"/>
        </w:rPr>
        <w:t>federal</w:t>
      </w:r>
      <w:r w:rsidR="00E32331">
        <w:rPr>
          <w:rFonts w:asciiTheme="minorHAnsi" w:hAnsiTheme="minorHAnsi"/>
        </w:rPr>
        <w:t xml:space="preserve"> agencies </w:t>
      </w:r>
      <w:r w:rsidRPr="000E6621">
        <w:rPr>
          <w:rFonts w:asciiTheme="minorHAnsi" w:hAnsiTheme="minorHAnsi"/>
        </w:rPr>
        <w:t>for non-statistical purposes such as administrative, regulatory, law enforcement, or adjudicatory purposes.</w:t>
      </w:r>
    </w:p>
    <w:p w:rsidR="00180F7A" w:rsidRPr="00595FB2" w:rsidRDefault="007C3B5E" w:rsidP="007D4ADF">
      <w:pPr>
        <w:pStyle w:val="Heading2"/>
        <w:ind w:left="0" w:firstLine="0"/>
      </w:pPr>
      <w:bookmarkStart w:id="102" w:name="_Toc355777393"/>
      <w:bookmarkStart w:id="103" w:name="_Toc355777719"/>
      <w:bookmarkStart w:id="104" w:name="_Toc401669368"/>
      <w:bookmarkStart w:id="105" w:name="_Toc421114945"/>
      <w:r w:rsidRPr="00595FB2">
        <w:t>Justification</w:t>
      </w:r>
      <w:r w:rsidR="00180F7A" w:rsidRPr="00595FB2">
        <w:t xml:space="preserve"> for Sensitive Questions</w:t>
      </w:r>
      <w:bookmarkEnd w:id="102"/>
      <w:bookmarkEnd w:id="103"/>
      <w:bookmarkEnd w:id="104"/>
      <w:bookmarkEnd w:id="105"/>
    </w:p>
    <w:p w:rsidR="00180F7A" w:rsidRPr="00180F7A" w:rsidRDefault="00180F7A" w:rsidP="007D4ADF">
      <w:r w:rsidRPr="008B640A">
        <w:t>Th</w:t>
      </w:r>
      <w:r w:rsidR="00836DC8" w:rsidRPr="008B640A">
        <w:t>is proposed information collection does not include any questions of a sensitive nature</w:t>
      </w:r>
      <w:r w:rsidRPr="008B640A">
        <w:t>.</w:t>
      </w:r>
    </w:p>
    <w:p w:rsidR="00180F7A" w:rsidRPr="005B36B5" w:rsidRDefault="007C3B5E" w:rsidP="007D4ADF">
      <w:pPr>
        <w:pStyle w:val="Heading2"/>
        <w:ind w:left="0" w:firstLine="0"/>
      </w:pPr>
      <w:bookmarkStart w:id="106" w:name="_Toc355777394"/>
      <w:bookmarkStart w:id="107" w:name="_Toc355777720"/>
      <w:bookmarkStart w:id="108" w:name="_Toc401669369"/>
      <w:bookmarkStart w:id="109" w:name="_Toc421114946"/>
      <w:r w:rsidRPr="005B36B5">
        <w:t>Estimate</w:t>
      </w:r>
      <w:r w:rsidR="00180F7A" w:rsidRPr="005B36B5">
        <w:t xml:space="preserve"> of Respondent </w:t>
      </w:r>
      <w:r w:rsidR="00180F7A" w:rsidRPr="009F7869">
        <w:t>Burden</w:t>
      </w:r>
      <w:r w:rsidR="00180F7A" w:rsidRPr="005B36B5">
        <w:t xml:space="preserve"> Hours and Cost</w:t>
      </w:r>
      <w:bookmarkEnd w:id="106"/>
      <w:bookmarkEnd w:id="107"/>
      <w:bookmarkEnd w:id="108"/>
      <w:bookmarkEnd w:id="109"/>
    </w:p>
    <w:p w:rsidR="00180F7A" w:rsidRDefault="00895AB5" w:rsidP="00DE2CC0">
      <w:r w:rsidRPr="00405C41">
        <w:t xml:space="preserve">The estimated hour burden per response is 1.5 hours.  </w:t>
      </w:r>
      <w:r w:rsidR="00180F7A" w:rsidRPr="00405C41">
        <w:t>The overall annual burden for this</w:t>
      </w:r>
      <w:r w:rsidR="00325E85" w:rsidRPr="00405C41">
        <w:t xml:space="preserve"> survey</w:t>
      </w:r>
      <w:r w:rsidR="00180F7A" w:rsidRPr="00405C41">
        <w:t xml:space="preserve"> is estimated to be</w:t>
      </w:r>
      <w:r w:rsidR="009D3EB6" w:rsidRPr="00405C41">
        <w:t xml:space="preserve"> </w:t>
      </w:r>
      <w:r w:rsidR="007C2266" w:rsidRPr="00405C41">
        <w:t>2,700</w:t>
      </w:r>
      <w:r w:rsidR="00180F7A" w:rsidRPr="00405C41">
        <w:t xml:space="preserve"> burden hours (see Table </w:t>
      </w:r>
      <w:r w:rsidR="00F41614" w:rsidRPr="00405C41">
        <w:t>3</w:t>
      </w:r>
      <w:r w:rsidR="00180F7A" w:rsidRPr="00405C41">
        <w:t xml:space="preserve">).  </w:t>
      </w:r>
      <w:r w:rsidR="00DB2ED4" w:rsidRPr="00405C41">
        <w:t>T</w:t>
      </w:r>
      <w:r w:rsidR="00180F7A" w:rsidRPr="00405C41">
        <w:t>he burden estimate includes</w:t>
      </w:r>
      <w:r w:rsidR="00324273" w:rsidRPr="00405C41">
        <w:t xml:space="preserve"> time to review the form and instructions, report the requested information, and</w:t>
      </w:r>
      <w:r w:rsidR="00180F7A" w:rsidRPr="00405C41">
        <w:t xml:space="preserve"> time for follow-up on survey responses to clarify any questions and correct or edit information reported by respondents</w:t>
      </w:r>
      <w:r w:rsidR="00180F7A">
        <w:t>.</w:t>
      </w:r>
    </w:p>
    <w:p w:rsidR="00E1757A" w:rsidRDefault="00180F7A" w:rsidP="00DE2CC0">
      <w:r>
        <w:lastRenderedPageBreak/>
        <w:t xml:space="preserve">The cost to the respondents is estimated to </w:t>
      </w:r>
      <w:r w:rsidRPr="00405C41">
        <w:t>be $</w:t>
      </w:r>
      <w:r w:rsidR="007C2266" w:rsidRPr="00405C41">
        <w:t>194,319</w:t>
      </w:r>
      <w:r w:rsidRPr="00405C41">
        <w:t xml:space="preserve"> (</w:t>
      </w:r>
      <w:r w:rsidR="007C2266" w:rsidRPr="00405C41">
        <w:t>2,700</w:t>
      </w:r>
      <w:r w:rsidR="005A571B" w:rsidRPr="00405C41">
        <w:t xml:space="preserve"> </w:t>
      </w:r>
      <w:r w:rsidRPr="00405C41">
        <w:t>burden hours times $</w:t>
      </w:r>
      <w:r w:rsidR="00A41048" w:rsidRPr="00405C41">
        <w:t>71.97</w:t>
      </w:r>
      <w:r w:rsidRPr="00405C41">
        <w:t xml:space="preserve"> per hour).</w:t>
      </w:r>
      <w:r>
        <w:t xml:space="preserve">  An average cost per hour </w:t>
      </w:r>
      <w:r w:rsidRPr="00FB3F76">
        <w:t>of $</w:t>
      </w:r>
      <w:r w:rsidR="00A41048">
        <w:t>71.97</w:t>
      </w:r>
      <w:r w:rsidRPr="00FB3F76">
        <w:t xml:space="preserve"> is</w:t>
      </w:r>
      <w:r>
        <w:t xml:space="preserve"> used because that is the estimated average loaded (salary plus benefits) cost for an EIA employee in </w:t>
      </w:r>
      <w:r w:rsidR="00325E85" w:rsidRPr="009020D6">
        <w:t>201</w:t>
      </w:r>
      <w:r w:rsidR="00A41048">
        <w:t>5</w:t>
      </w:r>
      <w:r>
        <w:t>.  EIA assumes that the survey respondent workforce completing surveys for the EIA is comparable with the EIA workforce.</w:t>
      </w:r>
      <w:r w:rsidR="00324273">
        <w:t xml:space="preserve">  </w:t>
      </w:r>
    </w:p>
    <w:p w:rsidR="00ED1A55" w:rsidRDefault="00ED1A55" w:rsidP="00DE2CC0">
      <w:r>
        <w:t xml:space="preserve">EIA conducted a total of five exploratory cognitive interviews </w:t>
      </w:r>
      <w:r w:rsidR="00A25E6A">
        <w:t>during</w:t>
      </w:r>
      <w:r>
        <w:t xml:space="preserve"> September 16-24, 2014 with potential respondents at densified biomass fuel facilities in Maine, New York, Vermont, and Virginia.  Respondents stated it would take them between 5-10 minutes to less than an hour to report information and complete the survey. One respondent stated it might take </w:t>
      </w:r>
      <w:r w:rsidR="00B75F7C">
        <w:t>two</w:t>
      </w:r>
      <w:r>
        <w:t xml:space="preserve"> hours the first few times through, but after becoming familiar with the form it might take only 30-40 minutes. One respondent suggested</w:t>
      </w:r>
      <w:r w:rsidR="00A25E6A">
        <w:t xml:space="preserve"> that</w:t>
      </w:r>
      <w:r>
        <w:t xml:space="preserve"> having the previous month’s figures available would help in completing the form.  Based on the cognitive research, the burden estimate of 1.5 hours</w:t>
      </w:r>
      <w:r w:rsidR="00A25E6A">
        <w:t xml:space="preserve"> per response</w:t>
      </w:r>
      <w:r>
        <w:t xml:space="preserve"> is an accurate estimate that incorporates the highest estimate of expenditure of time provided by interviewees.  Since this is a new form, EIA expects the burden to decline after the first year and may conduct future </w:t>
      </w:r>
      <w:r w:rsidR="00A25E6A">
        <w:t xml:space="preserve">cognitive </w:t>
      </w:r>
      <w:r>
        <w:t>research after one year of operating this survey to document any reductions in burden.</w:t>
      </w:r>
    </w:p>
    <w:p w:rsidR="00EF6A52" w:rsidRDefault="00EF6A52" w:rsidP="00DE2CC0"/>
    <w:p w:rsidR="004C273D" w:rsidRPr="00405C41" w:rsidRDefault="00D73CEC">
      <w:pPr>
        <w:spacing w:after="120" w:afterAutospacing="0"/>
      </w:pPr>
      <w:r w:rsidRPr="00405C41">
        <w:rPr>
          <w:b/>
        </w:rPr>
        <w:t xml:space="preserve">Table </w:t>
      </w:r>
      <w:r w:rsidR="00F41614" w:rsidRPr="00405C41">
        <w:rPr>
          <w:b/>
        </w:rPr>
        <w:t>3</w:t>
      </w:r>
      <w:r w:rsidRPr="00405C41">
        <w:rPr>
          <w:b/>
        </w:rPr>
        <w:t>.  Estimated Burden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430"/>
        <w:gridCol w:w="1350"/>
        <w:gridCol w:w="990"/>
        <w:gridCol w:w="1260"/>
        <w:gridCol w:w="1080"/>
        <w:gridCol w:w="990"/>
      </w:tblGrid>
      <w:tr w:rsidR="00AE1702" w:rsidRPr="00405C41" w:rsidTr="00090CD5">
        <w:trPr>
          <w:tblHeader/>
        </w:trPr>
        <w:tc>
          <w:tcPr>
            <w:tcW w:w="1080" w:type="dxa"/>
            <w:shd w:val="clear" w:color="auto" w:fill="EEECE1"/>
            <w:vAlign w:val="center"/>
          </w:tcPr>
          <w:p w:rsidR="00783F9A" w:rsidRPr="00405C41" w:rsidRDefault="00CE260D" w:rsidP="00467FCA">
            <w:pPr>
              <w:spacing w:after="0"/>
              <w:jc w:val="center"/>
              <w:rPr>
                <w:b/>
                <w:sz w:val="20"/>
                <w:szCs w:val="20"/>
              </w:rPr>
            </w:pPr>
            <w:r w:rsidRPr="00405C41">
              <w:rPr>
                <w:b/>
                <w:sz w:val="20"/>
                <w:szCs w:val="20"/>
              </w:rPr>
              <w:t>EI</w:t>
            </w:r>
            <w:r w:rsidR="002C5D61" w:rsidRPr="00405C41">
              <w:rPr>
                <w:b/>
                <w:sz w:val="20"/>
                <w:szCs w:val="20"/>
              </w:rPr>
              <w:t>A Form Number</w:t>
            </w:r>
          </w:p>
        </w:tc>
        <w:tc>
          <w:tcPr>
            <w:tcW w:w="2430" w:type="dxa"/>
            <w:shd w:val="clear" w:color="auto" w:fill="EEECE1"/>
            <w:vAlign w:val="center"/>
          </w:tcPr>
          <w:p w:rsidR="00783F9A" w:rsidRPr="00405C41" w:rsidRDefault="002C5D61" w:rsidP="00467FCA">
            <w:pPr>
              <w:spacing w:after="0"/>
              <w:jc w:val="center"/>
              <w:rPr>
                <w:b/>
                <w:sz w:val="20"/>
                <w:szCs w:val="20"/>
              </w:rPr>
            </w:pPr>
            <w:r w:rsidRPr="00405C41">
              <w:rPr>
                <w:b/>
                <w:sz w:val="20"/>
                <w:szCs w:val="20"/>
              </w:rPr>
              <w:t>Title</w:t>
            </w:r>
          </w:p>
        </w:tc>
        <w:tc>
          <w:tcPr>
            <w:tcW w:w="1350" w:type="dxa"/>
            <w:shd w:val="clear" w:color="auto" w:fill="EEECE1"/>
            <w:vAlign w:val="center"/>
          </w:tcPr>
          <w:p w:rsidR="00783F9A" w:rsidRPr="00405C41" w:rsidRDefault="002C5D61" w:rsidP="00467FCA">
            <w:pPr>
              <w:spacing w:after="0"/>
              <w:jc w:val="center"/>
              <w:rPr>
                <w:b/>
                <w:sz w:val="20"/>
                <w:szCs w:val="20"/>
              </w:rPr>
            </w:pPr>
            <w:r w:rsidRPr="00405C41">
              <w:rPr>
                <w:b/>
                <w:sz w:val="20"/>
                <w:szCs w:val="20"/>
              </w:rPr>
              <w:t>Number of Respondents per Year</w:t>
            </w:r>
          </w:p>
        </w:tc>
        <w:tc>
          <w:tcPr>
            <w:tcW w:w="990" w:type="dxa"/>
            <w:shd w:val="clear" w:color="auto" w:fill="EEECE1"/>
            <w:vAlign w:val="center"/>
          </w:tcPr>
          <w:p w:rsidR="00783F9A" w:rsidRPr="00405C41" w:rsidRDefault="002C5D61" w:rsidP="00467FCA">
            <w:pPr>
              <w:spacing w:after="0"/>
              <w:jc w:val="center"/>
              <w:rPr>
                <w:b/>
                <w:sz w:val="20"/>
                <w:szCs w:val="20"/>
              </w:rPr>
            </w:pPr>
            <w:r w:rsidRPr="00405C41">
              <w:rPr>
                <w:rFonts w:eastAsia="Times New Roman"/>
                <w:b/>
                <w:color w:val="000000"/>
                <w:sz w:val="20"/>
                <w:szCs w:val="20"/>
              </w:rPr>
              <w:t>Number of Reports Annually</w:t>
            </w:r>
          </w:p>
        </w:tc>
        <w:tc>
          <w:tcPr>
            <w:tcW w:w="1260" w:type="dxa"/>
            <w:shd w:val="clear" w:color="auto" w:fill="EEECE1"/>
            <w:vAlign w:val="center"/>
          </w:tcPr>
          <w:p w:rsidR="00783F9A" w:rsidRPr="00405C41" w:rsidRDefault="002C5D61" w:rsidP="00467FCA">
            <w:pPr>
              <w:spacing w:after="0"/>
              <w:jc w:val="center"/>
              <w:rPr>
                <w:b/>
                <w:sz w:val="20"/>
                <w:szCs w:val="20"/>
              </w:rPr>
            </w:pPr>
            <w:r w:rsidRPr="00405C41">
              <w:rPr>
                <w:rFonts w:eastAsia="Times New Roman"/>
                <w:b/>
                <w:color w:val="000000"/>
                <w:sz w:val="20"/>
                <w:szCs w:val="20"/>
              </w:rPr>
              <w:t>Total Number of Responses</w:t>
            </w:r>
          </w:p>
        </w:tc>
        <w:tc>
          <w:tcPr>
            <w:tcW w:w="1080" w:type="dxa"/>
            <w:shd w:val="clear" w:color="auto" w:fill="EEECE1"/>
            <w:vAlign w:val="center"/>
          </w:tcPr>
          <w:p w:rsidR="00783F9A" w:rsidRPr="00405C41" w:rsidRDefault="002C5D61" w:rsidP="00467FCA">
            <w:pPr>
              <w:spacing w:after="0"/>
              <w:jc w:val="center"/>
              <w:rPr>
                <w:b/>
                <w:sz w:val="20"/>
                <w:szCs w:val="20"/>
              </w:rPr>
            </w:pPr>
            <w:r w:rsidRPr="00405C41">
              <w:rPr>
                <w:rFonts w:cs="Arial"/>
                <w:b/>
                <w:bCs/>
                <w:sz w:val="20"/>
                <w:szCs w:val="20"/>
              </w:rPr>
              <w:t>Burden Hours Per Response</w:t>
            </w:r>
          </w:p>
        </w:tc>
        <w:tc>
          <w:tcPr>
            <w:tcW w:w="990" w:type="dxa"/>
            <w:shd w:val="clear" w:color="auto" w:fill="EEECE1"/>
            <w:vAlign w:val="center"/>
          </w:tcPr>
          <w:p w:rsidR="00783F9A" w:rsidRPr="00405C41" w:rsidRDefault="002C5D61" w:rsidP="00467FCA">
            <w:pPr>
              <w:spacing w:after="0"/>
              <w:jc w:val="center"/>
              <w:rPr>
                <w:b/>
                <w:sz w:val="20"/>
                <w:szCs w:val="20"/>
              </w:rPr>
            </w:pPr>
            <w:r w:rsidRPr="00405C41">
              <w:rPr>
                <w:rFonts w:cs="Arial"/>
                <w:b/>
                <w:bCs/>
                <w:sz w:val="20"/>
                <w:szCs w:val="20"/>
              </w:rPr>
              <w:t>Annual Burden Hours</w:t>
            </w:r>
          </w:p>
        </w:tc>
      </w:tr>
      <w:tr w:rsidR="00333F3F" w:rsidRPr="00405C41" w:rsidTr="00090CD5">
        <w:trPr>
          <w:cantSplit/>
          <w:trHeight w:val="332"/>
        </w:trPr>
        <w:tc>
          <w:tcPr>
            <w:tcW w:w="1080" w:type="dxa"/>
            <w:vAlign w:val="center"/>
          </w:tcPr>
          <w:p w:rsidR="00333F3F" w:rsidRPr="00405C41" w:rsidRDefault="00333F3F" w:rsidP="00A07309">
            <w:pPr>
              <w:spacing w:after="0"/>
              <w:jc w:val="center"/>
              <w:rPr>
                <w:rFonts w:asciiTheme="minorHAnsi" w:hAnsiTheme="minorHAnsi" w:cstheme="minorHAnsi"/>
                <w:bCs/>
                <w:sz w:val="18"/>
                <w:szCs w:val="18"/>
              </w:rPr>
            </w:pPr>
            <w:r w:rsidRPr="00405C41">
              <w:rPr>
                <w:rFonts w:asciiTheme="minorHAnsi" w:hAnsiTheme="minorHAnsi" w:cstheme="minorHAnsi"/>
                <w:bCs/>
                <w:sz w:val="18"/>
                <w:szCs w:val="18"/>
              </w:rPr>
              <w:t>EIA-63C</w:t>
            </w:r>
          </w:p>
        </w:tc>
        <w:tc>
          <w:tcPr>
            <w:tcW w:w="2430" w:type="dxa"/>
            <w:vAlign w:val="center"/>
          </w:tcPr>
          <w:p w:rsidR="00333F3F" w:rsidRPr="00405C41" w:rsidRDefault="00333F3F" w:rsidP="00FE03EB">
            <w:pPr>
              <w:spacing w:after="0"/>
              <w:jc w:val="center"/>
              <w:rPr>
                <w:rFonts w:asciiTheme="minorHAnsi" w:hAnsiTheme="minorHAnsi" w:cstheme="minorHAnsi"/>
                <w:bCs/>
                <w:sz w:val="18"/>
                <w:szCs w:val="18"/>
              </w:rPr>
            </w:pPr>
            <w:r w:rsidRPr="00405C41">
              <w:rPr>
                <w:rFonts w:asciiTheme="minorHAnsi" w:hAnsiTheme="minorHAnsi" w:cstheme="minorHAnsi"/>
                <w:sz w:val="18"/>
                <w:szCs w:val="18"/>
              </w:rPr>
              <w:t>Densified Biomass                Fuel Report</w:t>
            </w:r>
          </w:p>
        </w:tc>
        <w:tc>
          <w:tcPr>
            <w:tcW w:w="1350" w:type="dxa"/>
            <w:vAlign w:val="center"/>
          </w:tcPr>
          <w:p w:rsidR="00333F3F" w:rsidRPr="00405C41" w:rsidRDefault="00333F3F" w:rsidP="00C60535">
            <w:pPr>
              <w:spacing w:after="0"/>
              <w:jc w:val="center"/>
              <w:rPr>
                <w:rFonts w:asciiTheme="minorHAnsi" w:hAnsiTheme="minorHAnsi" w:cstheme="minorHAnsi"/>
                <w:sz w:val="18"/>
                <w:szCs w:val="18"/>
              </w:rPr>
            </w:pPr>
            <w:r w:rsidRPr="00405C41">
              <w:rPr>
                <w:rFonts w:asciiTheme="minorHAnsi" w:hAnsiTheme="minorHAnsi" w:cstheme="minorHAnsi"/>
                <w:sz w:val="18"/>
                <w:szCs w:val="18"/>
              </w:rPr>
              <w:t>150</w:t>
            </w:r>
          </w:p>
        </w:tc>
        <w:tc>
          <w:tcPr>
            <w:tcW w:w="990" w:type="dxa"/>
            <w:vAlign w:val="center"/>
          </w:tcPr>
          <w:p w:rsidR="00333F3F" w:rsidRPr="00405C41" w:rsidRDefault="00333F3F" w:rsidP="00467FCA">
            <w:pPr>
              <w:spacing w:after="0"/>
              <w:jc w:val="center"/>
              <w:rPr>
                <w:rFonts w:asciiTheme="minorHAnsi" w:hAnsiTheme="minorHAnsi" w:cstheme="minorHAnsi"/>
                <w:sz w:val="18"/>
                <w:szCs w:val="18"/>
              </w:rPr>
            </w:pPr>
            <w:r w:rsidRPr="00405C41">
              <w:rPr>
                <w:rFonts w:asciiTheme="minorHAnsi" w:hAnsiTheme="minorHAnsi" w:cstheme="minorHAnsi"/>
                <w:sz w:val="18"/>
                <w:szCs w:val="18"/>
              </w:rPr>
              <w:t>12</w:t>
            </w:r>
          </w:p>
        </w:tc>
        <w:tc>
          <w:tcPr>
            <w:tcW w:w="1260" w:type="dxa"/>
            <w:vAlign w:val="center"/>
          </w:tcPr>
          <w:p w:rsidR="00333F3F" w:rsidRPr="00405C41" w:rsidRDefault="00333F3F" w:rsidP="00222C5B">
            <w:pPr>
              <w:spacing w:after="0"/>
              <w:jc w:val="center"/>
              <w:rPr>
                <w:rFonts w:asciiTheme="minorHAnsi" w:hAnsiTheme="minorHAnsi" w:cstheme="minorHAnsi"/>
                <w:bCs/>
                <w:sz w:val="18"/>
                <w:szCs w:val="18"/>
              </w:rPr>
            </w:pPr>
            <w:r w:rsidRPr="00405C41">
              <w:rPr>
                <w:rFonts w:asciiTheme="minorHAnsi" w:hAnsiTheme="minorHAnsi" w:cstheme="minorHAnsi"/>
                <w:bCs/>
                <w:sz w:val="18"/>
                <w:szCs w:val="18"/>
              </w:rPr>
              <w:t>1800</w:t>
            </w:r>
          </w:p>
        </w:tc>
        <w:tc>
          <w:tcPr>
            <w:tcW w:w="1080" w:type="dxa"/>
            <w:vAlign w:val="center"/>
          </w:tcPr>
          <w:p w:rsidR="00333F3F" w:rsidRPr="00405C41" w:rsidRDefault="007C2266" w:rsidP="00467FCA">
            <w:pPr>
              <w:spacing w:after="0"/>
              <w:jc w:val="center"/>
              <w:rPr>
                <w:rFonts w:asciiTheme="minorHAnsi" w:hAnsiTheme="minorHAnsi" w:cstheme="minorHAnsi"/>
                <w:sz w:val="18"/>
                <w:szCs w:val="18"/>
              </w:rPr>
            </w:pPr>
            <w:r w:rsidRPr="00405C41">
              <w:rPr>
                <w:rFonts w:asciiTheme="minorHAnsi" w:hAnsiTheme="minorHAnsi" w:cstheme="minorHAnsi"/>
                <w:sz w:val="18"/>
                <w:szCs w:val="18"/>
              </w:rPr>
              <w:t>1.5</w:t>
            </w:r>
          </w:p>
        </w:tc>
        <w:tc>
          <w:tcPr>
            <w:tcW w:w="990" w:type="dxa"/>
            <w:vAlign w:val="center"/>
          </w:tcPr>
          <w:p w:rsidR="00333F3F" w:rsidRPr="00405C41" w:rsidRDefault="007C2266" w:rsidP="007C2266">
            <w:pPr>
              <w:spacing w:after="0"/>
              <w:jc w:val="center"/>
              <w:rPr>
                <w:rFonts w:asciiTheme="minorHAnsi" w:hAnsiTheme="minorHAnsi" w:cstheme="minorHAnsi"/>
                <w:bCs/>
                <w:sz w:val="18"/>
                <w:szCs w:val="18"/>
              </w:rPr>
            </w:pPr>
            <w:r w:rsidRPr="00405C41">
              <w:rPr>
                <w:rFonts w:asciiTheme="minorHAnsi" w:hAnsiTheme="minorHAnsi" w:cstheme="minorHAnsi"/>
                <w:bCs/>
                <w:sz w:val="18"/>
                <w:szCs w:val="18"/>
              </w:rPr>
              <w:t>2700</w:t>
            </w:r>
          </w:p>
        </w:tc>
      </w:tr>
      <w:tr w:rsidR="00AE1702" w:rsidRPr="00405C41" w:rsidTr="00090CD5">
        <w:trPr>
          <w:trHeight w:val="395"/>
        </w:trPr>
        <w:tc>
          <w:tcPr>
            <w:tcW w:w="1080" w:type="dxa"/>
            <w:vAlign w:val="center"/>
          </w:tcPr>
          <w:p w:rsidR="002B606B" w:rsidRPr="00405C41" w:rsidRDefault="002B606B" w:rsidP="00467FCA">
            <w:pPr>
              <w:spacing w:after="0"/>
              <w:jc w:val="center"/>
              <w:rPr>
                <w:rFonts w:asciiTheme="minorHAnsi" w:hAnsiTheme="minorHAnsi" w:cstheme="minorHAnsi"/>
                <w:b/>
                <w:sz w:val="18"/>
                <w:szCs w:val="18"/>
              </w:rPr>
            </w:pPr>
            <w:r w:rsidRPr="00405C41">
              <w:rPr>
                <w:rFonts w:asciiTheme="minorHAnsi" w:hAnsiTheme="minorHAnsi" w:cstheme="minorHAnsi"/>
                <w:b/>
                <w:sz w:val="18"/>
                <w:szCs w:val="18"/>
              </w:rPr>
              <w:t>Total</w:t>
            </w:r>
          </w:p>
        </w:tc>
        <w:tc>
          <w:tcPr>
            <w:tcW w:w="2430" w:type="dxa"/>
            <w:vAlign w:val="center"/>
          </w:tcPr>
          <w:p w:rsidR="002B606B" w:rsidRPr="00405C41" w:rsidRDefault="002B606B" w:rsidP="00467FCA">
            <w:pPr>
              <w:spacing w:after="0"/>
              <w:jc w:val="center"/>
              <w:rPr>
                <w:rFonts w:asciiTheme="minorHAnsi" w:hAnsiTheme="minorHAnsi" w:cstheme="minorHAnsi"/>
                <w:sz w:val="18"/>
                <w:szCs w:val="18"/>
              </w:rPr>
            </w:pPr>
          </w:p>
        </w:tc>
        <w:tc>
          <w:tcPr>
            <w:tcW w:w="1350" w:type="dxa"/>
            <w:vAlign w:val="center"/>
          </w:tcPr>
          <w:p w:rsidR="002B606B" w:rsidRPr="00405C41" w:rsidRDefault="00E1757A" w:rsidP="00897941">
            <w:pPr>
              <w:spacing w:after="0"/>
              <w:jc w:val="center"/>
              <w:rPr>
                <w:rFonts w:asciiTheme="minorHAnsi" w:hAnsiTheme="minorHAnsi" w:cstheme="minorHAnsi"/>
                <w:b/>
                <w:sz w:val="18"/>
                <w:szCs w:val="18"/>
              </w:rPr>
            </w:pPr>
            <w:r w:rsidRPr="00405C41">
              <w:rPr>
                <w:rFonts w:asciiTheme="minorHAnsi" w:hAnsiTheme="minorHAnsi" w:cstheme="minorHAnsi"/>
                <w:b/>
                <w:sz w:val="18"/>
                <w:szCs w:val="18"/>
              </w:rPr>
              <w:t>150</w:t>
            </w:r>
          </w:p>
        </w:tc>
        <w:tc>
          <w:tcPr>
            <w:tcW w:w="990" w:type="dxa"/>
            <w:vAlign w:val="center"/>
          </w:tcPr>
          <w:p w:rsidR="002B606B" w:rsidRPr="00405C41" w:rsidRDefault="00E1757A" w:rsidP="00467FCA">
            <w:pPr>
              <w:spacing w:after="0"/>
              <w:jc w:val="center"/>
              <w:rPr>
                <w:rFonts w:asciiTheme="minorHAnsi" w:hAnsiTheme="minorHAnsi" w:cstheme="minorHAnsi"/>
                <w:b/>
                <w:sz w:val="18"/>
                <w:szCs w:val="18"/>
              </w:rPr>
            </w:pPr>
            <w:r w:rsidRPr="00405C41">
              <w:rPr>
                <w:rFonts w:asciiTheme="minorHAnsi" w:hAnsiTheme="minorHAnsi" w:cstheme="minorHAnsi"/>
                <w:b/>
                <w:sz w:val="18"/>
                <w:szCs w:val="18"/>
              </w:rPr>
              <w:t>12</w:t>
            </w:r>
          </w:p>
        </w:tc>
        <w:tc>
          <w:tcPr>
            <w:tcW w:w="1260" w:type="dxa"/>
            <w:vAlign w:val="center"/>
          </w:tcPr>
          <w:p w:rsidR="002B606B" w:rsidRPr="00405C41" w:rsidRDefault="00E1757A" w:rsidP="00897941">
            <w:pPr>
              <w:spacing w:after="0"/>
              <w:jc w:val="center"/>
              <w:rPr>
                <w:rFonts w:asciiTheme="minorHAnsi" w:hAnsiTheme="minorHAnsi" w:cstheme="minorHAnsi"/>
                <w:b/>
                <w:sz w:val="18"/>
                <w:szCs w:val="18"/>
              </w:rPr>
            </w:pPr>
            <w:r w:rsidRPr="00405C41">
              <w:rPr>
                <w:rFonts w:asciiTheme="minorHAnsi" w:hAnsiTheme="minorHAnsi" w:cstheme="minorHAnsi"/>
                <w:b/>
                <w:sz w:val="18"/>
                <w:szCs w:val="18"/>
              </w:rPr>
              <w:t>1800</w:t>
            </w:r>
          </w:p>
        </w:tc>
        <w:tc>
          <w:tcPr>
            <w:tcW w:w="1080" w:type="dxa"/>
            <w:vAlign w:val="center"/>
          </w:tcPr>
          <w:p w:rsidR="002B606B" w:rsidRPr="00405C41" w:rsidRDefault="007C2266" w:rsidP="00467FCA">
            <w:pPr>
              <w:spacing w:after="0"/>
              <w:jc w:val="center"/>
              <w:rPr>
                <w:rFonts w:asciiTheme="minorHAnsi" w:hAnsiTheme="minorHAnsi" w:cstheme="minorHAnsi"/>
                <w:b/>
                <w:sz w:val="18"/>
                <w:szCs w:val="18"/>
              </w:rPr>
            </w:pPr>
            <w:r w:rsidRPr="00405C41">
              <w:rPr>
                <w:rFonts w:asciiTheme="minorHAnsi" w:hAnsiTheme="minorHAnsi" w:cstheme="minorHAnsi"/>
                <w:b/>
                <w:sz w:val="18"/>
                <w:szCs w:val="18"/>
              </w:rPr>
              <w:t>1.5</w:t>
            </w:r>
          </w:p>
        </w:tc>
        <w:tc>
          <w:tcPr>
            <w:tcW w:w="990" w:type="dxa"/>
            <w:vAlign w:val="center"/>
          </w:tcPr>
          <w:p w:rsidR="002B606B" w:rsidRPr="00405C41" w:rsidRDefault="007C2266" w:rsidP="007C2266">
            <w:pPr>
              <w:spacing w:after="0"/>
              <w:jc w:val="center"/>
              <w:rPr>
                <w:rFonts w:asciiTheme="minorHAnsi" w:hAnsiTheme="minorHAnsi" w:cstheme="minorHAnsi"/>
                <w:b/>
                <w:sz w:val="18"/>
                <w:szCs w:val="18"/>
              </w:rPr>
            </w:pPr>
            <w:r w:rsidRPr="00405C41">
              <w:rPr>
                <w:rFonts w:asciiTheme="minorHAnsi" w:hAnsiTheme="minorHAnsi" w:cstheme="minorHAnsi"/>
                <w:b/>
                <w:sz w:val="18"/>
                <w:szCs w:val="18"/>
              </w:rPr>
              <w:t>2700</w:t>
            </w:r>
          </w:p>
        </w:tc>
      </w:tr>
      <w:tr w:rsidR="002B606B" w:rsidRPr="004D3763" w:rsidTr="00090CD5">
        <w:trPr>
          <w:trHeight w:val="576"/>
        </w:trPr>
        <w:tc>
          <w:tcPr>
            <w:tcW w:w="9180" w:type="dxa"/>
            <w:gridSpan w:val="7"/>
            <w:vAlign w:val="center"/>
          </w:tcPr>
          <w:p w:rsidR="00EF6EC3" w:rsidRPr="00405C41" w:rsidRDefault="00EF6EC3" w:rsidP="00BC686C">
            <w:pPr>
              <w:spacing w:before="0" w:after="0" w:afterAutospacing="0"/>
              <w:rPr>
                <w:rFonts w:asciiTheme="minorHAnsi" w:hAnsiTheme="minorHAnsi" w:cstheme="minorHAnsi"/>
                <w:sz w:val="18"/>
                <w:szCs w:val="18"/>
              </w:rPr>
            </w:pPr>
            <w:r w:rsidRPr="00405C41">
              <w:rPr>
                <w:rFonts w:asciiTheme="minorHAnsi" w:hAnsiTheme="minorHAnsi" w:cstheme="minorHAnsi"/>
                <w:sz w:val="18"/>
                <w:szCs w:val="18"/>
              </w:rPr>
              <w:t>*Weighted Average Burden Per Form</w:t>
            </w:r>
          </w:p>
          <w:p w:rsidR="00747DEA" w:rsidRPr="00E918BA" w:rsidRDefault="00EF6EC3" w:rsidP="00CB0485">
            <w:pPr>
              <w:spacing w:before="0" w:after="0" w:afterAutospacing="0"/>
              <w:rPr>
                <w:rFonts w:asciiTheme="minorHAnsi" w:hAnsiTheme="minorHAnsi" w:cstheme="minorHAnsi"/>
                <w:sz w:val="18"/>
                <w:szCs w:val="18"/>
              </w:rPr>
            </w:pPr>
            <w:r w:rsidRPr="00405C41">
              <w:rPr>
                <w:rFonts w:asciiTheme="minorHAnsi" w:hAnsiTheme="minorHAnsi" w:cstheme="minorHAnsi"/>
                <w:sz w:val="18"/>
                <w:szCs w:val="18"/>
              </w:rPr>
              <w:t>*</w:t>
            </w:r>
            <w:r w:rsidR="002B606B" w:rsidRPr="00405C41">
              <w:rPr>
                <w:rFonts w:asciiTheme="minorHAnsi" w:hAnsiTheme="minorHAnsi" w:cstheme="minorHAnsi"/>
                <w:sz w:val="18"/>
                <w:szCs w:val="18"/>
              </w:rPr>
              <w:t>*</w:t>
            </w:r>
            <w:r w:rsidR="00CB0485" w:rsidRPr="00405C41">
              <w:rPr>
                <w:rFonts w:asciiTheme="minorHAnsi" w:hAnsiTheme="minorHAnsi" w:cstheme="minorHAnsi"/>
                <w:sz w:val="18"/>
                <w:szCs w:val="18"/>
              </w:rPr>
              <w:t xml:space="preserve"> </w:t>
            </w:r>
            <w:r w:rsidR="00747DEA" w:rsidRPr="00405C41">
              <w:rPr>
                <w:rFonts w:asciiTheme="minorHAnsi" w:hAnsiTheme="minorHAnsi" w:cstheme="minorHAnsi"/>
                <w:sz w:val="18"/>
                <w:szCs w:val="18"/>
              </w:rPr>
              <w:t xml:space="preserve">Totals may not </w:t>
            </w:r>
            <w:r w:rsidR="00093E9F" w:rsidRPr="00405C41">
              <w:rPr>
                <w:rFonts w:asciiTheme="minorHAnsi" w:eastAsia="Times New Roman" w:hAnsiTheme="minorHAnsi" w:cstheme="minorHAnsi"/>
                <w:color w:val="000000"/>
                <w:sz w:val="18"/>
                <w:szCs w:val="18"/>
              </w:rPr>
              <w:t xml:space="preserve">equal sum of components due </w:t>
            </w:r>
            <w:r w:rsidR="00747DEA" w:rsidRPr="00405C41">
              <w:rPr>
                <w:rFonts w:asciiTheme="minorHAnsi" w:hAnsiTheme="minorHAnsi" w:cstheme="minorHAnsi"/>
                <w:sz w:val="18"/>
                <w:szCs w:val="18"/>
              </w:rPr>
              <w:t>to i</w:t>
            </w:r>
            <w:r w:rsidR="00093E9F" w:rsidRPr="00405C41">
              <w:rPr>
                <w:rFonts w:asciiTheme="minorHAnsi" w:hAnsiTheme="minorHAnsi" w:cstheme="minorHAnsi"/>
                <w:sz w:val="18"/>
                <w:szCs w:val="18"/>
              </w:rPr>
              <w:t>ndependent rounding.</w:t>
            </w:r>
          </w:p>
        </w:tc>
      </w:tr>
    </w:tbl>
    <w:p w:rsidR="00E92554" w:rsidRDefault="00E92554" w:rsidP="00E92554">
      <w:pPr>
        <w:spacing w:before="0" w:after="0" w:afterAutospacing="0"/>
      </w:pPr>
      <w:bookmarkStart w:id="110" w:name="_Toc318697085"/>
    </w:p>
    <w:p w:rsidR="00A95FE0" w:rsidRPr="008B54F1" w:rsidRDefault="007C3B5E" w:rsidP="005B36B5">
      <w:pPr>
        <w:pStyle w:val="Heading2"/>
      </w:pPr>
      <w:bookmarkStart w:id="111" w:name="_Toc355777395"/>
      <w:bookmarkStart w:id="112" w:name="_Toc355777721"/>
      <w:bookmarkStart w:id="113" w:name="_Toc401669370"/>
      <w:bookmarkStart w:id="114" w:name="_Toc421114947"/>
      <w:r>
        <w:t>Annual</w:t>
      </w:r>
      <w:r w:rsidR="00A95FE0" w:rsidRPr="008B54F1">
        <w:t xml:space="preserve"> Reporting and Record Keeping Cost</w:t>
      </w:r>
      <w:bookmarkEnd w:id="110"/>
      <w:bookmarkEnd w:id="111"/>
      <w:bookmarkEnd w:id="112"/>
      <w:bookmarkEnd w:id="113"/>
      <w:bookmarkEnd w:id="114"/>
    </w:p>
    <w:p w:rsidR="007E2D64" w:rsidRPr="00630A68" w:rsidRDefault="00AE1702" w:rsidP="005B36B5">
      <w:pPr>
        <w:rPr>
          <w:rFonts w:ascii="Times New Roman" w:hAnsi="Times New Roman"/>
        </w:rPr>
      </w:pPr>
      <w:r w:rsidRPr="00C622BE">
        <w:t xml:space="preserve">The capital and start-up costs </w:t>
      </w:r>
      <w:r w:rsidR="007933C5">
        <w:t xml:space="preserve">for the survey are estimated for the </w:t>
      </w:r>
      <w:r w:rsidRPr="00C622BE">
        <w:t xml:space="preserve">respondents </w:t>
      </w:r>
      <w:r w:rsidR="007933C5">
        <w:t xml:space="preserve">to </w:t>
      </w:r>
      <w:r w:rsidR="007933C5" w:rsidRPr="00F23D19">
        <w:t xml:space="preserve">be </w:t>
      </w:r>
      <w:r w:rsidRPr="00F23D19">
        <w:t>$</w:t>
      </w:r>
      <w:r w:rsidR="00EF6A52" w:rsidRPr="00F23D19">
        <w:t>172,728</w:t>
      </w:r>
      <w:r w:rsidRPr="00F23D19">
        <w:t>.</w:t>
      </w:r>
      <w:r w:rsidR="005615FB">
        <w:rPr>
          <w:rFonts w:ascii="Times New Roman" w:hAnsi="Times New Roman"/>
          <w:i/>
          <w:iCs/>
          <w:color w:val="002060"/>
          <w:sz w:val="24"/>
          <w:szCs w:val="24"/>
        </w:rPr>
        <w:t xml:space="preserve">  </w:t>
      </w:r>
      <w:r w:rsidRPr="00C622BE">
        <w:t xml:space="preserve">This calculation is based on an estimate of the start-up </w:t>
      </w:r>
      <w:r w:rsidR="000A7EC9" w:rsidRPr="00C622BE">
        <w:t>cost</w:t>
      </w:r>
      <w:r w:rsidRPr="00C622BE">
        <w:t xml:space="preserve"> </w:t>
      </w:r>
      <w:r w:rsidRPr="00F23D19">
        <w:t xml:space="preserve">involving </w:t>
      </w:r>
      <w:r w:rsidR="00EF6A52" w:rsidRPr="00F23D19">
        <w:t>2</w:t>
      </w:r>
      <w:r w:rsidR="00C47645" w:rsidRPr="00C622BE">
        <w:t xml:space="preserve"> person days </w:t>
      </w:r>
      <w:r w:rsidRPr="00C622BE">
        <w:t xml:space="preserve">for each of the </w:t>
      </w:r>
      <w:r w:rsidR="005615FB">
        <w:t xml:space="preserve">150 </w:t>
      </w:r>
      <w:r w:rsidRPr="00E917F6">
        <w:t>respondents</w:t>
      </w:r>
      <w:r>
        <w:t xml:space="preserve"> to </w:t>
      </w:r>
      <w:r w:rsidR="000A7EC9">
        <w:t xml:space="preserve">modify their information technology systems to produce data for </w:t>
      </w:r>
      <w:r>
        <w:t>the survey</w:t>
      </w:r>
      <w:r w:rsidR="00324273">
        <w:t xml:space="preserve">, i.e., </w:t>
      </w:r>
      <w:r w:rsidR="00630A68">
        <w:t>((16 hours * 71.97 per hour)) * 150 respondents)</w:t>
      </w:r>
      <w:r>
        <w:t>.</w:t>
      </w:r>
      <w:r w:rsidR="000A7EC9">
        <w:t xml:space="preserve">  </w:t>
      </w:r>
      <w:r w:rsidR="00C47645">
        <w:t>This cost is amortized over</w:t>
      </w:r>
      <w:r w:rsidR="000A7EC9">
        <w:t xml:space="preserve"> five years at five percent interest annually over the life of the data clearance cycle.</w:t>
      </w:r>
      <w:r w:rsidR="00C47645">
        <w:t xml:space="preserve"> </w:t>
      </w:r>
      <w:r w:rsidR="005B36B5">
        <w:t xml:space="preserve"> </w:t>
      </w:r>
      <w:r>
        <w:t xml:space="preserve">  </w:t>
      </w:r>
      <w:bookmarkStart w:id="115" w:name="_Toc524334503"/>
      <w:bookmarkStart w:id="116" w:name="_Toc524334585"/>
      <w:bookmarkStart w:id="117" w:name="_Toc524334732"/>
      <w:bookmarkStart w:id="118" w:name="_Toc524334925"/>
      <w:bookmarkStart w:id="119" w:name="_Toc318697086"/>
      <w:r w:rsidR="00324273">
        <w:t>After the initial capital and start-up costs are made</w:t>
      </w:r>
      <w:r w:rsidR="00630A68">
        <w:t xml:space="preserve">, there are no </w:t>
      </w:r>
      <w:r w:rsidR="00324273">
        <w:t xml:space="preserve">additional expenditures or </w:t>
      </w:r>
      <w:r w:rsidR="00630A68" w:rsidRPr="00630A68">
        <w:rPr>
          <w:rFonts w:asciiTheme="minorHAnsi" w:hAnsiTheme="minorHAnsi"/>
        </w:rPr>
        <w:t>recurring annual cost</w:t>
      </w:r>
      <w:r w:rsidR="00324273">
        <w:rPr>
          <w:rFonts w:asciiTheme="minorHAnsi" w:hAnsiTheme="minorHAnsi"/>
        </w:rPr>
        <w:t>s</w:t>
      </w:r>
      <w:r w:rsidR="00630A68" w:rsidRPr="00630A68">
        <w:rPr>
          <w:rFonts w:asciiTheme="minorHAnsi" w:hAnsiTheme="minorHAnsi"/>
        </w:rPr>
        <w:t xml:space="preserve"> for respondents </w:t>
      </w:r>
      <w:r w:rsidR="00630A68">
        <w:rPr>
          <w:rFonts w:asciiTheme="minorHAnsi" w:hAnsiTheme="minorHAnsi"/>
        </w:rPr>
        <w:t>to</w:t>
      </w:r>
      <w:r w:rsidR="00630A68" w:rsidRPr="00630A68">
        <w:rPr>
          <w:rFonts w:asciiTheme="minorHAnsi" w:hAnsiTheme="minorHAnsi"/>
        </w:rPr>
        <w:t xml:space="preserve"> operat</w:t>
      </w:r>
      <w:r w:rsidR="00630A68">
        <w:rPr>
          <w:rFonts w:asciiTheme="minorHAnsi" w:hAnsiTheme="minorHAnsi"/>
        </w:rPr>
        <w:t>e</w:t>
      </w:r>
      <w:r w:rsidR="00630A68" w:rsidRPr="00630A68">
        <w:rPr>
          <w:rFonts w:asciiTheme="minorHAnsi" w:hAnsiTheme="minorHAnsi"/>
        </w:rPr>
        <w:t xml:space="preserve"> or maintain</w:t>
      </w:r>
      <w:r w:rsidR="00630A68">
        <w:rPr>
          <w:rFonts w:asciiTheme="minorHAnsi" w:hAnsiTheme="minorHAnsi"/>
        </w:rPr>
        <w:t xml:space="preserve"> their reporting</w:t>
      </w:r>
      <w:r w:rsidR="00630A68" w:rsidRPr="00630A68">
        <w:rPr>
          <w:rFonts w:asciiTheme="minorHAnsi" w:hAnsiTheme="minorHAnsi"/>
        </w:rPr>
        <w:t xml:space="preserve"> systems </w:t>
      </w:r>
      <w:r w:rsidR="00630A68">
        <w:rPr>
          <w:rFonts w:asciiTheme="minorHAnsi" w:hAnsiTheme="minorHAnsi"/>
        </w:rPr>
        <w:t>for this form.</w:t>
      </w:r>
    </w:p>
    <w:p w:rsidR="00EF6A52" w:rsidRDefault="00EF6A52" w:rsidP="005B36B5"/>
    <w:p w:rsidR="00EF6A52" w:rsidRDefault="00EF6A52" w:rsidP="00F23D19">
      <w:pPr>
        <w:pStyle w:val="Heading2"/>
      </w:pPr>
      <w:bookmarkStart w:id="120" w:name="_Toc421114948"/>
      <w:r>
        <w:t>Annual Cost to the Federal Government</w:t>
      </w:r>
      <w:bookmarkEnd w:id="120"/>
    </w:p>
    <w:p w:rsidR="00EF6A52" w:rsidRDefault="00EF6A52" w:rsidP="005B36B5">
      <w:r>
        <w:t xml:space="preserve">The annual cost of operating this survey is estimated at $226,399, including contactor costs and federal staff time.  This cost estimate includes personnel, maintenance, collection, and processing by EIA.  The </w:t>
      </w:r>
      <w:r>
        <w:lastRenderedPageBreak/>
        <w:t xml:space="preserve">data requested will be captured via an internet data collection system and website for which EIA already has technology in place.  </w:t>
      </w:r>
    </w:p>
    <w:p w:rsidR="00A95FE0" w:rsidRPr="008B54F1" w:rsidRDefault="007C3B5E" w:rsidP="00CC4F61">
      <w:pPr>
        <w:pStyle w:val="Heading2"/>
      </w:pPr>
      <w:bookmarkStart w:id="121" w:name="_Toc309722617"/>
      <w:bookmarkStart w:id="122" w:name="_Toc318697087"/>
      <w:bookmarkStart w:id="123" w:name="_Toc355777397"/>
      <w:bookmarkStart w:id="124" w:name="_Toc355777723"/>
      <w:bookmarkStart w:id="125" w:name="_Toc401669372"/>
      <w:bookmarkStart w:id="126" w:name="_Toc421114949"/>
      <w:bookmarkEnd w:id="115"/>
      <w:bookmarkEnd w:id="116"/>
      <w:bookmarkEnd w:id="117"/>
      <w:bookmarkEnd w:id="118"/>
      <w:bookmarkEnd w:id="119"/>
      <w:r>
        <w:t>Changes</w:t>
      </w:r>
      <w:r w:rsidR="00A95FE0" w:rsidRPr="008B54F1">
        <w:t xml:space="preserve"> in </w:t>
      </w:r>
      <w:r w:rsidR="00A95FE0" w:rsidRPr="009F7869">
        <w:t>Burden</w:t>
      </w:r>
      <w:bookmarkEnd w:id="121"/>
      <w:bookmarkEnd w:id="122"/>
      <w:bookmarkEnd w:id="123"/>
      <w:bookmarkEnd w:id="124"/>
      <w:bookmarkEnd w:id="125"/>
      <w:bookmarkEnd w:id="126"/>
    </w:p>
    <w:p w:rsidR="00203A34" w:rsidRDefault="009420AF" w:rsidP="00E918B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r w:rsidRPr="00B675E6">
        <w:t>T</w:t>
      </w:r>
      <w:r w:rsidR="00AC5115" w:rsidRPr="00B675E6">
        <w:t xml:space="preserve">he </w:t>
      </w:r>
      <w:r w:rsidR="007933C5">
        <w:t>p</w:t>
      </w:r>
      <w:r w:rsidR="00AC5115" w:rsidRPr="00B675E6">
        <w:t xml:space="preserve">roposed </w:t>
      </w:r>
      <w:r w:rsidR="00AC5115" w:rsidRPr="009F7869">
        <w:t>burden</w:t>
      </w:r>
      <w:r w:rsidR="00AC5115" w:rsidRPr="00E917F6">
        <w:t xml:space="preserve"> is </w:t>
      </w:r>
      <w:r w:rsidR="009D3EB6">
        <w:t>1,800</w:t>
      </w:r>
      <w:r w:rsidR="00CC4F61" w:rsidRPr="00E917F6">
        <w:t xml:space="preserve"> hours</w:t>
      </w:r>
      <w:r w:rsidR="00E918BA">
        <w:t xml:space="preserve">.  For additional information see Table </w:t>
      </w:r>
      <w:r w:rsidR="00F41614">
        <w:t>4</w:t>
      </w:r>
      <w:r w:rsidR="00E918BA">
        <w:t>, below.</w:t>
      </w:r>
    </w:p>
    <w:p w:rsidR="00093E9F" w:rsidRDefault="00093E9F">
      <w:pPr>
        <w:tabs>
          <w:tab w:val="clear" w:pos="360"/>
        </w:tabs>
        <w:spacing w:before="0" w:after="0" w:afterAutospacing="0"/>
        <w:jc w:val="left"/>
      </w:pPr>
    </w:p>
    <w:p w:rsidR="004C273D" w:rsidRDefault="00D73CEC" w:rsidP="007D587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20" w:afterAutospacing="0"/>
        <w:rPr>
          <w:color w:val="000000"/>
        </w:rPr>
      </w:pPr>
      <w:r w:rsidRPr="00D73CEC">
        <w:rPr>
          <w:b/>
          <w:color w:val="000000"/>
        </w:rPr>
        <w:t xml:space="preserve">Table </w:t>
      </w:r>
      <w:r w:rsidR="00F41614">
        <w:rPr>
          <w:b/>
          <w:color w:val="000000"/>
        </w:rPr>
        <w:t>4</w:t>
      </w:r>
      <w:r w:rsidRPr="00D73CEC">
        <w:rPr>
          <w:b/>
          <w:color w:val="000000"/>
        </w:rPr>
        <w:t>. Change in Annual Burden Hours</w:t>
      </w:r>
    </w:p>
    <w:tbl>
      <w:tblPr>
        <w:tblW w:w="8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Change w:id="127" w:author="Jennings, Alethea" w:date="2015-08-27T17:07:00Z">
          <w:tblPr>
            <w:tblW w:w="846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PrChange>
      </w:tblPr>
      <w:tblGrid>
        <w:gridCol w:w="1530"/>
        <w:gridCol w:w="1080"/>
        <w:gridCol w:w="900"/>
        <w:gridCol w:w="4950"/>
        <w:tblGridChange w:id="128">
          <w:tblGrid>
            <w:gridCol w:w="1530"/>
            <w:gridCol w:w="1080"/>
            <w:gridCol w:w="900"/>
            <w:gridCol w:w="4950"/>
          </w:tblGrid>
        </w:tblGridChange>
      </w:tblGrid>
      <w:tr w:rsidR="00E1757A" w:rsidRPr="009D3EB6" w:rsidTr="00090CD5">
        <w:trPr>
          <w:trHeight w:val="691"/>
          <w:tblHeader/>
          <w:trPrChange w:id="129" w:author="Jennings, Alethea" w:date="2015-08-27T17:07:00Z">
            <w:trPr>
              <w:trHeight w:val="691"/>
              <w:tblHeader/>
            </w:trPr>
          </w:trPrChange>
        </w:trPr>
        <w:tc>
          <w:tcPr>
            <w:tcW w:w="1530" w:type="dxa"/>
            <w:shd w:val="clear" w:color="auto" w:fill="DDD9C3" w:themeFill="background2" w:themeFillShade="E6"/>
            <w:noWrap/>
            <w:vAlign w:val="center"/>
            <w:tcPrChange w:id="130" w:author="Jennings, Alethea" w:date="2015-08-27T17:07:00Z">
              <w:tcPr>
                <w:tcW w:w="1530" w:type="dxa"/>
                <w:shd w:val="clear" w:color="auto" w:fill="DDD9C3" w:themeFill="background2" w:themeFillShade="E6"/>
                <w:noWrap/>
                <w:vAlign w:val="center"/>
              </w:tcPr>
            </w:tcPrChange>
          </w:tcPr>
          <w:p w:rsidR="00E1757A" w:rsidRPr="009D3EB6" w:rsidRDefault="00E1757A" w:rsidP="009F448B">
            <w:pPr>
              <w:spacing w:before="40" w:after="40"/>
              <w:jc w:val="center"/>
              <w:rPr>
                <w:b/>
                <w:bCs/>
                <w:sz w:val="20"/>
                <w:szCs w:val="20"/>
              </w:rPr>
            </w:pPr>
            <w:bookmarkStart w:id="131" w:name="_Toc524334505"/>
            <w:bookmarkStart w:id="132" w:name="_Toc524334587"/>
            <w:bookmarkStart w:id="133" w:name="_Toc524334734"/>
            <w:bookmarkStart w:id="134" w:name="_Toc524334927"/>
            <w:bookmarkStart w:id="135" w:name="_Toc309722618"/>
            <w:bookmarkStart w:id="136" w:name="_Toc318697088"/>
            <w:r w:rsidRPr="009D3EB6">
              <w:rPr>
                <w:b/>
                <w:bCs/>
                <w:sz w:val="20"/>
                <w:szCs w:val="20"/>
              </w:rPr>
              <w:t>EIA Form Number</w:t>
            </w:r>
          </w:p>
        </w:tc>
        <w:tc>
          <w:tcPr>
            <w:tcW w:w="1080" w:type="dxa"/>
            <w:shd w:val="clear" w:color="auto" w:fill="DDD9C3" w:themeFill="background2" w:themeFillShade="E6"/>
            <w:vAlign w:val="center"/>
            <w:tcPrChange w:id="137" w:author="Jennings, Alethea" w:date="2015-08-27T17:07:00Z">
              <w:tcPr>
                <w:tcW w:w="1080" w:type="dxa"/>
                <w:shd w:val="clear" w:color="auto" w:fill="DDD9C3" w:themeFill="background2" w:themeFillShade="E6"/>
                <w:vAlign w:val="center"/>
              </w:tcPr>
            </w:tcPrChange>
          </w:tcPr>
          <w:p w:rsidR="00E1757A" w:rsidRPr="009D3EB6" w:rsidRDefault="00E1757A" w:rsidP="006A562E">
            <w:pPr>
              <w:spacing w:before="40" w:after="40"/>
              <w:jc w:val="center"/>
              <w:rPr>
                <w:b/>
                <w:bCs/>
                <w:sz w:val="20"/>
                <w:szCs w:val="20"/>
              </w:rPr>
            </w:pPr>
            <w:r w:rsidRPr="009D3EB6">
              <w:rPr>
                <w:b/>
                <w:bCs/>
                <w:sz w:val="20"/>
                <w:szCs w:val="20"/>
              </w:rPr>
              <w:t>Burden (hours)</w:t>
            </w:r>
          </w:p>
        </w:tc>
        <w:tc>
          <w:tcPr>
            <w:tcW w:w="900" w:type="dxa"/>
            <w:shd w:val="clear" w:color="auto" w:fill="DDD9C3" w:themeFill="background2" w:themeFillShade="E6"/>
            <w:vAlign w:val="center"/>
            <w:tcPrChange w:id="138" w:author="Jennings, Alethea" w:date="2015-08-27T17:07:00Z">
              <w:tcPr>
                <w:tcW w:w="900" w:type="dxa"/>
                <w:shd w:val="clear" w:color="auto" w:fill="DDD9C3" w:themeFill="background2" w:themeFillShade="E6"/>
                <w:vAlign w:val="center"/>
              </w:tcPr>
            </w:tcPrChange>
          </w:tcPr>
          <w:p w:rsidR="00E1757A" w:rsidRPr="009D3EB6" w:rsidRDefault="00E1757A" w:rsidP="009F448B">
            <w:pPr>
              <w:spacing w:before="40" w:after="40"/>
              <w:jc w:val="center"/>
              <w:rPr>
                <w:b/>
                <w:bCs/>
                <w:sz w:val="20"/>
                <w:szCs w:val="20"/>
              </w:rPr>
            </w:pPr>
            <w:r w:rsidRPr="009D3EB6">
              <w:rPr>
                <w:b/>
                <w:bCs/>
                <w:sz w:val="20"/>
                <w:szCs w:val="20"/>
              </w:rPr>
              <w:t>Change (hours)</w:t>
            </w:r>
          </w:p>
        </w:tc>
        <w:tc>
          <w:tcPr>
            <w:tcW w:w="4950" w:type="dxa"/>
            <w:shd w:val="clear" w:color="auto" w:fill="DDD9C3" w:themeFill="background2" w:themeFillShade="E6"/>
            <w:vAlign w:val="center"/>
            <w:tcPrChange w:id="139" w:author="Jennings, Alethea" w:date="2015-08-27T17:07:00Z">
              <w:tcPr>
                <w:tcW w:w="4950" w:type="dxa"/>
                <w:shd w:val="clear" w:color="auto" w:fill="DDD9C3" w:themeFill="background2" w:themeFillShade="E6"/>
                <w:vAlign w:val="center"/>
              </w:tcPr>
            </w:tcPrChange>
          </w:tcPr>
          <w:p w:rsidR="00E1757A" w:rsidRPr="009D3EB6" w:rsidRDefault="00E1757A" w:rsidP="009F448B">
            <w:pPr>
              <w:spacing w:before="40" w:after="40"/>
              <w:jc w:val="center"/>
              <w:rPr>
                <w:b/>
                <w:bCs/>
                <w:sz w:val="20"/>
                <w:szCs w:val="20"/>
              </w:rPr>
            </w:pPr>
            <w:r w:rsidRPr="009D3EB6">
              <w:rPr>
                <w:b/>
                <w:bCs/>
                <w:sz w:val="20"/>
                <w:szCs w:val="20"/>
              </w:rPr>
              <w:t>Reason for Change</w:t>
            </w:r>
          </w:p>
        </w:tc>
      </w:tr>
      <w:tr w:rsidR="00E1757A" w:rsidRPr="009D3EB6" w:rsidTr="00090CD5">
        <w:trPr>
          <w:cantSplit/>
          <w:trHeight w:val="610"/>
          <w:trPrChange w:id="140" w:author="Jennings, Alethea" w:date="2015-08-27T17:07:00Z">
            <w:trPr>
              <w:cantSplit/>
              <w:trHeight w:val="610"/>
            </w:trPr>
          </w:trPrChange>
        </w:trPr>
        <w:tc>
          <w:tcPr>
            <w:tcW w:w="1530" w:type="dxa"/>
            <w:shd w:val="clear" w:color="auto" w:fill="auto"/>
            <w:vAlign w:val="center"/>
            <w:tcPrChange w:id="141" w:author="Jennings, Alethea" w:date="2015-08-27T17:07:00Z">
              <w:tcPr>
                <w:tcW w:w="1530" w:type="dxa"/>
                <w:shd w:val="clear" w:color="auto" w:fill="auto"/>
                <w:vAlign w:val="center"/>
              </w:tcPr>
            </w:tcPrChange>
          </w:tcPr>
          <w:p w:rsidR="00E1757A" w:rsidRPr="009D3EB6" w:rsidRDefault="00E1757A" w:rsidP="007933C5">
            <w:pPr>
              <w:spacing w:before="40" w:after="40"/>
              <w:jc w:val="center"/>
              <w:rPr>
                <w:rFonts w:asciiTheme="minorHAnsi" w:hAnsiTheme="minorHAnsi" w:cstheme="minorHAnsi"/>
                <w:b/>
                <w:bCs/>
                <w:sz w:val="18"/>
                <w:szCs w:val="18"/>
              </w:rPr>
            </w:pPr>
            <w:r w:rsidRPr="009D3EB6">
              <w:rPr>
                <w:rFonts w:asciiTheme="minorHAnsi" w:hAnsiTheme="minorHAnsi" w:cstheme="minorHAnsi"/>
                <w:b/>
                <w:bCs/>
                <w:sz w:val="18"/>
                <w:szCs w:val="18"/>
              </w:rPr>
              <w:t>EIA-</w:t>
            </w:r>
            <w:r w:rsidR="009D3EB6" w:rsidRPr="009D3EB6">
              <w:rPr>
                <w:rFonts w:asciiTheme="minorHAnsi" w:hAnsiTheme="minorHAnsi" w:cstheme="minorHAnsi"/>
                <w:b/>
                <w:bCs/>
                <w:sz w:val="18"/>
                <w:szCs w:val="18"/>
              </w:rPr>
              <w:t>63C</w:t>
            </w:r>
          </w:p>
        </w:tc>
        <w:tc>
          <w:tcPr>
            <w:tcW w:w="1080" w:type="dxa"/>
            <w:shd w:val="clear" w:color="auto" w:fill="auto"/>
            <w:vAlign w:val="center"/>
            <w:tcPrChange w:id="142" w:author="Jennings, Alethea" w:date="2015-08-27T17:07:00Z">
              <w:tcPr>
                <w:tcW w:w="1080" w:type="dxa"/>
                <w:shd w:val="clear" w:color="auto" w:fill="auto"/>
                <w:vAlign w:val="center"/>
              </w:tcPr>
            </w:tcPrChange>
          </w:tcPr>
          <w:p w:rsidR="00E1757A" w:rsidRPr="00405C41" w:rsidRDefault="003A55EC" w:rsidP="003A55EC">
            <w:pPr>
              <w:spacing w:before="40" w:after="40"/>
              <w:jc w:val="center"/>
              <w:rPr>
                <w:rFonts w:asciiTheme="minorHAnsi" w:hAnsiTheme="minorHAnsi" w:cstheme="minorHAnsi"/>
                <w:sz w:val="18"/>
                <w:szCs w:val="18"/>
              </w:rPr>
            </w:pPr>
            <w:r w:rsidRPr="00405C41">
              <w:rPr>
                <w:rFonts w:asciiTheme="minorHAnsi" w:hAnsiTheme="minorHAnsi" w:cstheme="minorHAnsi"/>
                <w:sz w:val="18"/>
                <w:szCs w:val="18"/>
              </w:rPr>
              <w:t>27</w:t>
            </w:r>
            <w:r w:rsidR="009D3EB6" w:rsidRPr="00405C41">
              <w:rPr>
                <w:rFonts w:asciiTheme="minorHAnsi" w:hAnsiTheme="minorHAnsi" w:cstheme="minorHAnsi"/>
                <w:sz w:val="18"/>
                <w:szCs w:val="18"/>
              </w:rPr>
              <w:t>00</w:t>
            </w:r>
          </w:p>
        </w:tc>
        <w:tc>
          <w:tcPr>
            <w:tcW w:w="900" w:type="dxa"/>
            <w:shd w:val="clear" w:color="auto" w:fill="auto"/>
            <w:vAlign w:val="center"/>
            <w:tcPrChange w:id="143" w:author="Jennings, Alethea" w:date="2015-08-27T17:07:00Z">
              <w:tcPr>
                <w:tcW w:w="900" w:type="dxa"/>
                <w:shd w:val="clear" w:color="auto" w:fill="auto"/>
                <w:vAlign w:val="center"/>
              </w:tcPr>
            </w:tcPrChange>
          </w:tcPr>
          <w:p w:rsidR="00E1757A" w:rsidRPr="00405C41" w:rsidRDefault="003A55EC" w:rsidP="003A55EC">
            <w:pPr>
              <w:spacing w:before="40" w:after="40"/>
              <w:jc w:val="center"/>
              <w:rPr>
                <w:rFonts w:asciiTheme="minorHAnsi" w:hAnsiTheme="minorHAnsi" w:cstheme="minorHAnsi"/>
                <w:sz w:val="18"/>
                <w:szCs w:val="18"/>
              </w:rPr>
            </w:pPr>
            <w:r w:rsidRPr="00405C41">
              <w:rPr>
                <w:rFonts w:asciiTheme="minorHAnsi" w:hAnsiTheme="minorHAnsi" w:cstheme="minorHAnsi"/>
                <w:sz w:val="18"/>
                <w:szCs w:val="18"/>
              </w:rPr>
              <w:t>27</w:t>
            </w:r>
            <w:r w:rsidR="009D3EB6" w:rsidRPr="00405C41">
              <w:rPr>
                <w:rFonts w:asciiTheme="minorHAnsi" w:hAnsiTheme="minorHAnsi" w:cstheme="minorHAnsi"/>
                <w:sz w:val="18"/>
                <w:szCs w:val="18"/>
              </w:rPr>
              <w:t>00</w:t>
            </w:r>
          </w:p>
        </w:tc>
        <w:tc>
          <w:tcPr>
            <w:tcW w:w="4950" w:type="dxa"/>
            <w:shd w:val="clear" w:color="auto" w:fill="auto"/>
            <w:vAlign w:val="center"/>
            <w:tcPrChange w:id="144" w:author="Jennings, Alethea" w:date="2015-08-27T17:07:00Z">
              <w:tcPr>
                <w:tcW w:w="4950" w:type="dxa"/>
                <w:shd w:val="clear" w:color="auto" w:fill="auto"/>
                <w:vAlign w:val="center"/>
              </w:tcPr>
            </w:tcPrChange>
          </w:tcPr>
          <w:p w:rsidR="00E1757A" w:rsidRPr="00405C41" w:rsidRDefault="00E1757A" w:rsidP="009020D6">
            <w:pPr>
              <w:spacing w:before="40" w:after="40"/>
              <w:jc w:val="center"/>
              <w:rPr>
                <w:rFonts w:asciiTheme="minorHAnsi" w:hAnsiTheme="minorHAnsi" w:cstheme="minorHAnsi"/>
                <w:sz w:val="18"/>
                <w:szCs w:val="18"/>
              </w:rPr>
            </w:pPr>
            <w:r w:rsidRPr="00405C41">
              <w:rPr>
                <w:rFonts w:asciiTheme="minorHAnsi" w:hAnsiTheme="minorHAnsi" w:cstheme="minorHAnsi"/>
                <w:sz w:val="18"/>
                <w:szCs w:val="18"/>
              </w:rPr>
              <w:t>New collection</w:t>
            </w:r>
          </w:p>
        </w:tc>
      </w:tr>
    </w:tbl>
    <w:p w:rsidR="004C273D" w:rsidRPr="009D3EB6" w:rsidRDefault="00A95FE0">
      <w:pPr>
        <w:pStyle w:val="Heading2"/>
      </w:pPr>
      <w:bookmarkStart w:id="145" w:name="_Toc355777398"/>
      <w:bookmarkStart w:id="146" w:name="_Toc355777724"/>
      <w:bookmarkStart w:id="147" w:name="_Toc401669373"/>
      <w:bookmarkStart w:id="148" w:name="_Toc421114950"/>
      <w:r w:rsidRPr="009D3EB6">
        <w:t>Collection, Tabulation, and Publication Plans</w:t>
      </w:r>
      <w:bookmarkEnd w:id="131"/>
      <w:bookmarkEnd w:id="132"/>
      <w:bookmarkEnd w:id="133"/>
      <w:bookmarkEnd w:id="134"/>
      <w:bookmarkEnd w:id="135"/>
      <w:bookmarkEnd w:id="136"/>
      <w:bookmarkEnd w:id="145"/>
      <w:bookmarkEnd w:id="146"/>
      <w:bookmarkEnd w:id="147"/>
      <w:bookmarkEnd w:id="148"/>
    </w:p>
    <w:p w:rsidR="00BD4C3A" w:rsidRDefault="00961491" w:rsidP="00793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D3EB6">
        <w:rPr>
          <w:rFonts w:cstheme="minorHAnsi"/>
        </w:rPr>
        <w:t xml:space="preserve">The data collected on the </w:t>
      </w:r>
      <w:r w:rsidR="00BA3F74" w:rsidRPr="009D3EB6">
        <w:rPr>
          <w:rFonts w:cstheme="minorHAnsi"/>
        </w:rPr>
        <w:t xml:space="preserve">survey in this package </w:t>
      </w:r>
      <w:r w:rsidR="007933C5" w:rsidRPr="009D3EB6">
        <w:rPr>
          <w:rFonts w:cstheme="minorHAnsi"/>
        </w:rPr>
        <w:t>will be</w:t>
      </w:r>
      <w:r w:rsidR="00730361" w:rsidRPr="009D3EB6">
        <w:rPr>
          <w:rFonts w:cstheme="minorHAnsi"/>
        </w:rPr>
        <w:t xml:space="preserve"> released in EIA reports and </w:t>
      </w:r>
      <w:r w:rsidR="007933C5" w:rsidRPr="009D3EB6">
        <w:rPr>
          <w:rFonts w:cstheme="minorHAnsi"/>
        </w:rPr>
        <w:t>be</w:t>
      </w:r>
      <w:r w:rsidR="00730361" w:rsidRPr="009D3EB6">
        <w:rPr>
          <w:rFonts w:cstheme="minorHAnsi"/>
        </w:rPr>
        <w:t xml:space="preserve"> available on the EIA website.  Detailed information on the data elements collected on each form and their associated collection, tabulation, and </w:t>
      </w:r>
      <w:r w:rsidR="006B11C7" w:rsidRPr="009D3EB6">
        <w:rPr>
          <w:rFonts w:cstheme="minorHAnsi"/>
        </w:rPr>
        <w:t xml:space="preserve">representative </w:t>
      </w:r>
      <w:r w:rsidR="00730361" w:rsidRPr="009D3EB6">
        <w:rPr>
          <w:rFonts w:cstheme="minorHAnsi"/>
        </w:rPr>
        <w:t xml:space="preserve">publication time schedules are contained in Tables </w:t>
      </w:r>
      <w:r w:rsidR="00F41614">
        <w:rPr>
          <w:rFonts w:cstheme="minorHAnsi"/>
        </w:rPr>
        <w:t>5</w:t>
      </w:r>
      <w:r w:rsidR="00730361" w:rsidRPr="009D3EB6">
        <w:rPr>
          <w:rFonts w:cstheme="minorHAnsi"/>
        </w:rPr>
        <w:t xml:space="preserve"> and </w:t>
      </w:r>
      <w:r w:rsidR="00F41614">
        <w:rPr>
          <w:rFonts w:cstheme="minorHAnsi"/>
        </w:rPr>
        <w:t>6</w:t>
      </w:r>
      <w:r w:rsidR="00730361" w:rsidRPr="009D3EB6">
        <w:rPr>
          <w:rFonts w:cstheme="minorHAnsi"/>
        </w:rPr>
        <w:t>, respectively</w:t>
      </w:r>
      <w:r w:rsidRPr="009D3EB6">
        <w:rPr>
          <w:rFonts w:cstheme="minorHAnsi"/>
        </w:rPr>
        <w:t>.</w:t>
      </w:r>
      <w:r w:rsidR="00332862" w:rsidRPr="009D3EB6">
        <w:rPr>
          <w:rFonts w:cstheme="minorHAnsi"/>
        </w:rPr>
        <w:t xml:space="preserve">  </w:t>
      </w:r>
      <w:bookmarkStart w:id="149" w:name="_GoBack"/>
      <w:bookmarkEnd w:id="149"/>
    </w:p>
    <w:p w:rsidR="00C14AB1" w:rsidRDefault="00C14AB1">
      <w:pPr>
        <w:tabs>
          <w:tab w:val="clear" w:pos="360"/>
        </w:tabs>
        <w:spacing w:before="0" w:after="0" w:afterAutospacing="0"/>
        <w:jc w:val="left"/>
        <w:rPr>
          <w:rFonts w:cstheme="minorHAnsi"/>
          <w:b/>
          <w:color w:val="FF0000"/>
        </w:rPr>
      </w:pPr>
    </w:p>
    <w:p w:rsidR="004C273D" w:rsidRDefault="009621B7">
      <w:pPr>
        <w:spacing w:before="0" w:after="120" w:afterAutospacing="0"/>
        <w:rPr>
          <w:b/>
        </w:rPr>
      </w:pPr>
      <w:bookmarkStart w:id="150" w:name="_Toc524420604"/>
      <w:bookmarkStart w:id="151" w:name="_Toc261607422"/>
      <w:r w:rsidRPr="009621B7">
        <w:rPr>
          <w:b/>
        </w:rPr>
        <w:t xml:space="preserve">Table </w:t>
      </w:r>
      <w:r w:rsidR="00F41614">
        <w:rPr>
          <w:b/>
        </w:rPr>
        <w:t>5</w:t>
      </w:r>
      <w:r w:rsidRPr="009621B7">
        <w:rPr>
          <w:b/>
        </w:rPr>
        <w:t>.  Proposed Data Collection</w:t>
      </w:r>
      <w:bookmarkEnd w:id="150"/>
      <w:bookmarkEnd w:id="151"/>
      <w:r w:rsidR="009D3EB6">
        <w:rPr>
          <w:b/>
        </w:rPr>
        <w:t>, Form EIA-63C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4474"/>
      </w:tblGrid>
      <w:tr w:rsidR="007933C5" w:rsidRPr="0042496A" w:rsidTr="009020D6">
        <w:trPr>
          <w:cantSplit/>
          <w:trHeight w:val="259"/>
          <w:tblHeader/>
        </w:trPr>
        <w:tc>
          <w:tcPr>
            <w:tcW w:w="2664" w:type="pct"/>
            <w:shd w:val="clear" w:color="auto" w:fill="DDD9C3"/>
            <w:vAlign w:val="center"/>
          </w:tcPr>
          <w:p w:rsidR="007933C5" w:rsidRPr="0042496A" w:rsidRDefault="007933C5" w:rsidP="00C05F5C">
            <w:pPr>
              <w:tabs>
                <w:tab w:val="clear" w:pos="360"/>
              </w:tabs>
              <w:spacing w:before="0" w:after="0" w:afterAutospacing="0"/>
              <w:jc w:val="center"/>
              <w:rPr>
                <w:rFonts w:asciiTheme="minorHAnsi" w:eastAsia="Times New Roman" w:hAnsiTheme="minorHAnsi"/>
                <w:b/>
                <w:bCs/>
                <w:sz w:val="20"/>
                <w:szCs w:val="20"/>
              </w:rPr>
            </w:pPr>
            <w:r w:rsidRPr="009621B7">
              <w:rPr>
                <w:rFonts w:asciiTheme="minorHAnsi" w:eastAsia="Times New Roman" w:hAnsiTheme="minorHAnsi"/>
                <w:b/>
                <w:bCs/>
                <w:sz w:val="20"/>
                <w:szCs w:val="20"/>
              </w:rPr>
              <w:t>Elements Collected</w:t>
            </w:r>
          </w:p>
        </w:tc>
        <w:tc>
          <w:tcPr>
            <w:tcW w:w="2336" w:type="pct"/>
            <w:shd w:val="clear" w:color="auto" w:fill="DDD9C3"/>
            <w:vAlign w:val="center"/>
          </w:tcPr>
          <w:p w:rsidR="007933C5" w:rsidRPr="0042496A" w:rsidRDefault="007933C5" w:rsidP="00643F29">
            <w:pPr>
              <w:tabs>
                <w:tab w:val="clear" w:pos="360"/>
              </w:tabs>
              <w:spacing w:before="0" w:after="0" w:afterAutospacing="0"/>
              <w:jc w:val="center"/>
              <w:rPr>
                <w:rFonts w:asciiTheme="minorHAnsi" w:eastAsia="Times New Roman" w:hAnsiTheme="minorHAnsi"/>
                <w:b/>
                <w:bCs/>
                <w:sz w:val="20"/>
                <w:szCs w:val="20"/>
              </w:rPr>
            </w:pPr>
            <w:r w:rsidRPr="009621B7">
              <w:rPr>
                <w:rFonts w:asciiTheme="minorHAnsi" w:eastAsia="Times New Roman" w:hAnsiTheme="minorHAnsi"/>
                <w:b/>
                <w:bCs/>
                <w:sz w:val="20"/>
                <w:szCs w:val="20"/>
              </w:rPr>
              <w:t>Level of</w:t>
            </w:r>
            <w:r w:rsidR="00C05F5C">
              <w:rPr>
                <w:rFonts w:asciiTheme="minorHAnsi" w:eastAsia="Times New Roman" w:hAnsiTheme="minorHAnsi"/>
                <w:b/>
                <w:bCs/>
                <w:sz w:val="20"/>
                <w:szCs w:val="20"/>
              </w:rPr>
              <w:t xml:space="preserve"> </w:t>
            </w:r>
            <w:r w:rsidR="00643F29">
              <w:rPr>
                <w:rFonts w:asciiTheme="minorHAnsi" w:eastAsia="Times New Roman" w:hAnsiTheme="minorHAnsi"/>
                <w:b/>
                <w:bCs/>
                <w:sz w:val="20"/>
                <w:szCs w:val="20"/>
              </w:rPr>
              <w:t>Detail</w:t>
            </w:r>
          </w:p>
        </w:tc>
      </w:tr>
      <w:tr w:rsidR="00E1757A" w:rsidRPr="0042496A" w:rsidTr="009020D6">
        <w:trPr>
          <w:cantSplit/>
          <w:trHeight w:val="432"/>
        </w:trPr>
        <w:tc>
          <w:tcPr>
            <w:tcW w:w="2664" w:type="pct"/>
            <w:tcBorders>
              <w:top w:val="single" w:sz="4" w:space="0" w:color="auto"/>
              <w:left w:val="single" w:sz="4" w:space="0" w:color="auto"/>
              <w:bottom w:val="single" w:sz="4" w:space="0" w:color="auto"/>
              <w:right w:val="single" w:sz="4" w:space="0" w:color="auto"/>
            </w:tcBorders>
            <w:vAlign w:val="center"/>
          </w:tcPr>
          <w:p w:rsidR="00E1757A" w:rsidRDefault="00E1757A" w:rsidP="00133FA2">
            <w:pPr>
              <w:rPr>
                <w:rFonts w:asciiTheme="minorHAnsi" w:hAnsiTheme="minorHAnsi"/>
                <w:sz w:val="20"/>
                <w:szCs w:val="20"/>
              </w:rPr>
            </w:pPr>
            <w:r>
              <w:rPr>
                <w:rFonts w:asciiTheme="minorHAnsi" w:hAnsiTheme="minorHAnsi"/>
                <w:sz w:val="20"/>
                <w:szCs w:val="20"/>
              </w:rPr>
              <w:t>Name and Location of Facility</w:t>
            </w:r>
          </w:p>
        </w:tc>
        <w:tc>
          <w:tcPr>
            <w:tcW w:w="2336" w:type="pct"/>
            <w:tcBorders>
              <w:top w:val="single" w:sz="4" w:space="0" w:color="auto"/>
              <w:left w:val="single" w:sz="4" w:space="0" w:color="auto"/>
              <w:bottom w:val="single" w:sz="4" w:space="0" w:color="auto"/>
              <w:right w:val="single" w:sz="4" w:space="0" w:color="auto"/>
            </w:tcBorders>
            <w:vAlign w:val="center"/>
          </w:tcPr>
          <w:p w:rsidR="00E1757A" w:rsidRPr="00E4636C" w:rsidRDefault="006B11C7" w:rsidP="009020D6">
            <w:pPr>
              <w:jc w:val="left"/>
              <w:rPr>
                <w:rFonts w:asciiTheme="minorHAnsi" w:hAnsiTheme="minorHAnsi"/>
                <w:sz w:val="20"/>
                <w:szCs w:val="20"/>
              </w:rPr>
            </w:pPr>
            <w:r>
              <w:rPr>
                <w:rFonts w:asciiTheme="minorHAnsi" w:hAnsiTheme="minorHAnsi"/>
                <w:sz w:val="20"/>
                <w:szCs w:val="20"/>
              </w:rPr>
              <w:t>Facility Level</w:t>
            </w:r>
          </w:p>
        </w:tc>
      </w:tr>
      <w:tr w:rsidR="007933C5" w:rsidRPr="0042496A" w:rsidTr="009020D6">
        <w:trPr>
          <w:cantSplit/>
          <w:trHeight w:val="432"/>
        </w:trPr>
        <w:tc>
          <w:tcPr>
            <w:tcW w:w="2664" w:type="pct"/>
            <w:tcBorders>
              <w:top w:val="single" w:sz="4" w:space="0" w:color="auto"/>
              <w:left w:val="single" w:sz="4" w:space="0" w:color="auto"/>
              <w:bottom w:val="single" w:sz="4" w:space="0" w:color="auto"/>
              <w:right w:val="single" w:sz="4" w:space="0" w:color="auto"/>
            </w:tcBorders>
            <w:vAlign w:val="center"/>
          </w:tcPr>
          <w:p w:rsidR="007933C5" w:rsidRPr="00E4636C" w:rsidRDefault="00E1757A" w:rsidP="00133FA2">
            <w:pPr>
              <w:rPr>
                <w:rFonts w:asciiTheme="minorHAnsi" w:hAnsiTheme="minorHAnsi"/>
                <w:sz w:val="20"/>
                <w:szCs w:val="20"/>
              </w:rPr>
            </w:pPr>
            <w:r>
              <w:rPr>
                <w:rFonts w:asciiTheme="minorHAnsi" w:hAnsiTheme="minorHAnsi"/>
                <w:sz w:val="20"/>
                <w:szCs w:val="20"/>
              </w:rPr>
              <w:t>Status of Operation</w:t>
            </w:r>
          </w:p>
        </w:tc>
        <w:tc>
          <w:tcPr>
            <w:tcW w:w="2336" w:type="pct"/>
            <w:tcBorders>
              <w:top w:val="single" w:sz="4" w:space="0" w:color="auto"/>
              <w:left w:val="single" w:sz="4" w:space="0" w:color="auto"/>
              <w:bottom w:val="single" w:sz="4" w:space="0" w:color="auto"/>
              <w:right w:val="single" w:sz="4" w:space="0" w:color="auto"/>
            </w:tcBorders>
            <w:vAlign w:val="center"/>
          </w:tcPr>
          <w:p w:rsidR="007933C5" w:rsidRPr="00E4636C" w:rsidRDefault="006B11C7" w:rsidP="009020D6">
            <w:pPr>
              <w:jc w:val="left"/>
              <w:rPr>
                <w:rFonts w:asciiTheme="minorHAnsi" w:hAnsiTheme="minorHAnsi"/>
                <w:sz w:val="20"/>
                <w:szCs w:val="20"/>
              </w:rPr>
            </w:pPr>
            <w:r>
              <w:rPr>
                <w:rFonts w:asciiTheme="minorHAnsi" w:hAnsiTheme="minorHAnsi"/>
                <w:sz w:val="20"/>
                <w:szCs w:val="20"/>
              </w:rPr>
              <w:t>Aggregate by Production Capacity and State/Region</w:t>
            </w:r>
          </w:p>
        </w:tc>
      </w:tr>
      <w:tr w:rsidR="007933C5" w:rsidRPr="0042496A" w:rsidTr="009020D6">
        <w:trPr>
          <w:cantSplit/>
          <w:trHeight w:val="432"/>
        </w:trPr>
        <w:tc>
          <w:tcPr>
            <w:tcW w:w="2664" w:type="pct"/>
            <w:vAlign w:val="center"/>
          </w:tcPr>
          <w:p w:rsidR="007933C5" w:rsidRPr="00E4636C" w:rsidRDefault="00E1757A" w:rsidP="00E4636C">
            <w:pPr>
              <w:rPr>
                <w:rFonts w:asciiTheme="minorHAnsi" w:hAnsiTheme="minorHAnsi"/>
                <w:sz w:val="20"/>
                <w:szCs w:val="20"/>
              </w:rPr>
            </w:pPr>
            <w:r>
              <w:rPr>
                <w:rFonts w:asciiTheme="minorHAnsi" w:hAnsiTheme="minorHAnsi"/>
                <w:sz w:val="20"/>
                <w:szCs w:val="20"/>
              </w:rPr>
              <w:t>Month/Year of Commercial Operation</w:t>
            </w:r>
          </w:p>
        </w:tc>
        <w:tc>
          <w:tcPr>
            <w:tcW w:w="2336" w:type="pct"/>
            <w:vAlign w:val="center"/>
          </w:tcPr>
          <w:p w:rsidR="007933C5" w:rsidRPr="00E4636C" w:rsidRDefault="006B11C7" w:rsidP="009020D6">
            <w:pPr>
              <w:jc w:val="left"/>
              <w:rPr>
                <w:rFonts w:asciiTheme="minorHAnsi" w:hAnsiTheme="minorHAnsi"/>
                <w:sz w:val="20"/>
                <w:szCs w:val="20"/>
              </w:rPr>
            </w:pPr>
            <w:r>
              <w:rPr>
                <w:rFonts w:asciiTheme="minorHAnsi" w:hAnsiTheme="minorHAnsi"/>
                <w:sz w:val="20"/>
                <w:szCs w:val="20"/>
              </w:rPr>
              <w:t>Aggregate by Production Capacity and State/Region</w:t>
            </w:r>
          </w:p>
        </w:tc>
      </w:tr>
      <w:tr w:rsidR="007933C5" w:rsidRPr="00D1701A" w:rsidTr="009020D6">
        <w:trPr>
          <w:cantSplit/>
          <w:trHeight w:val="432"/>
        </w:trPr>
        <w:tc>
          <w:tcPr>
            <w:tcW w:w="2664" w:type="pct"/>
            <w:vAlign w:val="center"/>
          </w:tcPr>
          <w:p w:rsidR="007933C5" w:rsidRPr="00E4636C" w:rsidRDefault="00E1757A" w:rsidP="00E4636C">
            <w:pPr>
              <w:rPr>
                <w:rFonts w:asciiTheme="minorHAnsi" w:hAnsiTheme="minorHAnsi"/>
                <w:sz w:val="20"/>
                <w:szCs w:val="20"/>
              </w:rPr>
            </w:pPr>
            <w:r>
              <w:rPr>
                <w:rFonts w:asciiTheme="minorHAnsi" w:hAnsiTheme="minorHAnsi"/>
                <w:sz w:val="20"/>
                <w:szCs w:val="20"/>
              </w:rPr>
              <w:t>Annual Production Capacity</w:t>
            </w:r>
          </w:p>
        </w:tc>
        <w:tc>
          <w:tcPr>
            <w:tcW w:w="2336" w:type="pct"/>
            <w:vAlign w:val="center"/>
          </w:tcPr>
          <w:p w:rsidR="007933C5" w:rsidRPr="00E4636C" w:rsidRDefault="006B11C7" w:rsidP="009020D6">
            <w:pPr>
              <w:jc w:val="left"/>
              <w:rPr>
                <w:rFonts w:asciiTheme="minorHAnsi" w:hAnsiTheme="minorHAnsi"/>
                <w:sz w:val="20"/>
                <w:szCs w:val="20"/>
              </w:rPr>
            </w:pPr>
            <w:r>
              <w:rPr>
                <w:rFonts w:asciiTheme="minorHAnsi" w:hAnsiTheme="minorHAnsi"/>
                <w:sz w:val="20"/>
                <w:szCs w:val="20"/>
              </w:rPr>
              <w:t>Facility Level</w:t>
            </w:r>
          </w:p>
        </w:tc>
      </w:tr>
      <w:tr w:rsidR="007933C5" w:rsidRPr="0042496A" w:rsidTr="009020D6">
        <w:trPr>
          <w:cantSplit/>
          <w:trHeight w:val="432"/>
        </w:trPr>
        <w:tc>
          <w:tcPr>
            <w:tcW w:w="2664" w:type="pct"/>
            <w:vAlign w:val="center"/>
          </w:tcPr>
          <w:p w:rsidR="007933C5" w:rsidRDefault="00E1757A" w:rsidP="008D5246">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Number of Direct Employees</w:t>
            </w:r>
          </w:p>
        </w:tc>
        <w:tc>
          <w:tcPr>
            <w:tcW w:w="2336" w:type="pct"/>
            <w:vAlign w:val="center"/>
          </w:tcPr>
          <w:p w:rsidR="007933C5" w:rsidRPr="0042496A" w:rsidRDefault="006B11C7" w:rsidP="009020D6">
            <w:pPr>
              <w:tabs>
                <w:tab w:val="clear" w:pos="360"/>
              </w:tabs>
              <w:spacing w:before="0" w:after="0" w:afterAutospacing="0"/>
              <w:jc w:val="left"/>
              <w:rPr>
                <w:rFonts w:asciiTheme="minorHAnsi" w:eastAsia="Times New Roman" w:hAnsiTheme="minorHAnsi"/>
                <w:sz w:val="20"/>
                <w:szCs w:val="20"/>
              </w:rPr>
            </w:pPr>
            <w:r>
              <w:rPr>
                <w:rFonts w:asciiTheme="minorHAnsi" w:hAnsiTheme="minorHAnsi"/>
                <w:sz w:val="20"/>
                <w:szCs w:val="20"/>
              </w:rPr>
              <w:t>Aggregate by Production Capacity and State/Region</w:t>
            </w:r>
          </w:p>
        </w:tc>
      </w:tr>
      <w:tr w:rsidR="007933C5" w:rsidRPr="0042496A" w:rsidTr="009020D6">
        <w:trPr>
          <w:cantSplit/>
          <w:trHeight w:val="432"/>
        </w:trPr>
        <w:tc>
          <w:tcPr>
            <w:tcW w:w="2664" w:type="pct"/>
            <w:vAlign w:val="center"/>
          </w:tcPr>
          <w:p w:rsidR="007933C5" w:rsidRDefault="00E1757A" w:rsidP="008D5246">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Feedstock Types/ Cost/Transportation distance and mode</w:t>
            </w:r>
          </w:p>
        </w:tc>
        <w:tc>
          <w:tcPr>
            <w:tcW w:w="2336" w:type="pct"/>
            <w:vAlign w:val="center"/>
          </w:tcPr>
          <w:p w:rsidR="007933C5" w:rsidRPr="0042496A" w:rsidRDefault="006B11C7" w:rsidP="009020D6">
            <w:pPr>
              <w:tabs>
                <w:tab w:val="clear" w:pos="360"/>
              </w:tabs>
              <w:spacing w:before="0" w:after="0" w:afterAutospacing="0"/>
              <w:jc w:val="left"/>
              <w:rPr>
                <w:rFonts w:asciiTheme="minorHAnsi" w:eastAsia="Times New Roman" w:hAnsiTheme="minorHAnsi"/>
                <w:sz w:val="20"/>
                <w:szCs w:val="20"/>
              </w:rPr>
            </w:pPr>
            <w:r>
              <w:rPr>
                <w:rFonts w:asciiTheme="minorHAnsi" w:hAnsiTheme="minorHAnsi"/>
                <w:sz w:val="20"/>
                <w:szCs w:val="20"/>
              </w:rPr>
              <w:t>Aggregate by Production Capacity and State/Region</w:t>
            </w:r>
          </w:p>
        </w:tc>
      </w:tr>
      <w:tr w:rsidR="007933C5" w:rsidRPr="0042496A" w:rsidTr="009020D6">
        <w:trPr>
          <w:cantSplit/>
          <w:trHeight w:val="432"/>
        </w:trPr>
        <w:tc>
          <w:tcPr>
            <w:tcW w:w="2664" w:type="pct"/>
            <w:vAlign w:val="center"/>
          </w:tcPr>
          <w:p w:rsidR="007933C5" w:rsidRDefault="00E1757A" w:rsidP="008D5246">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Product Type, Volume and Characteristics (heat, ash, moisture)</w:t>
            </w:r>
          </w:p>
        </w:tc>
        <w:tc>
          <w:tcPr>
            <w:tcW w:w="2336" w:type="pct"/>
            <w:vAlign w:val="center"/>
          </w:tcPr>
          <w:p w:rsidR="007933C5" w:rsidRPr="0042496A" w:rsidRDefault="006B11C7" w:rsidP="009020D6">
            <w:pPr>
              <w:tabs>
                <w:tab w:val="clear" w:pos="360"/>
              </w:tabs>
              <w:spacing w:before="0" w:after="0" w:afterAutospacing="0"/>
              <w:jc w:val="left"/>
              <w:rPr>
                <w:rFonts w:asciiTheme="minorHAnsi" w:eastAsia="Times New Roman" w:hAnsiTheme="minorHAnsi"/>
                <w:sz w:val="20"/>
                <w:szCs w:val="20"/>
              </w:rPr>
            </w:pPr>
            <w:r>
              <w:rPr>
                <w:rFonts w:asciiTheme="minorHAnsi" w:hAnsiTheme="minorHAnsi"/>
                <w:sz w:val="20"/>
                <w:szCs w:val="20"/>
              </w:rPr>
              <w:t>Aggregate by Production Capacity and State/Region</w:t>
            </w:r>
          </w:p>
        </w:tc>
      </w:tr>
      <w:tr w:rsidR="007933C5" w:rsidRPr="0042496A" w:rsidTr="009020D6">
        <w:trPr>
          <w:cantSplit/>
          <w:trHeight w:val="432"/>
        </w:trPr>
        <w:tc>
          <w:tcPr>
            <w:tcW w:w="2664" w:type="pct"/>
            <w:vAlign w:val="center"/>
          </w:tcPr>
          <w:p w:rsidR="007933C5" w:rsidRDefault="00E1757A" w:rsidP="008D5246">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Inventory Type and Volumes</w:t>
            </w:r>
          </w:p>
        </w:tc>
        <w:tc>
          <w:tcPr>
            <w:tcW w:w="2336" w:type="pct"/>
            <w:vAlign w:val="center"/>
          </w:tcPr>
          <w:p w:rsidR="007933C5" w:rsidRPr="0042496A" w:rsidRDefault="006B11C7" w:rsidP="009020D6">
            <w:pPr>
              <w:tabs>
                <w:tab w:val="clear" w:pos="360"/>
              </w:tabs>
              <w:spacing w:before="0" w:after="0" w:afterAutospacing="0"/>
              <w:jc w:val="left"/>
              <w:rPr>
                <w:rFonts w:asciiTheme="minorHAnsi" w:eastAsia="Times New Roman" w:hAnsiTheme="minorHAnsi"/>
                <w:sz w:val="20"/>
                <w:szCs w:val="20"/>
              </w:rPr>
            </w:pPr>
            <w:r>
              <w:rPr>
                <w:rFonts w:asciiTheme="minorHAnsi" w:hAnsiTheme="minorHAnsi"/>
                <w:sz w:val="20"/>
                <w:szCs w:val="20"/>
              </w:rPr>
              <w:t>Aggregate by Production Capacity and State/Region</w:t>
            </w:r>
          </w:p>
        </w:tc>
      </w:tr>
      <w:tr w:rsidR="007933C5" w:rsidRPr="0042496A" w:rsidTr="009020D6">
        <w:trPr>
          <w:cantSplit/>
          <w:trHeight w:val="432"/>
        </w:trPr>
        <w:tc>
          <w:tcPr>
            <w:tcW w:w="2664" w:type="pct"/>
            <w:vAlign w:val="center"/>
          </w:tcPr>
          <w:p w:rsidR="007933C5" w:rsidRDefault="00E1757A">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Domestic Sales by Product Type, Retail/Wholesale and Associated Revenues</w:t>
            </w:r>
          </w:p>
        </w:tc>
        <w:tc>
          <w:tcPr>
            <w:tcW w:w="2336" w:type="pct"/>
            <w:vAlign w:val="center"/>
          </w:tcPr>
          <w:p w:rsidR="007933C5" w:rsidRPr="0042496A" w:rsidRDefault="006B11C7" w:rsidP="009020D6">
            <w:pPr>
              <w:tabs>
                <w:tab w:val="clear" w:pos="360"/>
              </w:tabs>
              <w:spacing w:before="0" w:after="0" w:afterAutospacing="0"/>
              <w:jc w:val="left"/>
              <w:rPr>
                <w:rFonts w:asciiTheme="minorHAnsi" w:eastAsia="Times New Roman" w:hAnsiTheme="minorHAnsi"/>
                <w:sz w:val="20"/>
                <w:szCs w:val="20"/>
              </w:rPr>
            </w:pPr>
            <w:r>
              <w:rPr>
                <w:rFonts w:asciiTheme="minorHAnsi" w:hAnsiTheme="minorHAnsi"/>
                <w:sz w:val="20"/>
                <w:szCs w:val="20"/>
              </w:rPr>
              <w:t>Aggregate by Production Capacity and State/Region</w:t>
            </w:r>
          </w:p>
        </w:tc>
      </w:tr>
      <w:tr w:rsidR="007933C5" w:rsidRPr="0042496A" w:rsidTr="009020D6">
        <w:trPr>
          <w:cantSplit/>
          <w:trHeight w:val="432"/>
        </w:trPr>
        <w:tc>
          <w:tcPr>
            <w:tcW w:w="2664" w:type="pct"/>
            <w:vAlign w:val="center"/>
          </w:tcPr>
          <w:p w:rsidR="007933C5" w:rsidRDefault="00E1757A">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Export Sales by Product Type, Retail/Wholesale, Associated Revenues, Export Port and Destination Countries</w:t>
            </w:r>
          </w:p>
        </w:tc>
        <w:tc>
          <w:tcPr>
            <w:tcW w:w="2336" w:type="pct"/>
            <w:vAlign w:val="center"/>
          </w:tcPr>
          <w:p w:rsidR="007933C5" w:rsidRPr="0042496A" w:rsidRDefault="006B11C7" w:rsidP="009020D6">
            <w:pPr>
              <w:tabs>
                <w:tab w:val="clear" w:pos="360"/>
              </w:tabs>
              <w:spacing w:before="0" w:after="0" w:afterAutospacing="0"/>
              <w:jc w:val="left"/>
              <w:rPr>
                <w:rFonts w:asciiTheme="minorHAnsi" w:eastAsia="Times New Roman" w:hAnsiTheme="minorHAnsi"/>
                <w:sz w:val="20"/>
                <w:szCs w:val="20"/>
              </w:rPr>
            </w:pPr>
            <w:r>
              <w:rPr>
                <w:rFonts w:asciiTheme="minorHAnsi" w:hAnsiTheme="minorHAnsi"/>
                <w:sz w:val="20"/>
                <w:szCs w:val="20"/>
              </w:rPr>
              <w:t>Aggregate by Production Capacity and State/Region</w:t>
            </w:r>
          </w:p>
        </w:tc>
      </w:tr>
    </w:tbl>
    <w:p w:rsidR="00C14AB1" w:rsidRDefault="00C14AB1" w:rsidP="003D2BEC">
      <w:pPr>
        <w:tabs>
          <w:tab w:val="clear" w:pos="360"/>
          <w:tab w:val="left" w:pos="144"/>
          <w:tab w:val="left" w:pos="1440"/>
          <w:tab w:val="left" w:pos="2304"/>
          <w:tab w:val="left" w:pos="3744"/>
          <w:tab w:val="left" w:pos="5904"/>
          <w:tab w:val="left" w:pos="7056"/>
          <w:tab w:val="left" w:pos="8640"/>
        </w:tabs>
        <w:spacing w:before="0" w:after="0" w:afterAutospacing="0"/>
        <w:rPr>
          <w:rFonts w:ascii="Times New Roman" w:eastAsia="Times New Roman" w:hAnsi="Times New Roman"/>
          <w:b/>
          <w:sz w:val="24"/>
          <w:szCs w:val="20"/>
        </w:rPr>
      </w:pPr>
    </w:p>
    <w:p w:rsidR="00C14AB1" w:rsidRDefault="00C14AB1">
      <w:pPr>
        <w:tabs>
          <w:tab w:val="clear" w:pos="360"/>
        </w:tabs>
        <w:spacing w:before="0" w:after="0" w:afterAutospacing="0"/>
        <w:jc w:val="left"/>
        <w:rPr>
          <w:rFonts w:ascii="Times New Roman" w:eastAsia="Times New Roman" w:hAnsi="Times New Roman"/>
          <w:b/>
          <w:sz w:val="24"/>
          <w:szCs w:val="20"/>
        </w:rPr>
      </w:pPr>
      <w:r>
        <w:rPr>
          <w:rFonts w:ascii="Times New Roman" w:eastAsia="Times New Roman" w:hAnsi="Times New Roman"/>
          <w:b/>
          <w:sz w:val="24"/>
          <w:szCs w:val="20"/>
        </w:rPr>
        <w:br w:type="page"/>
      </w:r>
    </w:p>
    <w:tbl>
      <w:tblPr>
        <w:tblW w:w="10710" w:type="dxa"/>
        <w:tblInd w:w="-432" w:type="dxa"/>
        <w:tblLayout w:type="fixed"/>
        <w:tblLook w:val="04A0" w:firstRow="1" w:lastRow="0" w:firstColumn="1" w:lastColumn="0" w:noHBand="0" w:noVBand="1"/>
      </w:tblPr>
      <w:tblGrid>
        <w:gridCol w:w="1807"/>
        <w:gridCol w:w="1073"/>
        <w:gridCol w:w="1350"/>
        <w:gridCol w:w="1800"/>
        <w:gridCol w:w="1170"/>
        <w:gridCol w:w="1890"/>
        <w:gridCol w:w="1620"/>
      </w:tblGrid>
      <w:tr w:rsidR="00A432C2" w:rsidRPr="006902A3" w:rsidTr="008B0834">
        <w:tc>
          <w:tcPr>
            <w:tcW w:w="10710" w:type="dxa"/>
            <w:gridSpan w:val="7"/>
            <w:tcBorders>
              <w:bottom w:val="single" w:sz="4" w:space="0" w:color="auto"/>
            </w:tcBorders>
            <w:shd w:val="clear" w:color="auto" w:fill="auto"/>
            <w:vAlign w:val="center"/>
          </w:tcPr>
          <w:p w:rsidR="004C273D" w:rsidRPr="007D5E34" w:rsidRDefault="00D73CEC" w:rsidP="00F41614">
            <w:pPr>
              <w:spacing w:after="120" w:afterAutospacing="0"/>
              <w:rPr>
                <w:rFonts w:asciiTheme="minorHAnsi" w:hAnsiTheme="minorHAnsi"/>
                <w:b/>
              </w:rPr>
            </w:pPr>
            <w:r w:rsidRPr="00D73CEC">
              <w:rPr>
                <w:rFonts w:asciiTheme="minorHAnsi" w:hAnsiTheme="minorHAnsi"/>
                <w:b/>
              </w:rPr>
              <w:lastRenderedPageBreak/>
              <w:t xml:space="preserve">Table </w:t>
            </w:r>
            <w:r w:rsidR="00F41614">
              <w:rPr>
                <w:rFonts w:asciiTheme="minorHAnsi" w:hAnsiTheme="minorHAnsi"/>
                <w:b/>
              </w:rPr>
              <w:t>6</w:t>
            </w:r>
            <w:r w:rsidRPr="00D73CEC">
              <w:rPr>
                <w:rFonts w:asciiTheme="minorHAnsi" w:hAnsiTheme="minorHAnsi"/>
                <w:b/>
              </w:rPr>
              <w:t>.  Collection, Tabulation, and Publication Plans</w:t>
            </w:r>
          </w:p>
        </w:tc>
      </w:tr>
      <w:tr w:rsidR="0022662D" w:rsidRPr="006902A3" w:rsidTr="008B0834">
        <w:trPr>
          <w:cantSplit/>
        </w:trPr>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Survey Form</w:t>
            </w:r>
          </w:p>
        </w:tc>
        <w:tc>
          <w:tcPr>
            <w:tcW w:w="10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Data Collection Frequency</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2E5432">
            <w:pPr>
              <w:jc w:val="center"/>
              <w:rPr>
                <w:rFonts w:asciiTheme="minorHAnsi" w:hAnsiTheme="minorHAnsi"/>
                <w:b/>
                <w:sz w:val="18"/>
                <w:szCs w:val="18"/>
              </w:rPr>
            </w:pPr>
            <w:r w:rsidRPr="004D4EA3">
              <w:rPr>
                <w:rFonts w:asciiTheme="minorHAnsi" w:hAnsiTheme="minorHAnsi"/>
                <w:b/>
                <w:sz w:val="18"/>
                <w:szCs w:val="18"/>
              </w:rPr>
              <w:t>Survey Opening Date</w:t>
            </w:r>
          </w:p>
        </w:tc>
        <w:tc>
          <w:tcPr>
            <w:tcW w:w="18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Response Due Date</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BD4C3A">
            <w:pPr>
              <w:jc w:val="center"/>
              <w:rPr>
                <w:rFonts w:asciiTheme="minorHAnsi" w:hAnsiTheme="minorHAnsi"/>
                <w:b/>
                <w:sz w:val="18"/>
                <w:szCs w:val="18"/>
              </w:rPr>
            </w:pPr>
            <w:r w:rsidRPr="004D4EA3">
              <w:rPr>
                <w:rFonts w:asciiTheme="minorHAnsi" w:hAnsiTheme="minorHAnsi"/>
                <w:b/>
                <w:sz w:val="18"/>
                <w:szCs w:val="18"/>
              </w:rPr>
              <w:t>Date Final Data are Ready</w:t>
            </w:r>
          </w:p>
        </w:tc>
        <w:tc>
          <w:tcPr>
            <w:tcW w:w="18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2E5432">
            <w:pPr>
              <w:jc w:val="center"/>
              <w:rPr>
                <w:rFonts w:asciiTheme="minorHAnsi" w:hAnsiTheme="minorHAnsi"/>
                <w:b/>
                <w:sz w:val="18"/>
                <w:szCs w:val="18"/>
              </w:rPr>
            </w:pPr>
            <w:r w:rsidRPr="004D4EA3">
              <w:rPr>
                <w:rFonts w:asciiTheme="minorHAnsi" w:hAnsiTheme="minorHAnsi"/>
                <w:b/>
                <w:sz w:val="18"/>
                <w:szCs w:val="18"/>
              </w:rPr>
              <w:t>Publications</w:t>
            </w:r>
            <w:r w:rsidR="00590A63">
              <w:rPr>
                <w:rFonts w:asciiTheme="minorHAnsi" w:hAnsiTheme="minorHAnsi"/>
                <w:b/>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Publication and Data File Release Date</w:t>
            </w:r>
          </w:p>
        </w:tc>
      </w:tr>
      <w:tr w:rsidR="0022662D" w:rsidTr="008B0834">
        <w:trPr>
          <w:trHeight w:val="485"/>
        </w:trPr>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7933C5">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EIA-</w:t>
            </w:r>
            <w:r w:rsidR="009D3EB6">
              <w:rPr>
                <w:rFonts w:asciiTheme="minorHAnsi" w:hAnsiTheme="minorHAnsi" w:cstheme="minorHAnsi"/>
                <w:sz w:val="18"/>
                <w:szCs w:val="18"/>
              </w:rPr>
              <w:t>63C</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7933C5" w:rsidP="008B0834">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Monthly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F41614" w:rsidP="008B0834">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F</w:t>
            </w:r>
            <w:r w:rsidR="00817E04">
              <w:rPr>
                <w:rFonts w:asciiTheme="minorHAnsi" w:hAnsiTheme="minorHAnsi" w:cstheme="minorHAnsi"/>
                <w:sz w:val="18"/>
                <w:szCs w:val="18"/>
              </w:rPr>
              <w:t>irst of the m</w:t>
            </w:r>
            <w:r>
              <w:rPr>
                <w:rFonts w:asciiTheme="minorHAnsi" w:hAnsiTheme="minorHAnsi" w:cstheme="minorHAnsi"/>
                <w:sz w:val="18"/>
                <w:szCs w:val="18"/>
              </w:rPr>
              <w:t>onth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817E04" w:rsidP="00817E04">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The last day of the month following the reporting period</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7D0F1F" w:rsidP="00817E04">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45</w:t>
            </w:r>
            <w:r w:rsidR="00F41614">
              <w:rPr>
                <w:rFonts w:asciiTheme="minorHAnsi" w:hAnsiTheme="minorHAnsi" w:cstheme="minorHAnsi"/>
                <w:sz w:val="18"/>
                <w:szCs w:val="18"/>
              </w:rPr>
              <w:t xml:space="preserve"> </w:t>
            </w:r>
            <w:r w:rsidR="00817E04">
              <w:rPr>
                <w:rFonts w:asciiTheme="minorHAnsi" w:hAnsiTheme="minorHAnsi" w:cstheme="minorHAnsi"/>
                <w:sz w:val="18"/>
                <w:szCs w:val="18"/>
              </w:rPr>
              <w:t>d</w:t>
            </w:r>
            <w:r w:rsidR="00F41614">
              <w:rPr>
                <w:rFonts w:asciiTheme="minorHAnsi" w:hAnsiTheme="minorHAnsi" w:cstheme="minorHAnsi"/>
                <w:sz w:val="18"/>
                <w:szCs w:val="18"/>
              </w:rPr>
              <w:t xml:space="preserve">ays after </w:t>
            </w:r>
            <w:r w:rsidR="00817E04">
              <w:rPr>
                <w:rFonts w:asciiTheme="minorHAnsi" w:hAnsiTheme="minorHAnsi" w:cstheme="minorHAnsi"/>
                <w:sz w:val="18"/>
                <w:szCs w:val="18"/>
              </w:rPr>
              <w:t>the Response Due Date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6B11C7" w:rsidP="008B0834">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See Note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7D0F1F" w:rsidP="007D0F1F">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45</w:t>
            </w:r>
            <w:r w:rsidR="00817E04">
              <w:rPr>
                <w:rFonts w:asciiTheme="minorHAnsi" w:hAnsiTheme="minorHAnsi" w:cstheme="minorHAnsi"/>
                <w:sz w:val="18"/>
                <w:szCs w:val="18"/>
              </w:rPr>
              <w:t xml:space="preserve"> days after the Response Due Date</w:t>
            </w:r>
            <w:r w:rsidR="00817E04" w:rsidDel="00F41614">
              <w:rPr>
                <w:rFonts w:asciiTheme="minorHAnsi" w:hAnsiTheme="minorHAnsi" w:cstheme="minorHAnsi"/>
                <w:sz w:val="18"/>
                <w:szCs w:val="18"/>
              </w:rPr>
              <w:t xml:space="preserve"> </w:t>
            </w:r>
          </w:p>
        </w:tc>
      </w:tr>
      <w:tr w:rsidR="00927486" w:rsidRPr="006902A3" w:rsidTr="008B0834">
        <w:tc>
          <w:tcPr>
            <w:tcW w:w="107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6B11C7">
            <w:pPr>
              <w:spacing w:before="60" w:after="60"/>
              <w:rPr>
                <w:rFonts w:asciiTheme="minorHAnsi" w:hAnsiTheme="minorHAnsi"/>
                <w:sz w:val="18"/>
                <w:szCs w:val="18"/>
              </w:rPr>
            </w:pPr>
            <w:r>
              <w:rPr>
                <w:rFonts w:asciiTheme="minorHAnsi" w:hAnsiTheme="minorHAnsi"/>
                <w:sz w:val="18"/>
                <w:szCs w:val="18"/>
              </w:rPr>
              <w:t>* MER (Monthly Energy Review), AER (Annual Energy Review</w:t>
            </w:r>
            <w:r w:rsidR="00823A99">
              <w:rPr>
                <w:rFonts w:asciiTheme="minorHAnsi" w:hAnsiTheme="minorHAnsi"/>
                <w:sz w:val="18"/>
                <w:szCs w:val="18"/>
              </w:rPr>
              <w:t>)</w:t>
            </w:r>
            <w:r w:rsidR="006B11C7">
              <w:rPr>
                <w:rFonts w:asciiTheme="minorHAnsi" w:hAnsiTheme="minorHAnsi"/>
                <w:sz w:val="18"/>
                <w:szCs w:val="18"/>
              </w:rPr>
              <w:t>, Renewable Energy Trends</w:t>
            </w:r>
            <w:r w:rsidR="00BD4C3A">
              <w:rPr>
                <w:rFonts w:asciiTheme="minorHAnsi" w:hAnsiTheme="minorHAnsi"/>
                <w:sz w:val="18"/>
                <w:szCs w:val="18"/>
              </w:rPr>
              <w:t xml:space="preserve">.  </w:t>
            </w:r>
            <w:r w:rsidRPr="004D4EA3">
              <w:rPr>
                <w:rFonts w:asciiTheme="minorHAnsi" w:hAnsiTheme="minorHAnsi"/>
                <w:sz w:val="18"/>
                <w:szCs w:val="18"/>
              </w:rPr>
              <w:t xml:space="preserve">Note: All EIA publications can be accessed at </w:t>
            </w:r>
            <w:hyperlink r:id="rId17" w:history="1">
              <w:r w:rsidRPr="004D4EA3">
                <w:rPr>
                  <w:rStyle w:val="Hyperlink"/>
                  <w:rFonts w:asciiTheme="minorHAnsi" w:hAnsiTheme="minorHAnsi"/>
                  <w:sz w:val="18"/>
                  <w:szCs w:val="18"/>
                </w:rPr>
                <w:t>http://www.eia.gov/reports/</w:t>
              </w:r>
            </w:hyperlink>
            <w:r w:rsidRPr="004D4EA3">
              <w:rPr>
                <w:rFonts w:asciiTheme="minorHAnsi" w:hAnsiTheme="minorHAnsi"/>
                <w:sz w:val="18"/>
                <w:szCs w:val="18"/>
              </w:rPr>
              <w:t xml:space="preserve">. </w:t>
            </w:r>
          </w:p>
        </w:tc>
      </w:tr>
    </w:tbl>
    <w:p w:rsidR="00961491" w:rsidRDefault="00961491" w:rsidP="00F872B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pPr>
    </w:p>
    <w:p w:rsidR="00630D8A" w:rsidRPr="00377E67" w:rsidRDefault="004F4211" w:rsidP="00377E67">
      <w:pPr>
        <w:tabs>
          <w:tab w:val="clear" w:pos="360"/>
        </w:tabs>
        <w:spacing w:before="100" w:beforeAutospacing="1"/>
        <w:rPr>
          <w:rFonts w:asciiTheme="minorHAnsi" w:hAnsiTheme="minorHAnsi"/>
        </w:rPr>
      </w:pPr>
      <w:bookmarkStart w:id="152" w:name="_Toc524334506"/>
      <w:bookmarkStart w:id="153" w:name="_Toc524334588"/>
      <w:bookmarkStart w:id="154" w:name="_Toc524334735"/>
      <w:bookmarkStart w:id="155" w:name="_Toc524334928"/>
      <w:bookmarkStart w:id="156" w:name="_Toc318697089"/>
      <w:r w:rsidRPr="004F4211">
        <w:rPr>
          <w:rFonts w:asciiTheme="minorHAnsi" w:eastAsia="Times New Roman" w:hAnsiTheme="minorHAnsi"/>
        </w:rPr>
        <w:t>Users can also link to the data series in EIA's Application Programming Interface (</w:t>
      </w:r>
      <w:hyperlink r:id="rId18" w:history="1">
        <w:r w:rsidR="009621B7" w:rsidRPr="009621B7">
          <w:rPr>
            <w:rFonts w:asciiTheme="minorHAnsi" w:eastAsia="Times New Roman" w:hAnsiTheme="minorHAnsi"/>
          </w:rPr>
          <w:t>API</w:t>
        </w:r>
      </w:hyperlink>
      <w:r w:rsidRPr="004F4211">
        <w:rPr>
          <w:rFonts w:asciiTheme="minorHAnsi" w:eastAsia="Times New Roman" w:hAnsiTheme="minorHAnsi"/>
        </w:rPr>
        <w:t xml:space="preserve">). </w:t>
      </w:r>
      <w:r w:rsidR="00391D99">
        <w:rPr>
          <w:rFonts w:asciiTheme="minorHAnsi" w:eastAsia="Times New Roman" w:hAnsiTheme="minorHAnsi"/>
        </w:rPr>
        <w:t xml:space="preserve"> </w:t>
      </w:r>
      <w:r w:rsidRPr="004F4211">
        <w:rPr>
          <w:rFonts w:asciiTheme="minorHAnsi" w:eastAsia="Times New Roman" w:hAnsiTheme="minorHAnsi"/>
        </w:rPr>
        <w:t xml:space="preserve">An API makes </w:t>
      </w:r>
      <w:r w:rsidR="00391D99">
        <w:rPr>
          <w:rFonts w:asciiTheme="minorHAnsi" w:eastAsia="Times New Roman" w:hAnsiTheme="minorHAnsi"/>
        </w:rPr>
        <w:t>EIA</w:t>
      </w:r>
      <w:r w:rsidR="00391D99" w:rsidRPr="004F4211">
        <w:rPr>
          <w:rFonts w:asciiTheme="minorHAnsi" w:eastAsia="Times New Roman" w:hAnsiTheme="minorHAnsi"/>
        </w:rPr>
        <w:t xml:space="preserve"> </w:t>
      </w:r>
      <w:r w:rsidRPr="004F4211">
        <w:rPr>
          <w:rFonts w:asciiTheme="minorHAnsi" w:eastAsia="Times New Roman" w:hAnsiTheme="minorHAnsi"/>
        </w:rPr>
        <w:t>data machine-readable and more accessible to users.</w:t>
      </w:r>
      <w:r w:rsidRPr="00377E67">
        <w:rPr>
          <w:rFonts w:asciiTheme="minorHAnsi" w:eastAsia="Times New Roman" w:hAnsiTheme="minorHAnsi"/>
        </w:rPr>
        <w:t xml:space="preserve">  </w:t>
      </w:r>
      <w:r w:rsidRPr="004F4211">
        <w:rPr>
          <w:rFonts w:asciiTheme="minorHAnsi" w:eastAsia="Times New Roman" w:hAnsiTheme="minorHAnsi"/>
        </w:rPr>
        <w:t xml:space="preserve">Links to analytic reports such as the </w:t>
      </w:r>
      <w:r w:rsidR="006B11C7">
        <w:rPr>
          <w:rFonts w:asciiTheme="minorHAnsi" w:eastAsia="Times New Roman" w:hAnsiTheme="minorHAnsi"/>
        </w:rPr>
        <w:t>Monthly Energy Review</w:t>
      </w:r>
      <w:r w:rsidRPr="004F4211">
        <w:rPr>
          <w:rFonts w:asciiTheme="minorHAnsi" w:eastAsia="Times New Roman" w:hAnsiTheme="minorHAnsi"/>
        </w:rPr>
        <w:t xml:space="preserve"> and pertinent Today in Energy articles are also available from the page.</w:t>
      </w:r>
      <w:r w:rsidR="0076770A">
        <w:rPr>
          <w:rFonts w:asciiTheme="minorHAnsi" w:eastAsia="Times New Roman" w:hAnsiTheme="minorHAnsi"/>
        </w:rPr>
        <w:t xml:space="preserve">  For more information see the EIA </w:t>
      </w:r>
      <w:r w:rsidR="00133FA2">
        <w:rPr>
          <w:rFonts w:asciiTheme="minorHAnsi" w:eastAsia="Times New Roman" w:hAnsiTheme="minorHAnsi"/>
        </w:rPr>
        <w:t>website</w:t>
      </w:r>
      <w:r w:rsidR="0076770A">
        <w:rPr>
          <w:rFonts w:asciiTheme="minorHAnsi" w:eastAsia="Times New Roman" w:hAnsiTheme="minorHAnsi"/>
        </w:rPr>
        <w:t xml:space="preserve"> at: </w:t>
      </w:r>
      <w:hyperlink r:id="rId19" w:history="1">
        <w:r w:rsidR="0076770A">
          <w:rPr>
            <w:rStyle w:val="Hyperlink"/>
          </w:rPr>
          <w:t>http://www.eia.gov/beta/api/</w:t>
        </w:r>
      </w:hyperlink>
      <w:r w:rsidR="0076770A">
        <w:t>.</w:t>
      </w:r>
    </w:p>
    <w:p w:rsidR="004C273D" w:rsidRDefault="00DB0F51">
      <w:pPr>
        <w:pStyle w:val="Heading2"/>
      </w:pPr>
      <w:bookmarkStart w:id="157" w:name="_Toc355777399"/>
      <w:bookmarkStart w:id="158" w:name="_Toc355777725"/>
      <w:bookmarkStart w:id="159" w:name="_Toc401669374"/>
      <w:bookmarkStart w:id="160" w:name="_Toc421114951"/>
      <w:r w:rsidRPr="00391D99">
        <w:t>OMB</w:t>
      </w:r>
      <w:r w:rsidR="00A95FE0" w:rsidRPr="00391D99">
        <w:t xml:space="preserve"> Number and Expiration Date</w:t>
      </w:r>
      <w:bookmarkEnd w:id="152"/>
      <w:bookmarkEnd w:id="153"/>
      <w:bookmarkEnd w:id="154"/>
      <w:bookmarkEnd w:id="155"/>
      <w:bookmarkEnd w:id="156"/>
      <w:bookmarkEnd w:id="157"/>
      <w:bookmarkEnd w:id="158"/>
      <w:bookmarkEnd w:id="159"/>
      <w:bookmarkEnd w:id="160"/>
    </w:p>
    <w:p w:rsidR="007E2D64" w:rsidRDefault="00A95FE0" w:rsidP="0072722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A8582E">
        <w:t xml:space="preserve">The OMB number and expiration date </w:t>
      </w:r>
      <w:r w:rsidR="00CB157C">
        <w:t>will be</w:t>
      </w:r>
      <w:r w:rsidRPr="00A8582E">
        <w:t xml:space="preserve"> displayed on </w:t>
      </w:r>
      <w:r w:rsidR="003C0D72">
        <w:t xml:space="preserve">each </w:t>
      </w:r>
      <w:r w:rsidRPr="00A8582E">
        <w:t>form</w:t>
      </w:r>
      <w:r w:rsidR="00286070">
        <w:t>.</w:t>
      </w:r>
      <w:bookmarkStart w:id="161" w:name="_Toc524334507"/>
      <w:bookmarkStart w:id="162" w:name="_Toc524334589"/>
      <w:bookmarkStart w:id="163" w:name="_Toc524334736"/>
      <w:bookmarkStart w:id="164" w:name="_Toc524334929"/>
      <w:bookmarkStart w:id="165" w:name="_Toc318697090"/>
    </w:p>
    <w:p w:rsidR="00B73E57" w:rsidRPr="00391D99" w:rsidRDefault="00A95FE0" w:rsidP="00391D99">
      <w:pPr>
        <w:pStyle w:val="Heading2"/>
      </w:pPr>
      <w:bookmarkStart w:id="166" w:name="_Toc355777400"/>
      <w:bookmarkStart w:id="167" w:name="_Toc355777726"/>
      <w:bookmarkStart w:id="168" w:name="_Toc401669375"/>
      <w:bookmarkStart w:id="169" w:name="_Toc421114952"/>
      <w:r w:rsidRPr="00391D99">
        <w:t>Certification Statement</w:t>
      </w:r>
      <w:bookmarkEnd w:id="161"/>
      <w:bookmarkEnd w:id="162"/>
      <w:bookmarkEnd w:id="163"/>
      <w:bookmarkEnd w:id="164"/>
      <w:bookmarkEnd w:id="165"/>
      <w:bookmarkEnd w:id="166"/>
      <w:bookmarkEnd w:id="167"/>
      <w:bookmarkEnd w:id="168"/>
      <w:bookmarkEnd w:id="169"/>
    </w:p>
    <w:p w:rsidR="00A42822" w:rsidRDefault="00A95FE0" w:rsidP="00564CA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A8582E">
        <w:t>This submission meets all certification requirements of the "Certification for Paperwork Reduction Act Submissions," for OMB Form 83-I.</w:t>
      </w:r>
    </w:p>
    <w:p w:rsidR="00A42822" w:rsidRDefault="00A42822">
      <w:pPr>
        <w:tabs>
          <w:tab w:val="clear" w:pos="360"/>
        </w:tabs>
        <w:spacing w:before="0" w:after="0" w:afterAutospacing="0"/>
        <w:jc w:val="left"/>
      </w:pPr>
      <w:r>
        <w:br w:type="page"/>
      </w:r>
    </w:p>
    <w:p w:rsidR="00DC5B9D" w:rsidRDefault="00DC5B9D" w:rsidP="00564CA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rsidR="00353CE4"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r w:rsidRPr="00DB5999">
        <w:rPr>
          <w:b/>
        </w:rPr>
        <w:t>Appendix A-1</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r w:rsidRPr="00DB5999">
        <w:rPr>
          <w:b/>
        </w:rPr>
        <w:t>Comments Received in Response to the Open Federal Register Notice</w:t>
      </w:r>
    </w:p>
    <w:p w:rsidR="00353CE4"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r w:rsidRPr="00DB5999">
        <w:rPr>
          <w:b/>
        </w:rPr>
        <w:t>(Federal Register/Vol. 79, No. 250) Published December 31, 2014</w:t>
      </w:r>
    </w:p>
    <w:p w:rsidR="00FE63F1" w:rsidRPr="00DB5999" w:rsidRDefault="00FE63F1"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On December 31,</w:t>
      </w:r>
      <w:r w:rsidR="00DB6D14">
        <w:t xml:space="preserve"> </w:t>
      </w:r>
      <w:r w:rsidRPr="00DB5999">
        <w:t>2014, a request for comments from interested persons was solicited in the Federal Register on the creation of a new data collection instrument, Form EIA-63C, “Densified Biomass Fuel Report.“</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Comments were received from the 16 entities and individuals listed below.  The comments and EIA’s response are summarized in this appendix.</w:t>
      </w: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38"/>
        <w:gridCol w:w="3600"/>
      </w:tblGrid>
      <w:tr w:rsidR="00353CE4" w:rsidRPr="00DB5999" w:rsidTr="00A42822">
        <w:trPr>
          <w:trHeight w:val="300"/>
          <w:tblHeader/>
        </w:trPr>
        <w:tc>
          <w:tcPr>
            <w:tcW w:w="6138" w:type="dxa"/>
            <w:hideMark/>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b/>
              </w:rPr>
              <w:t>Commenter</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b/>
              </w:rPr>
              <w:t>Abbreviation Used in Text (if any)</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Biomass Thermal Energy Council</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BTEC</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HotZero</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HZ</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American Wood Fibers</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AWF</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New England Wood Pellet (Rentech)</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NEWP</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Forest Business Network</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FBN</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Renewable Heat Products, LLC</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RHP</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Pellet Fuels Institute</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PFI</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U.S. Forest Service</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USFS</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Idaho National Laboratory</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INL</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Westervelt Renewable Energy, LLC</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WRE</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Maine Pellet Fuels Association</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MPF</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MeadWestvaco Corporation</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MWV</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American Forest and Paper Association</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AFPA</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American Wood Council</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AWC</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Marthwood</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MMW</w:t>
            </w:r>
          </w:p>
        </w:tc>
      </w:tr>
      <w:tr w:rsidR="00353CE4" w:rsidRPr="00DB5999" w:rsidTr="00A42822">
        <w:trPr>
          <w:trHeight w:val="300"/>
        </w:trPr>
        <w:tc>
          <w:tcPr>
            <w:tcW w:w="6138"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Forest Energy Corporation</w:t>
            </w:r>
          </w:p>
        </w:tc>
        <w:tc>
          <w:tcPr>
            <w:tcW w:w="3600" w:type="dxa"/>
          </w:tcPr>
          <w:p w:rsidR="00353CE4" w:rsidRPr="00DB5999" w:rsidRDefault="00353CE4" w:rsidP="00A428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FEC</w:t>
            </w:r>
          </w:p>
        </w:tc>
      </w:tr>
    </w:tbl>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rsidR="00A42822" w:rsidRDefault="00A42822">
      <w:pPr>
        <w:tabs>
          <w:tab w:val="clear" w:pos="360"/>
        </w:tabs>
        <w:spacing w:before="0" w:after="0" w:afterAutospacing="0"/>
        <w:jc w:val="left"/>
        <w:rPr>
          <w:b/>
        </w:rPr>
      </w:pPr>
      <w:r>
        <w:rPr>
          <w:b/>
        </w:rPr>
        <w:br w:type="page"/>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b/>
        </w:rPr>
        <w:lastRenderedPageBreak/>
        <w:t>Form EIA-63C, Densified Biomass Fuel Report</w:t>
      </w:r>
    </w:p>
    <w:p w:rsidR="00353CE4" w:rsidRPr="00DB5999" w:rsidRDefault="00353CE4" w:rsidP="00353CE4">
      <w:pPr>
        <w:numPr>
          <w:ilvl w:val="0"/>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 xml:space="preserve">Comment:  </w:t>
      </w:r>
      <w:r w:rsidRPr="00DB5999">
        <w:t>Exempting or allowing voluntary participation for ‘small’ producers and quarterly collection instead of monthly.</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360"/>
        <w:rPr>
          <w:b/>
        </w:rPr>
      </w:pPr>
      <w:r w:rsidRPr="00DB5999">
        <w:rPr>
          <w:i/>
        </w:rPr>
        <w:t>Comments From</w:t>
      </w:r>
      <w:r w:rsidRPr="00DB5999">
        <w:t>: BTEC, HZ, AWF, NEWP</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EIA Response</w:t>
      </w:r>
      <w:r w:rsidRPr="00DB5999">
        <w:t>: EIA agrees that the survey may be burdensome for small producers and that it is unnecessary to collect the full array of survey data from small producers.  We will modify our original proposal as follows:</w:t>
      </w:r>
    </w:p>
    <w:p w:rsidR="00353CE4" w:rsidRPr="00DB5999" w:rsidRDefault="00353CE4" w:rsidP="00353CE4">
      <w:pPr>
        <w:numPr>
          <w:ilvl w:val="0"/>
          <w:numId w:val="13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We will adopt the industry recommendation to define producers with less than 10,000 TPY of production capacity as “Small Producers.”</w:t>
      </w:r>
    </w:p>
    <w:p w:rsidR="00353CE4" w:rsidRPr="00DB5999" w:rsidRDefault="00353CE4" w:rsidP="00353CE4">
      <w:pPr>
        <w:numPr>
          <w:ilvl w:val="0"/>
          <w:numId w:val="13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Small Producers will be required to respond annually to a limited subset of the survey questions dealing with location, capacity, and production by pellet type.</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t>EIA does not agree with suggestions that the survey should be quarterly.  This is a dynamic industry undergoing rapid changes in capacity, production, price, and ownership.  Allowing for the time required to collect and process data (roughly six weeks) a quarterly survey would report data as much as four months after the fact.  (For example, with a quarterly survey, January would not be reported until the middle of May.)  This stale information would be of limited value to government and industry.</w:t>
      </w:r>
    </w:p>
    <w:p w:rsidR="00353CE4" w:rsidRPr="00DB5999" w:rsidRDefault="00353CE4" w:rsidP="00353CE4">
      <w:pPr>
        <w:numPr>
          <w:ilvl w:val="0"/>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b/>
        </w:rPr>
        <w:t xml:space="preserve"> Comment: </w:t>
      </w:r>
      <w:r w:rsidRPr="00DB5999">
        <w:t>Include densified wood bricks, logs, and briquettes and possibly the manufacturing of wood chips in the survey.  Include production of pellets for purposes other than fuels (animal bedding, litter, grilling, etc.)</w:t>
      </w:r>
    </w:p>
    <w:p w:rsidR="00353CE4" w:rsidRPr="00DB5999" w:rsidRDefault="00353CE4" w:rsidP="00353CE4">
      <w:pPr>
        <w:numPr>
          <w:ilvl w:val="1"/>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p>
    <w:p w:rsidR="00353CE4" w:rsidRPr="00DB5999" w:rsidRDefault="00353CE4" w:rsidP="00353CE4">
      <w:pPr>
        <w:numPr>
          <w:ilvl w:val="1"/>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Comments From: BTEC, AWF, HZ, FBN, RHP, PFI, USFS</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i/>
        </w:rPr>
        <w:t>EIA Response</w:t>
      </w:r>
      <w:r w:rsidRPr="00DB5999">
        <w:t xml:space="preserve">:  EIA agrees with adding other densified biomass products to the survey.  Compressed </w:t>
      </w:r>
      <w:r w:rsidR="00DB6D14">
        <w:t>b</w:t>
      </w:r>
      <w:r w:rsidRPr="00DB5999">
        <w:t xml:space="preserve">ricks, </w:t>
      </w:r>
      <w:r w:rsidR="00DB6D14">
        <w:t>l</w:t>
      </w:r>
      <w:r w:rsidRPr="00DB5999">
        <w:t xml:space="preserve">ogs, and </w:t>
      </w:r>
      <w:r w:rsidR="00DB6D14">
        <w:t>b</w:t>
      </w:r>
      <w:r w:rsidRPr="00DB5999">
        <w:t xml:space="preserve">riquettes have been added to the production, inventory, and sales questions.  The focus of the survey is energy used for fuel, and as such, EIA does not agree to add densified biomass products used for purposes other than fuel.  At this time, collecting data from the wood chipping industry is not included in this survey.  After the first three-year period of collection, consideration will be given to collecting data on wood chip manufacture and use.  </w:t>
      </w:r>
    </w:p>
    <w:p w:rsidR="00353CE4" w:rsidRPr="00DB5999" w:rsidRDefault="00353CE4" w:rsidP="00353CE4">
      <w:pPr>
        <w:numPr>
          <w:ilvl w:val="0"/>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Comment:</w:t>
      </w:r>
      <w:r w:rsidRPr="00DB5999">
        <w:t xml:space="preserve">  Release of state-level data could compromise confidentiality.  New to the industry, respondents will be concerned about disclosure and requiring all competitors to provide data.</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360"/>
        <w:rPr>
          <w:b/>
        </w:rPr>
      </w:pPr>
      <w:r w:rsidRPr="00DB5999">
        <w:rPr>
          <w:i/>
        </w:rPr>
        <w:t>Comments From: BTEC, AWF, HZ, PFI, WRE, NEWP, MPFA</w:t>
      </w:r>
    </w:p>
    <w:p w:rsidR="00353CE4" w:rsidRPr="00DB5999" w:rsidRDefault="00353CE4" w:rsidP="00FE03E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EIA Response</w:t>
      </w:r>
      <w:r w:rsidRPr="00DB5999">
        <w:t xml:space="preserve">:  EIA has an excellent record for protecting confidential data.  If state-level data has too few respondents to allow disclosure at state level, EIA would either roll up aggregations to a regional level or withhold state-level data to ensure no disclosure of individual company data could reasonably be derived.  Currently, other data series with protected data are published with state and/or regional aggregates using statistically sound rules to prevent disclosure of individual responses.  The survey will be mandatory for all required participants and data will be protected from disclosure.  </w:t>
      </w:r>
    </w:p>
    <w:p w:rsidR="00353CE4" w:rsidRPr="00DB5999" w:rsidRDefault="00353CE4" w:rsidP="00353CE4">
      <w:pPr>
        <w:pStyle w:val="ListParagraph"/>
        <w:numPr>
          <w:ilvl w:val="0"/>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lastRenderedPageBreak/>
        <w:t>Comment:</w:t>
      </w:r>
      <w:r w:rsidRPr="00DB5999">
        <w:t xml:space="preserve">  Feedstock data (Question 3.1) should have clearer and more granular choices for reporting.  Source of wood should be added.  Use of wood should be added.</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360"/>
        <w:rPr>
          <w:b/>
        </w:rPr>
      </w:pPr>
      <w:r w:rsidRPr="00DB5999">
        <w:rPr>
          <w:i/>
        </w:rPr>
        <w:t>Comments From: WRE, MWC, AFPA, AWC, WRE, INL</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EIA Response</w:t>
      </w:r>
      <w:r w:rsidRPr="00DB5999">
        <w:t xml:space="preserve">:  EIA agrees to add more granular and well-defined feedstock choices and the source of wood to the drop-down lists for reporting on Question 3.1, Feedstock Types.  Also added is a question asking if feedstocks are also utilized to operate the plant, generate electricity, or other beneficial uses.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b/>
        </w:rPr>
        <w:t>5.  Comment:</w:t>
      </w:r>
      <w:r w:rsidRPr="00DB5999">
        <w:t xml:space="preserve"> Add to questions 2.3 and 2.4 the installed horsepower of the pellet extrusion machinery, in order to fully capture production capacity as well as serve as a check against capacity reported as tons per year.  Add a question for the reason for differences between TPY and horsepower capacity. </w:t>
      </w:r>
    </w:p>
    <w:p w:rsidR="00353CE4" w:rsidRPr="00DB5999" w:rsidRDefault="00353CE4" w:rsidP="00353CE4">
      <w:pPr>
        <w:numPr>
          <w:ilvl w:val="1"/>
          <w:numId w:val="8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Comment From: PFI</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i/>
        </w:rPr>
        <w:t>EIA Response</w:t>
      </w:r>
      <w:r w:rsidRPr="00DB5999">
        <w:t>: EIA agrees to add questions on installed horsepower to Part 2 of the survey, as well as a question on the reason for a discrepancy between TPY and horsepower production capacity.</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6. Comment:</w:t>
      </w:r>
      <w:r w:rsidRPr="00DB5999">
        <w:t xml:space="preserve"> Retail vs. Wholesale sales may not always be accurate.  Destination country for exports product may not always be known.  Revenue from sales is sensitive and must not be disclosed.</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Pr>
          <w:b/>
        </w:rPr>
        <w:t xml:space="preserve">       </w:t>
      </w:r>
      <w:r w:rsidRPr="00DB5999">
        <w:rPr>
          <w:i/>
        </w:rPr>
        <w:t>Comment From: WRE</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i/>
        </w:rPr>
        <w:t>EIA Response</w:t>
      </w:r>
      <w:r w:rsidRPr="00DB5999">
        <w:t>: EIA appreciates the difficulties in determining if a sale should be considered retail or wholesale and agrees that the respondent can only use a best faith effort to report the distinction.  In the case of destination country, an option to choose “Unknown” will be acceptable in cases where the destination country cannot be determined. As previously stated, EIA has an excellent record of protecting sensitive data from disclosure and will take all steps necessary to protect sensitive financial data.</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7. </w:t>
      </w:r>
      <w:r w:rsidRPr="00DB5999">
        <w:rPr>
          <w:b/>
        </w:rPr>
        <w:t>Comment</w:t>
      </w:r>
      <w:r w:rsidRPr="00DB5999">
        <w:t>: Use ranges for costs and sales values.  Clarify FTE as only pellet mill employees.</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 xml:space="preserve">       Comment From: MMW</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i/>
        </w:rPr>
        <w:t>EIA Response</w:t>
      </w:r>
      <w:r w:rsidRPr="00DB5999">
        <w:t>: EIA does not agree with using ranges for reporting data as it will be less useful in calculating weighted averages for production and sales and individual responses will be protected from disclosure.   The FTE question will be made clear that it pertains only to employee FTE in the pellet production manufacturing facility.</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8.  Comment:</w:t>
      </w:r>
      <w:r w:rsidRPr="00DB5999">
        <w:t xml:space="preserve">  General Support for survey</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rPr>
          <w:i/>
        </w:rPr>
        <w:t>Verbatim Comments From:  PFI, MWV, AFPA, AWC, MPFA, AWF, BTEC, INL, FBN, RHP, HZ, FEC, USFS.</w:t>
      </w:r>
    </w:p>
    <w:p w:rsidR="00A42822" w:rsidRDefault="00A42822">
      <w:pPr>
        <w:tabs>
          <w:tab w:val="clear" w:pos="360"/>
        </w:tabs>
        <w:spacing w:before="0" w:after="0" w:afterAutospacing="0"/>
        <w:jc w:val="left"/>
        <w:rPr>
          <w:b/>
        </w:rPr>
      </w:pPr>
      <w:r>
        <w:rPr>
          <w:b/>
        </w:rPr>
        <w:br w:type="page"/>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lastRenderedPageBreak/>
        <w:t>Commenter:</w:t>
      </w:r>
      <w:r w:rsidRPr="00DB5999">
        <w:t xml:space="preserve">  Pellet Fuels Institute</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PFI supports EIA’s effort to collect information on the densified biomass industry and commends EIA for compiling a draft survey that is comprehensive and </w:t>
      </w:r>
      <w:r w:rsidRPr="00DB5999">
        <w:rPr>
          <w:b/>
        </w:rPr>
        <w:t>reflective of the input provided by a range of stakeholders from industry, nonprofit organizations, and state and federal governments.</w:t>
      </w:r>
      <w:r w:rsidRPr="00DB5999">
        <w:t xml:space="preserve">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t xml:space="preserve">Its collection is imperative for the achievement of EIA’s mission “to [collect], [analyze] and [disseminate] independent and impartial energy information to promote sound policymaking, efficient markets, and public understanding of energy and its interaction with the economy and the environment.” </w:t>
      </w:r>
      <w:r w:rsidRPr="00DB5999">
        <w:rPr>
          <w:b/>
        </w:rPr>
        <w:t xml:space="preserve">As the authoritative federal agency on energy market data, it is incumbent upon EIA to ensure that data on densified biomass is included in its portfolio and available to the American public.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rPr>
      </w:pPr>
      <w:r w:rsidRPr="00DB5999">
        <w:t xml:space="preserve">PFI and its members are pleased with the survey’s contents. </w:t>
      </w:r>
      <w:r w:rsidRPr="00DB5999">
        <w:rPr>
          <w:b/>
        </w:rPr>
        <w:t>The information EIA proposes to collect can be provided by manufacturers of densified biomass with little to no extra burden and will be a valuable asset to federal agencies, industry and the general public for understanding the breadth of the densified biomass sector.</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Commenters:</w:t>
      </w:r>
      <w:r w:rsidRPr="00DB5999">
        <w:t xml:space="preserve">  MeadWestvaco Corporation, American Forest &amp;Paper Association and American Wood Council</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MWV, AF&amp;PA and AWC support EIA’s proposed plan to collect and publish timely data regarding wood pellet production and sales. We believe the data will help policymakers and the public become better informed about U.S. wood pellet production trends – particularly in the South where the industry’s rapid growth is being driven nearly entirely by exports of pellets to the European Union (EU).</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 xml:space="preserve">Commenter: </w:t>
      </w:r>
      <w:r w:rsidRPr="00DB5999">
        <w:t>Maine Pellet Fuels Association</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We commend EIA for undertaking this reporting and analysis. Our growing industry now deserves to be considered as a significant participant in the national energy picture.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 xml:space="preserve">Commenter: </w:t>
      </w:r>
      <w:r w:rsidRPr="00DB5999">
        <w:t xml:space="preserve">American Wood Fibers; Biomass Thermal Energy Council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BTEC, AWF is very supportive of the EIA’s efforts to develop the survey, as we believe that the survey and its resulting data will raise the national profile of biomass thermal fuels and bolster efforts to include biomass thermal technologies across the renewable energy environment and help shape public policy.</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 xml:space="preserve">Commenter: </w:t>
      </w:r>
      <w:r w:rsidRPr="00DB5999">
        <w:t>Forest Business Network</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We have observed and covered with great interest over the recent years the growing opportunities for forest residuals to be pelletized and converted to a valuable, sustainable source of national and international energy.  We are pleased that EIA has chosen to recognize and report on the increasing importance that this energy source is contributing to a wisely diversified, economical, and broad based American energy future.  We therefore, agree with and support the data reporting efforts of the EIA.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Commenter:</w:t>
      </w:r>
      <w:r w:rsidRPr="00DB5999">
        <w:t xml:space="preserve"> Renewable Heat Products, LLC</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lastRenderedPageBreak/>
        <w:t>We applaud the decision by the EIA to do a survey of densified wood fuel.  Densified wood fuels, including pellets and wood bricks are an increasing popular fuel in the US.   We especially commend the EIA for broadening its energy research and reporting to renewable energy and biomass is the most important type of renewable energy in many US states.</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 xml:space="preserve">Commenter: </w:t>
      </w:r>
      <w:r w:rsidRPr="00DB5999">
        <w:t>HotZero</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…Thus a better understanding of the densified wood market will be very helpful to us in planning for back up fuels to be used during extreme weather events something we have seen a fair bit of this winter in New Hampshire.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Commenter:</w:t>
      </w:r>
      <w:r w:rsidRPr="00DB5999">
        <w:t xml:space="preserve"> Forest Energy Corporation</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I applaud EIA for finally including pellet fuel in their data collection.  I have been in the industry for 23 years and seen it grow and provide benefit.   I believe that accurate reliable data on the industry will demonstrate benefit to many future decisions regarding the advancement of renewable energy.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Commenter:</w:t>
      </w:r>
      <w:r w:rsidRPr="00DB5999">
        <w:t xml:space="preserve"> USDA Forest Service</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The U.S. Forest Service applauds the Energy Information Administration’s plans to implement a mandatory survey of densified biomass fuel manufacturers as announced in the Federal Register on December 31, 2014 (enclosed). The densified biomass fuel survey will more accurately account for and document the amount of wood pellets that are produced in the United States for local and foreign markets. </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Renewable wood energy is a critical energy sector that supports forest management, reduces energy costs, generates local jobs, replaces fossil fuel energy, provides climate benefits, and improves air quality. This energy sector has been growing substantially in the United States over the last decade; yet it has been difficult to obtain accurate data to understand the growth and activity associated with wood energy. The densified biomass fuel survey will help us better understand the role that wood pellets play in the energy sector.</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rPr>
          <w:b/>
        </w:rPr>
        <w:t>Commenter:</w:t>
      </w:r>
      <w:r w:rsidRPr="00DB5999">
        <w:t xml:space="preserve">  Idaho National Laboratory</w:t>
      </w:r>
    </w:p>
    <w:p w:rsidR="00353CE4" w:rsidRPr="00DB5999"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I commend the EIA on the streamlined draft questionnaire on densified biomass, and the detailed level of information it aims to collect. </w:t>
      </w:r>
    </w:p>
    <w:p w:rsidR="00FE63F1"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From an academic viewpoint, I think it would be very valuable to get information at this level of detail, particularly the sourcing feedstock, volumes, and price data. I am doubtful however that the industry would want to deliver this kind of information. A disclaimer of anonymous representation and publication would probably be advisable.</w:t>
      </w:r>
    </w:p>
    <w:p w:rsidR="00FE63F1" w:rsidRDefault="00FE63F1">
      <w:pPr>
        <w:tabs>
          <w:tab w:val="clear" w:pos="360"/>
        </w:tabs>
        <w:spacing w:before="0" w:after="0" w:afterAutospacing="0"/>
        <w:jc w:val="left"/>
      </w:pPr>
      <w:r>
        <w:br w:type="page"/>
      </w:r>
    </w:p>
    <w:p w:rsidR="00FE63F1" w:rsidRPr="00DB5999" w:rsidRDefault="00FE63F1"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r w:rsidRPr="00DB5999">
        <w:rPr>
          <w:b/>
        </w:rPr>
        <w:lastRenderedPageBreak/>
        <w:t>Appendix A-</w:t>
      </w:r>
      <w:r>
        <w:rPr>
          <w:b/>
        </w:rPr>
        <w:t>2</w:t>
      </w:r>
    </w:p>
    <w:p w:rsidR="00FE63F1" w:rsidRPr="00DB5999" w:rsidRDefault="00FE63F1"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r w:rsidRPr="00DB5999">
        <w:rPr>
          <w:b/>
        </w:rPr>
        <w:t>Comments Received in Response to the Open Federal Register Notice</w:t>
      </w:r>
    </w:p>
    <w:p w:rsidR="00FE63F1" w:rsidRDefault="00FE63F1"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r w:rsidRPr="00DB5999">
        <w:rPr>
          <w:b/>
        </w:rPr>
        <w:t xml:space="preserve">(Federal Register/Vol. </w:t>
      </w:r>
      <w:r>
        <w:rPr>
          <w:b/>
        </w:rPr>
        <w:t>80</w:t>
      </w:r>
      <w:r w:rsidRPr="00DB5999">
        <w:rPr>
          <w:b/>
        </w:rPr>
        <w:t xml:space="preserve">, No. </w:t>
      </w:r>
      <w:r>
        <w:rPr>
          <w:b/>
        </w:rPr>
        <w:t>107</w:t>
      </w:r>
      <w:r w:rsidRPr="00DB5999">
        <w:rPr>
          <w:b/>
        </w:rPr>
        <w:t xml:space="preserve">) Published </w:t>
      </w:r>
      <w:r>
        <w:rPr>
          <w:b/>
        </w:rPr>
        <w:t xml:space="preserve">June </w:t>
      </w:r>
      <w:r w:rsidR="00482A18">
        <w:rPr>
          <w:b/>
        </w:rPr>
        <w:t>4</w:t>
      </w:r>
      <w:r>
        <w:rPr>
          <w:b/>
        </w:rPr>
        <w:t>, 2015</w:t>
      </w:r>
    </w:p>
    <w:p w:rsidR="00FE63F1" w:rsidRDefault="00FE63F1"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b/>
        </w:rPr>
      </w:pPr>
    </w:p>
    <w:p w:rsidR="00FE63F1" w:rsidRPr="00DB5999" w:rsidRDefault="00FE63F1"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On </w:t>
      </w:r>
      <w:r>
        <w:t>June 4, 2015</w:t>
      </w:r>
      <w:r w:rsidRPr="00DB5999">
        <w:t>, a request for comments from interested persons was solicited in the Federal Register on the creation of a new data collection instrument, Form EIA-63C, “Densified Biomass Fuel Report.“</w:t>
      </w:r>
    </w:p>
    <w:p w:rsidR="00FE63F1" w:rsidRPr="00DB5999" w:rsidRDefault="00FE63F1"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DB5999">
        <w:t xml:space="preserve">Comments were received from </w:t>
      </w:r>
      <w:r>
        <w:t>seven</w:t>
      </w:r>
      <w:r w:rsidRPr="00DB5999">
        <w:t xml:space="preserve"> entities</w:t>
      </w:r>
      <w:r>
        <w:t>.</w:t>
      </w:r>
      <w:r w:rsidRPr="00DB5999">
        <w:t xml:space="preserve">   The comments and EIA’s response</w:t>
      </w:r>
      <w:r w:rsidR="00DB6D14">
        <w:t>s</w:t>
      </w:r>
      <w:r w:rsidRPr="00DB5999">
        <w:t xml:space="preserve"> are summarized in this appendix.</w:t>
      </w:r>
    </w:p>
    <w:p w:rsidR="00FE63F1" w:rsidRPr="00FE63F1" w:rsidRDefault="00FE63F1" w:rsidP="00FE63F1">
      <w:pPr>
        <w:pStyle w:val="Default"/>
        <w:rPr>
          <w:rFonts w:asciiTheme="minorHAnsi" w:hAnsiTheme="minorHAnsi"/>
          <w:b/>
          <w:sz w:val="22"/>
          <w:szCs w:val="22"/>
        </w:rPr>
      </w:pPr>
      <w:r w:rsidRPr="00FE63F1">
        <w:rPr>
          <w:rFonts w:asciiTheme="minorHAnsi" w:hAnsiTheme="minorHAnsi"/>
          <w:b/>
          <w:sz w:val="22"/>
          <w:szCs w:val="22"/>
        </w:rPr>
        <w:t>Commenter: Pellet Fuels Institute</w:t>
      </w:r>
    </w:p>
    <w:p w:rsidR="00FE63F1" w:rsidRPr="00FE63F1" w:rsidRDefault="00FE63F1" w:rsidP="00FE63F1">
      <w:pPr>
        <w:pStyle w:val="Default"/>
        <w:rPr>
          <w:rFonts w:asciiTheme="minorHAnsi" w:hAnsiTheme="minorHAnsi"/>
          <w:sz w:val="22"/>
          <w:szCs w:val="22"/>
        </w:rPr>
      </w:pPr>
    </w:p>
    <w:p w:rsidR="00FE63F1" w:rsidRPr="00FE63F1" w:rsidRDefault="00FE63F1" w:rsidP="00FE63F1">
      <w:pPr>
        <w:pStyle w:val="Default"/>
        <w:rPr>
          <w:rFonts w:asciiTheme="minorHAnsi" w:hAnsiTheme="minorHAnsi"/>
          <w:sz w:val="22"/>
          <w:szCs w:val="22"/>
        </w:rPr>
      </w:pPr>
      <w:r w:rsidRPr="00FE63F1">
        <w:rPr>
          <w:rFonts w:asciiTheme="minorHAnsi" w:hAnsiTheme="minorHAnsi"/>
          <w:b/>
          <w:sz w:val="22"/>
          <w:szCs w:val="22"/>
        </w:rPr>
        <w:t>Comment:</w:t>
      </w:r>
      <w:r w:rsidRPr="00FE63F1">
        <w:rPr>
          <w:rFonts w:asciiTheme="minorHAnsi" w:hAnsiTheme="minorHAnsi"/>
          <w:sz w:val="22"/>
          <w:szCs w:val="22"/>
        </w:rPr>
        <w:t xml:space="preserve">  We still have concerns regarding the final presentation of data, which EIA states will be reported in the aggregate without identifying factors. However, given that many states only have one to two densified biomass facilities, it will be impossible for EIA to report this information without identifying key information from a specific facility or facilities. Thus, we again ask EIA to consider reporting data on a regional basis. </w:t>
      </w:r>
    </w:p>
    <w:p w:rsidR="00FE63F1" w:rsidRPr="00FE63F1" w:rsidRDefault="00FE63F1" w:rsidP="00FE63F1">
      <w:pPr>
        <w:rPr>
          <w:rFonts w:asciiTheme="minorHAnsi" w:hAnsiTheme="minorHAnsi"/>
        </w:rPr>
      </w:pPr>
      <w:r w:rsidRPr="00FE63F1">
        <w:rPr>
          <w:rFonts w:asciiTheme="minorHAnsi" w:hAnsiTheme="minorHAnsi"/>
        </w:rPr>
        <w:t>In addition to providing an extra measure of confidentiality, reporting data on a regional basis will assist with the management of fuel supply in the United States as shortages in one region can be more easily mitigated by surpluses in another. Further, reporting data by region will provide a better understanding of fuel inventory and can drive more efficient decision making related to fuel shipment timelines and practices, a win for both densified biomass manufacturers and consumers.</w:t>
      </w:r>
    </w:p>
    <w:p w:rsidR="00FE63F1" w:rsidRPr="00FE63F1" w:rsidRDefault="00432ECE" w:rsidP="00FE63F1">
      <w:pPr>
        <w:rPr>
          <w:rFonts w:asciiTheme="minorHAnsi" w:hAnsiTheme="minorHAnsi"/>
        </w:rPr>
      </w:pPr>
      <w:r w:rsidRPr="00F047C6">
        <w:rPr>
          <w:rFonts w:asciiTheme="minorHAnsi" w:hAnsiTheme="minorHAnsi"/>
          <w:b/>
          <w:i/>
        </w:rPr>
        <w:t>EIA Response</w:t>
      </w:r>
      <w:r w:rsidR="00FE63F1" w:rsidRPr="00FE63F1">
        <w:rPr>
          <w:rFonts w:asciiTheme="minorHAnsi" w:hAnsiTheme="minorHAnsi"/>
          <w:b/>
        </w:rPr>
        <w:t>:</w:t>
      </w:r>
      <w:r w:rsidR="00FE63F1" w:rsidRPr="00FE63F1">
        <w:rPr>
          <w:rFonts w:asciiTheme="minorHAnsi" w:hAnsiTheme="minorHAnsi"/>
        </w:rPr>
        <w:t xml:space="preserve">  Disclosure rules utilized by EIA prevent publication of state-level data where three or fewer observations are collected within a state.   State-level data will be protected where appropriate to protect individual company information.  EIA publishes a mix of state and regional aggregate data for other confidential data series, such as coal stocks.  We anticipate publication of a mix of state and regional aggregates for the wood pellet data.</w:t>
      </w:r>
    </w:p>
    <w:p w:rsidR="00FE63F1" w:rsidRDefault="00FE63F1" w:rsidP="00FE63F1">
      <w:pPr>
        <w:rPr>
          <w:b/>
        </w:rPr>
      </w:pPr>
      <w:r>
        <w:rPr>
          <w:b/>
        </w:rPr>
        <w:t xml:space="preserve">Commenter: </w:t>
      </w:r>
      <w:r w:rsidRPr="00FE6416">
        <w:rPr>
          <w:b/>
        </w:rPr>
        <w:t>Indeck Ladysmith, LLC</w:t>
      </w:r>
    </w:p>
    <w:p w:rsidR="00FE63F1" w:rsidRDefault="00FE63F1" w:rsidP="00FE63F1">
      <w:r>
        <w:rPr>
          <w:b/>
        </w:rPr>
        <w:t xml:space="preserve">Comment:  </w:t>
      </w:r>
      <w:r>
        <w:t>Ladysmith has three concerns with the proposed survey; first in Part 4 Product Sales and Revenue Information Sections 4.1 and 4.2 the biomass facilities will be required to publish their exact amount of revenue sales (“Issue1”); the second in Part 3 Densified Biomass Production and Inventory Information in Section 3.1 where biomass facilities will be required to publish their exact total cost of feedstock (“Issue 2”) and finally the third, in Section 3.4 where product stored as inventory is required at the end of the reporting period (“Issue 3”).  The data for both Issues 1 and 2 are considered highly confidential and proprietary.  If this information were to be published it could be detrimental to the economics of Ladysmith.  Issue 3, when reported monthly, provides a proprietary perspective on the facilities product, sales and marketing strategy in what can be a seasonal densified biomass pellet market, and thus could also be detrimental to the economics of Ladysmith.</w:t>
      </w:r>
    </w:p>
    <w:p w:rsidR="00FE63F1" w:rsidRDefault="00FE63F1" w:rsidP="00FE63F1">
      <w:r>
        <w:lastRenderedPageBreak/>
        <w:t xml:space="preserve">It is clear that Ladysmith is not the only biomass facility that has a concern with Issue 1.  In the Supporting Statement for Survey Clearance:  Densified Biomass Fuel Report Part A: Justification, Appendix A-1, Comments Received in Response to the Open Federal Register Notice, Comment #6 addresses one of Ladysmith’s concerns that “Revenue from sales is sensitive and must not be disclosed.”  Ladysmith further comments that sales revenue as well as the cost of feedstock are more than just sensitive, but rather confidential and proprietary.  </w:t>
      </w:r>
    </w:p>
    <w:p w:rsidR="00FE63F1" w:rsidRDefault="00FE63F1" w:rsidP="00FE63F1">
      <w:r>
        <w:t>The EIA’s response to Comment #6 simply states that the EIA has an excellent track record in protecting sensitive data.  This may be true, however the information supplied in Part A.10 of the Justification Report indicates to the contrary; it states: “…some statistics may be based on data from fewer than three respondents, or may be dominated by data from one or two large respondents.  In these cases, it may be possible for a knowledgeable person to estimate the information reported by a respondent.”  This statement clearly indicates that at times it may not be possible to protect sensitive information. Furthermore, the EIA is required under the Federal Energy Administration Act to provide company-specific data to other Federal agencies when requested for official use.  Additionally, the information in the reports may also be made available to other governmental agencies, any Committee of Congress, the Government Accountability Office, other federal agencies, or a court of competent jurisdiction.  The concern, in light of the above statements, is how will the proprietary information be adequately protected especially information that is disseminated outside the EIA?</w:t>
      </w:r>
    </w:p>
    <w:p w:rsidR="00FE63F1" w:rsidRDefault="00FE63F1" w:rsidP="00FE63F1">
      <w:r>
        <w:t>Another issue that needs to be addressed is the potential for violating anti-trust laws. If the confidential and proprietary pricing information is Issue 1 and Issue 2 are required to be reported and thus published; it appears to establish an environment conducive of price fixing, which would be a violation of the antitrust laws. Generally, antitrust laws require companies to establish prices and other terms on its own, without agreeing (either verbally, in writing or inferred from conduct) with a competitor.  With the publication of Issue 1 and Issue 2 all biomass facilities confidential and proprietary pricing information would be published, thus opening the door to potential price fixing.</w:t>
      </w:r>
    </w:p>
    <w:p w:rsidR="00FE63F1" w:rsidRDefault="00FE63F1" w:rsidP="00FE63F1">
      <w:r>
        <w:t xml:space="preserve">For the above stated reasons, Ladysmith respectfully requests that Issue 1 and Issue 2 not be included in the survey and that Issue 3 be reported annually.  However, in the event the EIA determines it will require Issue 1 and Issue 2, Ladysmith subsequently requests that the EIA allow for two submittals of the EIA-63-C, one that is unredacted for the EIA’s eyes only, and one that redacts the confidential and proprietary information in Issue 1 and Issue 2.  Furthermore, since the EIA is required to provide company-specific data to certain Federal agencies, that any requests for the unredacted version must be required to submit a FOIA request so that the biomass facilities have the opportunity to protect their confidential and proprietary information.  This format is similar to what the New York Public Service Commission allows with their Annual Reports for Lightly Regulated Generation Facilities.  </w:t>
      </w:r>
    </w:p>
    <w:p w:rsidR="00FE63F1" w:rsidRDefault="00432ECE" w:rsidP="00FE63F1">
      <w:r w:rsidRPr="00F047C6">
        <w:rPr>
          <w:b/>
          <w:i/>
        </w:rPr>
        <w:t>EIA Response</w:t>
      </w:r>
      <w:r w:rsidR="00FE63F1">
        <w:rPr>
          <w:b/>
        </w:rPr>
        <w:t xml:space="preserve">:  </w:t>
      </w:r>
      <w:r w:rsidR="00FE63F1">
        <w:t>The data identified as Issue 1, Issue 2</w:t>
      </w:r>
      <w:r w:rsidR="002E5E86">
        <w:t>,</w:t>
      </w:r>
      <w:r w:rsidR="00FE63F1">
        <w:t xml:space="preserve"> and Issue 3 are recognized by EIA as confidential, sensitive</w:t>
      </w:r>
      <w:r w:rsidR="002E5E86">
        <w:t>,</w:t>
      </w:r>
      <w:r w:rsidR="00FE63F1">
        <w:t xml:space="preserve"> and proprietary data.  The Supporting Statement Part A clearly states the data “…</w:t>
      </w:r>
      <w:r w:rsidR="00FE63F1" w:rsidRPr="000E6621">
        <w:t>will be protected and not disclosed to the public to the extent that it satisfies the criteria for exemption under the Freedom of Information Act</w:t>
      </w:r>
      <w:r w:rsidR="00FE63F1">
        <w:t xml:space="preserve">.”  EIA will protect these data from unauthorized release to the public.  EIA will not publish company level reported values.  EIA would be in a stronger position to withhold data pursuant to a request from the public made under the Freedom of Information Act if the commenter described in detail how the release of this information would be “detrimental.”  In describing the competitive harm, it helps to explain how this information could be used by a competitor to take away sales from another company or cause competitive harm.  However, even in the absence of this additional descriptive information, EIA will apply all available exemptions under FOIA to withhold </w:t>
      </w:r>
      <w:r w:rsidR="00FE63F1">
        <w:lastRenderedPageBreak/>
        <w:t>company level data from public release.  State-level aggregate data will be protected by applying disclosure limitation methodologies to safeguard against disclosing individual company information through the publication of statistical aggregates.  EIA routinely collects and protects confidential, sensitive</w:t>
      </w:r>
      <w:r w:rsidR="002E5E86">
        <w:t>,</w:t>
      </w:r>
      <w:r w:rsidR="00FE63F1">
        <w:t xml:space="preserve"> and proprietary data collected from diverse energy companies from coal mines, gas</w:t>
      </w:r>
      <w:r w:rsidR="002E5E86">
        <w:t>,</w:t>
      </w:r>
      <w:r w:rsidR="00FE63F1">
        <w:t xml:space="preserve"> and petroleum producers to end users of energy.  Confidential data collected on the Form EIA-63C will be afforded the same level of protection.  </w:t>
      </w:r>
    </w:p>
    <w:p w:rsidR="00FE63F1" w:rsidRPr="00727BB9" w:rsidRDefault="00FE63F1" w:rsidP="00FE63F1">
      <w:pPr>
        <w:rPr>
          <w:b/>
        </w:rPr>
      </w:pPr>
      <w:r>
        <w:rPr>
          <w:b/>
        </w:rPr>
        <w:t xml:space="preserve">Commenter: </w:t>
      </w:r>
      <w:r w:rsidRPr="00727BB9">
        <w:rPr>
          <w:b/>
        </w:rPr>
        <w:t>Forest Energy Corporation</w:t>
      </w:r>
    </w:p>
    <w:p w:rsidR="00FE63F1" w:rsidRPr="00F047C6" w:rsidRDefault="00FE63F1" w:rsidP="00FE63F1">
      <w:pPr>
        <w:pStyle w:val="Default"/>
        <w:rPr>
          <w:rFonts w:asciiTheme="minorHAnsi" w:hAnsiTheme="minorHAnsi"/>
          <w:color w:val="auto"/>
          <w:sz w:val="22"/>
          <w:szCs w:val="22"/>
        </w:rPr>
      </w:pPr>
      <w:r w:rsidRPr="00F047C6">
        <w:rPr>
          <w:rFonts w:asciiTheme="minorHAnsi" w:hAnsiTheme="minorHAnsi"/>
          <w:b/>
          <w:sz w:val="22"/>
          <w:szCs w:val="22"/>
        </w:rPr>
        <w:t xml:space="preserve">Comment:  </w:t>
      </w:r>
      <w:r w:rsidRPr="00F047C6">
        <w:rPr>
          <w:rFonts w:asciiTheme="minorHAnsi" w:hAnsiTheme="minorHAnsi"/>
          <w:color w:val="auto"/>
          <w:sz w:val="22"/>
          <w:szCs w:val="22"/>
        </w:rPr>
        <w:t xml:space="preserve">I would like to suggest a couple of modifications though.  Forest Energy is the only significant producer in Arizona, so any reporting by state will ultimately be a reporting of our data which divulges some information that we would prefer to remain private.  We recommend that EIA consider reporting data in no smaller category than regionally.  This effort will help preserve our confidentiality.    I believe this will also be a benefit for fair competition and a balance to supply and demand.  </w:t>
      </w:r>
    </w:p>
    <w:p w:rsidR="00FE63F1" w:rsidRPr="00F047C6" w:rsidRDefault="00FE63F1" w:rsidP="00FE63F1">
      <w:pPr>
        <w:pStyle w:val="Default"/>
        <w:rPr>
          <w:rFonts w:asciiTheme="minorHAnsi" w:hAnsiTheme="minorHAnsi"/>
          <w:color w:val="auto"/>
          <w:sz w:val="22"/>
          <w:szCs w:val="22"/>
        </w:rPr>
      </w:pPr>
      <w:r w:rsidRPr="00F047C6">
        <w:rPr>
          <w:rFonts w:asciiTheme="minorHAnsi" w:hAnsiTheme="minorHAnsi"/>
          <w:color w:val="auto"/>
          <w:sz w:val="22"/>
          <w:szCs w:val="22"/>
        </w:rPr>
        <w:t xml:space="preserve"> </w:t>
      </w:r>
    </w:p>
    <w:p w:rsidR="00FE63F1" w:rsidRPr="00F047C6" w:rsidRDefault="00FE63F1" w:rsidP="00FE63F1">
      <w:pPr>
        <w:pStyle w:val="Default"/>
        <w:rPr>
          <w:rFonts w:asciiTheme="minorHAnsi" w:hAnsiTheme="minorHAnsi"/>
          <w:color w:val="auto"/>
          <w:sz w:val="22"/>
          <w:szCs w:val="22"/>
        </w:rPr>
      </w:pPr>
      <w:r w:rsidRPr="00F047C6">
        <w:rPr>
          <w:rFonts w:asciiTheme="minorHAnsi" w:hAnsiTheme="minorHAnsi"/>
          <w:color w:val="auto"/>
          <w:sz w:val="22"/>
          <w:szCs w:val="22"/>
        </w:rPr>
        <w:t xml:space="preserve">Forest Energy also manufactures densified logs. They are not yet a large percentage of our production, but do provide many homes fuel for heating.   </w:t>
      </w:r>
    </w:p>
    <w:p w:rsidR="00FE63F1" w:rsidRPr="00F047C6" w:rsidRDefault="00FE63F1" w:rsidP="00FE63F1">
      <w:pPr>
        <w:pStyle w:val="Default"/>
        <w:rPr>
          <w:rFonts w:asciiTheme="minorHAnsi" w:hAnsiTheme="minorHAnsi"/>
          <w:color w:val="auto"/>
          <w:sz w:val="22"/>
          <w:szCs w:val="22"/>
        </w:rPr>
      </w:pPr>
    </w:p>
    <w:p w:rsidR="00FE63F1" w:rsidRDefault="00432ECE" w:rsidP="00FE63F1">
      <w:r w:rsidRPr="00403037">
        <w:rPr>
          <w:b/>
          <w:i/>
        </w:rPr>
        <w:t>EIA Response</w:t>
      </w:r>
      <w:r w:rsidR="00FE63F1" w:rsidRPr="00403037">
        <w:rPr>
          <w:b/>
        </w:rPr>
        <w:t xml:space="preserve">: </w:t>
      </w:r>
      <w:r w:rsidR="00FE63F1" w:rsidRPr="00403037">
        <w:t>Disclosure</w:t>
      </w:r>
      <w:r w:rsidR="00FE63F1">
        <w:t xml:space="preserve"> rules utilized by EIA prevent publication of state-level data where three or fewer observations are collected within a state.   State-level data will be protected where appropriate to protect individual company information.  EIA publishes a mix of state and regional aggregate data for other confidential data series, such as coal stocks.  We anticipate publication of a mix of state and regional aggregates for the wood pellet data.  The categories for products in the revised (June 4, 2015) survey include compressed bricks, compressed logs, briquettes and other.  </w:t>
      </w:r>
    </w:p>
    <w:p w:rsidR="00FE63F1" w:rsidRDefault="00FE63F1" w:rsidP="00FE63F1">
      <w:pPr>
        <w:rPr>
          <w:b/>
        </w:rPr>
      </w:pPr>
      <w:r>
        <w:rPr>
          <w:b/>
        </w:rPr>
        <w:t>Commenter: Nebraska Energy Office</w:t>
      </w:r>
    </w:p>
    <w:p w:rsidR="00FE63F1" w:rsidRDefault="00FE63F1" w:rsidP="00FE63F1">
      <w:pPr>
        <w:rPr>
          <w:szCs w:val="24"/>
        </w:rPr>
      </w:pPr>
      <w:r>
        <w:rPr>
          <w:b/>
        </w:rPr>
        <w:t xml:space="preserve">Comments: </w:t>
      </w:r>
      <w:r>
        <w:rPr>
          <w:szCs w:val="24"/>
        </w:rPr>
        <w:t xml:space="preserve">The Federal Register and the Comments Response document state that an initial survey will be required from </w:t>
      </w:r>
      <w:r>
        <w:rPr>
          <w:szCs w:val="24"/>
          <w:u w:val="single"/>
        </w:rPr>
        <w:t>all</w:t>
      </w:r>
      <w:r>
        <w:rPr>
          <w:szCs w:val="24"/>
        </w:rPr>
        <w:t xml:space="preserve"> U.S. densified biomass fuel manufacturers but that only facilities with </w:t>
      </w:r>
      <w:r>
        <w:rPr>
          <w:szCs w:val="24"/>
          <w:u w:val="single"/>
        </w:rPr>
        <w:t>10,000 tons or more</w:t>
      </w:r>
      <w:r>
        <w:rPr>
          <w:szCs w:val="24"/>
        </w:rPr>
        <w:t xml:space="preserve"> of production capacity will file surveys after that.  I have a concern with this issue because, from a preliminary review, Nebraska has two densified biomass fuel manufacturers.  Neither one manufactures 10,000 tons or more.</w:t>
      </w:r>
    </w:p>
    <w:p w:rsidR="00FE63F1" w:rsidRDefault="00FE63F1" w:rsidP="00FE63F1">
      <w:pPr>
        <w:rPr>
          <w:szCs w:val="24"/>
        </w:rPr>
      </w:pPr>
      <w:r>
        <w:rPr>
          <w:szCs w:val="24"/>
        </w:rPr>
        <w:t>Form:</w:t>
      </w:r>
    </w:p>
    <w:p w:rsidR="00FE63F1" w:rsidRDefault="00FE63F1" w:rsidP="00FE63F1">
      <w:r w:rsidRPr="007B7DAE">
        <w:rPr>
          <w:u w:val="single"/>
        </w:rPr>
        <w:t>Page 1:</w:t>
      </w:r>
      <w:r>
        <w:rPr>
          <w:u w:val="single"/>
        </w:rPr>
        <w:t xml:space="preserve">  </w:t>
      </w:r>
      <w:r>
        <w:t>Include consumption in the Purpose section.</w:t>
      </w:r>
    </w:p>
    <w:p w:rsidR="00FE63F1" w:rsidRDefault="00FE63F1" w:rsidP="00FE63F1">
      <w:r>
        <w:t>Include consumption and inventory in the Required Respondents section.</w:t>
      </w:r>
    </w:p>
    <w:p w:rsidR="00FE63F1" w:rsidRDefault="00FE63F1" w:rsidP="00FE63F1">
      <w:r w:rsidRPr="007B7DAE">
        <w:rPr>
          <w:u w:val="single"/>
        </w:rPr>
        <w:t>Page 4:</w:t>
      </w:r>
      <w:r>
        <w:rPr>
          <w:u w:val="single"/>
        </w:rPr>
        <w:t xml:space="preserve">  </w:t>
      </w:r>
      <w:r>
        <w:t>Second paragraph – move last sentence so that it’s in front of “Report the volume in short tons.”</w:t>
      </w:r>
    </w:p>
    <w:p w:rsidR="00FE63F1" w:rsidRDefault="00FE63F1" w:rsidP="00FE63F1">
      <w:r w:rsidRPr="007B7DAE">
        <w:rPr>
          <w:u w:val="single"/>
        </w:rPr>
        <w:t>Page 5:</w:t>
      </w:r>
      <w:r>
        <w:rPr>
          <w:u w:val="single"/>
        </w:rPr>
        <w:t xml:space="preserve">  </w:t>
      </w:r>
      <w:r>
        <w:t>4.1 and 4.2 – “…U.S. whole dollars…” should be “…whole U.S. dollars...”</w:t>
      </w:r>
    </w:p>
    <w:p w:rsidR="00FE63F1" w:rsidRDefault="00FE63F1" w:rsidP="00FE63F1">
      <w:r>
        <w:t>Why is 4.2 boxed when the other sections are not?</w:t>
      </w:r>
    </w:p>
    <w:p w:rsidR="00FE63F1" w:rsidRDefault="00FE63F1" w:rsidP="00FE63F1">
      <w:r w:rsidRPr="007B7DAE">
        <w:rPr>
          <w:u w:val="single"/>
        </w:rPr>
        <w:t>Page 6:</w:t>
      </w:r>
      <w:r>
        <w:rPr>
          <w:u w:val="single"/>
        </w:rPr>
        <w:t xml:space="preserve"> </w:t>
      </w:r>
      <w:r>
        <w:t>Typo in Product Types – biquettes should be briquettes</w:t>
      </w:r>
    </w:p>
    <w:p w:rsidR="00FE63F1" w:rsidRPr="007B7DAE" w:rsidRDefault="00FE63F1" w:rsidP="00FE63F1">
      <w:pPr>
        <w:rPr>
          <w:sz w:val="14"/>
        </w:rPr>
      </w:pPr>
      <w:r w:rsidRPr="007B7DAE">
        <w:rPr>
          <w:szCs w:val="36"/>
        </w:rPr>
        <w:lastRenderedPageBreak/>
        <w:t>Instructions</w:t>
      </w:r>
    </w:p>
    <w:p w:rsidR="00FE63F1" w:rsidRDefault="00FE63F1" w:rsidP="00FE63F1">
      <w:r>
        <w:t>Decide the following for both the instructions and the form to be consistent:  FAX or fax and drop down or dropdown (on the Form, it’s two words; on the Instructions, it’s one word and later it’s two words)</w:t>
      </w:r>
    </w:p>
    <w:p w:rsidR="00FE63F1" w:rsidRDefault="00FE63F1" w:rsidP="00FE63F1">
      <w:r w:rsidRPr="007B7DAE">
        <w:rPr>
          <w:u w:val="single"/>
        </w:rPr>
        <w:t>Page 1:</w:t>
      </w:r>
      <w:r>
        <w:rPr>
          <w:u w:val="single"/>
        </w:rPr>
        <w:t xml:space="preserve">  General Instructions and Due Date:  </w:t>
      </w:r>
      <w:r>
        <w:t>Typo – “facilites” should be “facilities” in sentence 4.</w:t>
      </w:r>
    </w:p>
    <w:p w:rsidR="00FE63F1" w:rsidRDefault="00FE63F1" w:rsidP="00FE63F1">
      <w:r>
        <w:t>Second paragraph – redundancy in second sentence – end sentence at “…, or the next business day.”</w:t>
      </w:r>
    </w:p>
    <w:p w:rsidR="00FE63F1" w:rsidRDefault="00FE63F1" w:rsidP="00FE63F1">
      <w:pPr>
        <w:pStyle w:val="ListParagraph"/>
        <w:numPr>
          <w:ilvl w:val="1"/>
          <w:numId w:val="135"/>
        </w:numPr>
        <w:tabs>
          <w:tab w:val="clear" w:pos="360"/>
        </w:tabs>
        <w:spacing w:before="0" w:after="0" w:afterAutospacing="0"/>
        <w:jc w:val="left"/>
      </w:pPr>
      <w:r>
        <w:t>Delete “, including city, state and zip code”</w:t>
      </w:r>
    </w:p>
    <w:p w:rsidR="00FE63F1" w:rsidRDefault="00FE63F1" w:rsidP="00FE63F1">
      <w:pPr>
        <w:pStyle w:val="ListParagraph"/>
        <w:numPr>
          <w:ilvl w:val="1"/>
          <w:numId w:val="135"/>
        </w:numPr>
        <w:tabs>
          <w:tab w:val="clear" w:pos="360"/>
        </w:tabs>
        <w:spacing w:before="0" w:after="0" w:afterAutospacing="0"/>
        <w:jc w:val="left"/>
      </w:pPr>
    </w:p>
    <w:p w:rsidR="00FE63F1" w:rsidRDefault="00FE63F1" w:rsidP="00FE63F1">
      <w:pPr>
        <w:pStyle w:val="ListParagraph"/>
        <w:numPr>
          <w:ilvl w:val="1"/>
          <w:numId w:val="136"/>
        </w:numPr>
        <w:tabs>
          <w:tab w:val="clear" w:pos="360"/>
        </w:tabs>
        <w:spacing w:before="0" w:after="0" w:afterAutospacing="0"/>
        <w:ind w:left="720" w:hanging="720"/>
        <w:jc w:val="left"/>
      </w:pPr>
      <w:r>
        <w:t>Delete Company Name on Form or add to Instructions</w:t>
      </w:r>
    </w:p>
    <w:p w:rsidR="00FE63F1" w:rsidRDefault="00FE63F1" w:rsidP="00FE63F1">
      <w:pPr>
        <w:pStyle w:val="ListParagraph"/>
        <w:numPr>
          <w:ilvl w:val="1"/>
          <w:numId w:val="136"/>
        </w:numPr>
        <w:tabs>
          <w:tab w:val="clear" w:pos="360"/>
        </w:tabs>
        <w:spacing w:before="0" w:after="0" w:afterAutospacing="0"/>
        <w:ind w:left="720" w:hanging="720"/>
        <w:jc w:val="left"/>
      </w:pPr>
      <w:r>
        <w:t>Delete Company Name on Form or add to Instructions</w:t>
      </w:r>
    </w:p>
    <w:p w:rsidR="00FE63F1" w:rsidRDefault="00FE63F1" w:rsidP="00FE63F1">
      <w:pPr>
        <w:rPr>
          <w:b/>
          <w:u w:val="single"/>
        </w:rPr>
      </w:pPr>
    </w:p>
    <w:p w:rsidR="00FE63F1" w:rsidRDefault="00FE63F1" w:rsidP="00FE63F1">
      <w:r w:rsidRPr="007B7DAE">
        <w:rPr>
          <w:u w:val="single"/>
        </w:rPr>
        <w:t>Part 2:</w:t>
      </w:r>
      <w:r>
        <w:rPr>
          <w:u w:val="single"/>
        </w:rPr>
        <w:t xml:space="preserve">  </w:t>
      </w:r>
      <w:r>
        <w:t>Note:  Could have cut and pasted material from the Form.</w:t>
      </w:r>
    </w:p>
    <w:p w:rsidR="00FE63F1" w:rsidRDefault="00FE63F1" w:rsidP="00FE63F1">
      <w:pPr>
        <w:ind w:left="720" w:hanging="720"/>
      </w:pPr>
      <w:r>
        <w:t>3.1</w:t>
      </w:r>
      <w:r>
        <w:tab/>
        <w:t xml:space="preserve">Is this sentence needed?  “Do not attempt to report the feedstock volumes actually used to produce products during the reporting period.”  </w:t>
      </w:r>
    </w:p>
    <w:p w:rsidR="00FE63F1" w:rsidRDefault="00FE63F1" w:rsidP="00FE63F1">
      <w:pPr>
        <w:ind w:left="720" w:hanging="720"/>
      </w:pPr>
      <w:r>
        <w:t>All options are not listed from the Form drop down list and options are not in the same order as on the Form.</w:t>
      </w:r>
    </w:p>
    <w:p w:rsidR="00FE63F1" w:rsidRDefault="00FE63F1" w:rsidP="00FE63F1">
      <w:r>
        <w:t>3.2  Last paragraph – first sentence has too many “in”</w:t>
      </w:r>
    </w:p>
    <w:p w:rsidR="00FE63F1" w:rsidRDefault="00FE63F1" w:rsidP="00FE63F1">
      <w:r>
        <w:t>Last paragraph – second sentence – one pound and per pound seem redundant</w:t>
      </w:r>
    </w:p>
    <w:p w:rsidR="00FE63F1" w:rsidRDefault="00FE63F1" w:rsidP="00FE63F1">
      <w:r>
        <w:t xml:space="preserve">Last paragraph – second sentence – add the word “and” in “…, </w:t>
      </w:r>
      <w:r>
        <w:rPr>
          <w:u w:val="single"/>
        </w:rPr>
        <w:t>and</w:t>
      </w:r>
      <w:r>
        <w:t xml:space="preserve"> the thermal…”</w:t>
      </w:r>
    </w:p>
    <w:p w:rsidR="00FE63F1" w:rsidRDefault="00FE63F1" w:rsidP="00FE63F1">
      <w:r>
        <w:t>3.3  Last paragraph – typo “offiste” should be “offsite”</w:t>
      </w:r>
    </w:p>
    <w:p w:rsidR="00FE63F1" w:rsidRDefault="00FE63F1" w:rsidP="00FE63F1">
      <w:r>
        <w:t>4.1  All options are not listed from the Form drop down list.</w:t>
      </w:r>
    </w:p>
    <w:p w:rsidR="00FE63F1" w:rsidRDefault="00FE63F1" w:rsidP="00FE63F1">
      <w:r>
        <w:t>Second sentence – “Report the Revenue Received…” – Revenue and Received should have lowercase r’s.</w:t>
      </w:r>
    </w:p>
    <w:p w:rsidR="00FE63F1" w:rsidRDefault="00FE63F1" w:rsidP="00FE63F1">
      <w:r>
        <w:t>4.2 Heading isn’t finished.</w:t>
      </w:r>
    </w:p>
    <w:p w:rsidR="00FE63F1" w:rsidRDefault="00FE63F1" w:rsidP="00FE63F1">
      <w:r>
        <w:t>Second sentence – “Report the Revenue Received…” – Revenue and Received should have lowercase r’s.</w:t>
      </w:r>
    </w:p>
    <w:p w:rsidR="00FE63F1" w:rsidRDefault="00FE63F1" w:rsidP="00FE63F1">
      <w:r>
        <w:t>Second sentence – add the underlined words “Report the revenue received as Free On Board at the plant (excludes transportation to customers</w:t>
      </w:r>
      <w:r>
        <w:rPr>
          <w:u w:val="single"/>
        </w:rPr>
        <w:t>, port costs/fees or other costs associated with export)</w:t>
      </w:r>
      <w:r>
        <w:t>.”</w:t>
      </w:r>
    </w:p>
    <w:p w:rsidR="00FE63F1" w:rsidRDefault="00432ECE" w:rsidP="00FE63F1">
      <w:pPr>
        <w:rPr>
          <w:szCs w:val="24"/>
        </w:rPr>
      </w:pPr>
      <w:r w:rsidRPr="00F047C6">
        <w:rPr>
          <w:b/>
          <w:i/>
          <w:szCs w:val="24"/>
        </w:rPr>
        <w:t>EIA Response</w:t>
      </w:r>
      <w:r w:rsidR="00FE63F1">
        <w:rPr>
          <w:b/>
          <w:szCs w:val="24"/>
        </w:rPr>
        <w:t xml:space="preserve">:  </w:t>
      </w:r>
      <w:r w:rsidR="00FE63F1">
        <w:rPr>
          <w:szCs w:val="24"/>
        </w:rPr>
        <w:t xml:space="preserve">Plants with a capacity to produce less than 10,000 tons per year will complete Parts 1 and 2 annually.  EIA does not wish to impose undue burden on small companies, thus small facilities have less reporting requirements.  Thank you for the thorough editorial review.  All editorial comments were addressed as appropriate. </w:t>
      </w:r>
    </w:p>
    <w:p w:rsidR="00FE63F1" w:rsidRDefault="00FE63F1" w:rsidP="00FE63F1">
      <w:pPr>
        <w:rPr>
          <w:b/>
          <w:szCs w:val="24"/>
        </w:rPr>
      </w:pPr>
      <w:r>
        <w:rPr>
          <w:b/>
          <w:szCs w:val="24"/>
        </w:rPr>
        <w:lastRenderedPageBreak/>
        <w:t>Commenter: MeadWestvaco Corporation</w:t>
      </w:r>
    </w:p>
    <w:p w:rsidR="00FE63F1" w:rsidRDefault="00FE63F1" w:rsidP="00FE63F1">
      <w:pPr>
        <w:rPr>
          <w:szCs w:val="24"/>
        </w:rPr>
      </w:pPr>
      <w:r>
        <w:rPr>
          <w:b/>
          <w:szCs w:val="24"/>
        </w:rPr>
        <w:t xml:space="preserve">Comment:  </w:t>
      </w:r>
      <w:r>
        <w:rPr>
          <w:szCs w:val="24"/>
        </w:rPr>
        <w:t xml:space="preserve">For further improvement, we urge that the survey form also include a breakout for thinnings that are smaller than pulpwood grade – i.e., trees that are less than five inches in diameter at breast height.  Also, the pulpwood quality category should specify that it includes trees that are wider than 5 inches in diameter at breast height.  The differentiation is important because it will clearly distinguish between what has traditionally had a market as pulpwood in the pulp and paper sector. This will further strengthen what EIA is trying to achieve with the feedstock portion of the survey.  </w:t>
      </w:r>
    </w:p>
    <w:p w:rsidR="00FE63F1" w:rsidRDefault="00FE63F1" w:rsidP="00FE63F1">
      <w:pPr>
        <w:rPr>
          <w:szCs w:val="24"/>
        </w:rPr>
      </w:pPr>
      <w:r>
        <w:rPr>
          <w:szCs w:val="24"/>
        </w:rPr>
        <w:t>We believe the collection of this additional information will provide useful information to better estimate the various types of densified biomass fuel production.</w:t>
      </w:r>
    </w:p>
    <w:p w:rsidR="00FE63F1" w:rsidRDefault="00432ECE" w:rsidP="00FE63F1">
      <w:pPr>
        <w:rPr>
          <w:szCs w:val="24"/>
        </w:rPr>
      </w:pPr>
      <w:r w:rsidRPr="00F047C6">
        <w:rPr>
          <w:b/>
          <w:i/>
          <w:szCs w:val="24"/>
        </w:rPr>
        <w:t>EIA Response</w:t>
      </w:r>
      <w:r w:rsidR="00FE63F1">
        <w:rPr>
          <w:b/>
          <w:szCs w:val="24"/>
        </w:rPr>
        <w:t xml:space="preserve">:  </w:t>
      </w:r>
      <w:r w:rsidR="00FE63F1">
        <w:rPr>
          <w:szCs w:val="24"/>
        </w:rPr>
        <w:t xml:space="preserve">EIA will add to the Roundwood (pulpwood quality) a further distinction of 5 inches or more at breast height and less than 5 inches at breast height.  </w:t>
      </w:r>
    </w:p>
    <w:p w:rsidR="00FE63F1" w:rsidRDefault="00FE63F1" w:rsidP="00FE63F1">
      <w:pPr>
        <w:rPr>
          <w:b/>
          <w:szCs w:val="24"/>
        </w:rPr>
      </w:pPr>
      <w:r>
        <w:rPr>
          <w:b/>
          <w:szCs w:val="24"/>
        </w:rPr>
        <w:t>Commenter: Westervelt Renewable Energy</w:t>
      </w:r>
    </w:p>
    <w:p w:rsidR="00FE63F1" w:rsidRDefault="00FE63F1" w:rsidP="00FE63F1">
      <w:pPr>
        <w:rPr>
          <w:szCs w:val="24"/>
        </w:rPr>
      </w:pPr>
      <w:r>
        <w:rPr>
          <w:b/>
          <w:szCs w:val="24"/>
        </w:rPr>
        <w:t xml:space="preserve">Comment: </w:t>
      </w:r>
      <w:r>
        <w:rPr>
          <w:szCs w:val="24"/>
        </w:rPr>
        <w:t>Page 1. Cover DISCLOSURE OF INFORMATION We appreciate the EIA’s recognition of the commercially sensitive nature of data requested from respondents, and reiterate the irreparable harm that could be caused if the data is not aggregated at a higher level so as to prevent identification of individual respondents.</w:t>
      </w:r>
    </w:p>
    <w:p w:rsidR="00FE63F1" w:rsidRDefault="00FE63F1" w:rsidP="00FE63F1">
      <w:pPr>
        <w:rPr>
          <w:szCs w:val="24"/>
        </w:rPr>
      </w:pPr>
      <w:r>
        <w:rPr>
          <w:szCs w:val="24"/>
        </w:rPr>
        <w:t>Page 4. Production &amp; Inventory Information   Section 3.4 requests the respondent to quantify product stored in inventory “at the facility” during the reporting period.  As indicated in our prior response, most industrial products store product off-site (primarily at the port) and the proposed form will not capture that data.</w:t>
      </w:r>
    </w:p>
    <w:p w:rsidR="00FE63F1" w:rsidRDefault="00432ECE" w:rsidP="00FE63F1">
      <w:r w:rsidRPr="00F047C6">
        <w:rPr>
          <w:b/>
          <w:i/>
          <w:szCs w:val="24"/>
        </w:rPr>
        <w:t>EIA Response</w:t>
      </w:r>
      <w:r w:rsidR="00FE63F1">
        <w:rPr>
          <w:b/>
          <w:szCs w:val="24"/>
        </w:rPr>
        <w:t xml:space="preserve">:  </w:t>
      </w:r>
      <w:r w:rsidR="00FE63F1">
        <w:t>Disclosure rules utilized by EIA prevent publication of state-level data where three or fewer observations are collected within a state.   State-level data will be protected where appropriate to protect individual company information.  EIA publishes a mix of state and regional aggregate data for other confidential data series, such as coal stocks.  We anticipate publication of a mix of state and regional aggregates for the wood pellet data.</w:t>
      </w:r>
    </w:p>
    <w:p w:rsidR="00FE63F1" w:rsidRDefault="00FE63F1" w:rsidP="00FE63F1">
      <w:r>
        <w:t>EIA will modify Section 3.4 to include inventory held off-site, for example at ports.</w:t>
      </w:r>
    </w:p>
    <w:p w:rsidR="00FE63F1" w:rsidRDefault="00FE63F1" w:rsidP="00FE63F1">
      <w:pPr>
        <w:autoSpaceDE w:val="0"/>
        <w:autoSpaceDN w:val="0"/>
        <w:adjustRightInd w:val="0"/>
        <w:spacing w:after="0"/>
        <w:rPr>
          <w:rFonts w:cs="Arial"/>
          <w:b/>
          <w:color w:val="000000"/>
        </w:rPr>
      </w:pPr>
      <w:r>
        <w:rPr>
          <w:rFonts w:cs="Arial"/>
          <w:b/>
          <w:color w:val="000000"/>
        </w:rPr>
        <w:t>Commenter: American Forest &amp; Paper Association</w:t>
      </w:r>
    </w:p>
    <w:p w:rsidR="00FE63F1" w:rsidRPr="00515189" w:rsidRDefault="00FE63F1" w:rsidP="00FE63F1">
      <w:pPr>
        <w:autoSpaceDE w:val="0"/>
        <w:autoSpaceDN w:val="0"/>
        <w:adjustRightInd w:val="0"/>
        <w:spacing w:after="0"/>
        <w:rPr>
          <w:rFonts w:cs="Arial"/>
          <w:color w:val="000000"/>
        </w:rPr>
      </w:pPr>
      <w:r>
        <w:rPr>
          <w:rFonts w:cs="Arial"/>
          <w:b/>
          <w:color w:val="000000"/>
        </w:rPr>
        <w:t xml:space="preserve">Comment:  </w:t>
      </w:r>
      <w:r w:rsidRPr="00515189">
        <w:rPr>
          <w:rFonts w:cs="Arial"/>
          <w:color w:val="000000"/>
        </w:rPr>
        <w:t xml:space="preserve">AF&amp;PA appreciates the EIA’s proposed plan to collect and publish timely data regarding wood pellet production and sales. We are pleased that the EIA considered our previous comments and added additional feedstock categories such as pulpwood quality roundwood and bark to the survey form. We also find it useful that the survey form now seeks information regarding the type of forest the wood comes from (natural, planted, public) and how much of the wood going to pellet plants is used to generate process energy to manufacture the pellets. </w:t>
      </w:r>
    </w:p>
    <w:p w:rsidR="00FE63F1" w:rsidRDefault="00FE63F1" w:rsidP="00FE63F1">
      <w:r w:rsidRPr="00515189">
        <w:rPr>
          <w:rFonts w:cs="Arial"/>
          <w:color w:val="000000"/>
        </w:rPr>
        <w:t xml:space="preserve">As refinements, we urge that the survey form also include a breakout for thinnings that are smaller than pulpwood grade – i.e., trees that are less than five inches in diameter at breast height. Also, the pulpwood quality category should specify that it includes trees that are wider than 5 inches in diameter </w:t>
      </w:r>
      <w:r w:rsidRPr="00515189">
        <w:rPr>
          <w:rFonts w:cs="Arial"/>
          <w:color w:val="000000"/>
        </w:rPr>
        <w:lastRenderedPageBreak/>
        <w:t>at breast height. This breakout is important since it will provide a more comprehensive picture of the types of wood being used to make pellets and whether they have alternative markets</w:t>
      </w:r>
      <w:r w:rsidRPr="00515189">
        <w:rPr>
          <w:rFonts w:ascii="Arial" w:hAnsi="Arial" w:cs="Arial"/>
          <w:color w:val="000000"/>
          <w:sz w:val="23"/>
          <w:szCs w:val="23"/>
        </w:rPr>
        <w:t>.</w:t>
      </w:r>
    </w:p>
    <w:p w:rsidR="00FE63F1" w:rsidRDefault="00432ECE" w:rsidP="00FE63F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b/>
        </w:rPr>
      </w:pPr>
      <w:r w:rsidRPr="00F047C6">
        <w:rPr>
          <w:b/>
          <w:i/>
          <w:szCs w:val="24"/>
        </w:rPr>
        <w:t>EIA Response</w:t>
      </w:r>
      <w:r w:rsidR="00FE63F1">
        <w:rPr>
          <w:b/>
          <w:szCs w:val="24"/>
        </w:rPr>
        <w:t xml:space="preserve">: </w:t>
      </w:r>
      <w:r w:rsidR="00FE63F1">
        <w:rPr>
          <w:szCs w:val="24"/>
        </w:rPr>
        <w:t xml:space="preserve">EIA will add to the Roundwood (pulpwood quality) a further distinction of 5 inches or more at breast height and less than 5 inches at breast height.  </w:t>
      </w:r>
    </w:p>
    <w:p w:rsidR="00353CE4" w:rsidRDefault="00353CE4" w:rsidP="00353C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color w:val="000000" w:themeColor="text1"/>
        </w:rPr>
      </w:pPr>
    </w:p>
    <w:p w:rsidR="00DB5999" w:rsidRDefault="00DB5999" w:rsidP="00564CA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sectPr w:rsidR="00DB5999" w:rsidSect="00AA648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A68" w:rsidRDefault="00630A68" w:rsidP="00B34E75">
      <w:pPr>
        <w:spacing w:after="0"/>
      </w:pPr>
      <w:r>
        <w:separator/>
      </w:r>
    </w:p>
  </w:endnote>
  <w:endnote w:type="continuationSeparator" w:id="0">
    <w:p w:rsidR="00630A68" w:rsidRDefault="00630A68" w:rsidP="00B34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68" w:rsidRPr="00A81038" w:rsidRDefault="00630A68" w:rsidP="00FE03EB">
    <w:pPr>
      <w:pStyle w:val="Footer"/>
      <w:tabs>
        <w:tab w:val="left" w:pos="6675"/>
      </w:tabs>
      <w:jc w:val="left"/>
    </w:pPr>
    <w:r>
      <w:tab/>
    </w:r>
    <w:r>
      <w:tab/>
    </w:r>
    <w:r>
      <w:tab/>
    </w:r>
    <w:r>
      <w:tab/>
    </w:r>
    <w:sdt>
      <w:sdtPr>
        <w:id w:val="1938098517"/>
        <w:docPartObj>
          <w:docPartGallery w:val="Page Numbers (Bottom of Page)"/>
          <w:docPartUnique/>
        </w:docPartObj>
      </w:sdtPr>
      <w:sdtEndPr/>
      <w:sdtContent>
        <w:sdt>
          <w:sdtPr>
            <w:id w:val="1225490238"/>
            <w:docPartObj>
              <w:docPartGallery w:val="Page Numbers (Top of Page)"/>
              <w:docPartUnique/>
            </w:docPartObj>
          </w:sdtPr>
          <w:sdtEndPr/>
          <w:sdtContent>
            <w:r>
              <w:t xml:space="preserve">Page </w:t>
            </w:r>
            <w:r>
              <w:rPr>
                <w:b/>
                <w:sz w:val="24"/>
                <w:szCs w:val="24"/>
              </w:rPr>
              <w:fldChar w:fldCharType="begin"/>
            </w:r>
            <w:r>
              <w:rPr>
                <w:b/>
              </w:rPr>
              <w:instrText xml:space="preserve"> PAGE </w:instrText>
            </w:r>
            <w:r>
              <w:rPr>
                <w:b/>
                <w:sz w:val="24"/>
                <w:szCs w:val="24"/>
              </w:rPr>
              <w:fldChar w:fldCharType="separate"/>
            </w:r>
            <w:r w:rsidR="00090CD5">
              <w:rPr>
                <w:b/>
                <w:noProof/>
              </w:rPr>
              <w:t>11</w:t>
            </w:r>
            <w:r>
              <w:rPr>
                <w:b/>
                <w:sz w:val="24"/>
                <w:szCs w:val="24"/>
              </w:rPr>
              <w:fldChar w:fldCharType="end"/>
            </w:r>
            <w:r>
              <w:t xml:space="preserve"> of 24</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A68" w:rsidRDefault="00630A68" w:rsidP="00B34E75">
      <w:pPr>
        <w:spacing w:after="0"/>
      </w:pPr>
      <w:r>
        <w:separator/>
      </w:r>
    </w:p>
  </w:footnote>
  <w:footnote w:type="continuationSeparator" w:id="0">
    <w:p w:rsidR="00630A68" w:rsidRDefault="00630A68" w:rsidP="00B34E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99A8D"/>
    <w:multiLevelType w:val="hybridMultilevel"/>
    <w:tmpl w:val="2EF1B9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F71DF"/>
    <w:multiLevelType w:val="hybridMultilevel"/>
    <w:tmpl w:val="B26C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240A53"/>
    <w:multiLevelType w:val="hybridMultilevel"/>
    <w:tmpl w:val="8782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C133E"/>
    <w:multiLevelType w:val="hybridMultilevel"/>
    <w:tmpl w:val="E06E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448F6"/>
    <w:multiLevelType w:val="hybridMultilevel"/>
    <w:tmpl w:val="A3A6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9B514C"/>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C350BA"/>
    <w:multiLevelType w:val="hybridMultilevel"/>
    <w:tmpl w:val="5C102632"/>
    <w:lvl w:ilvl="0" w:tplc="04090011">
      <w:start w:val="1"/>
      <w:numFmt w:val="decimal"/>
      <w:lvlText w:val="%1)"/>
      <w:lvlJc w:val="left"/>
      <w:pPr>
        <w:tabs>
          <w:tab w:val="num" w:pos="1080"/>
        </w:tabs>
        <w:ind w:left="1080" w:hanging="360"/>
      </w:pPr>
    </w:lvl>
    <w:lvl w:ilvl="1" w:tplc="C116EB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58621B2"/>
    <w:multiLevelType w:val="hybridMultilevel"/>
    <w:tmpl w:val="22E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DD151B"/>
    <w:multiLevelType w:val="hybridMultilevel"/>
    <w:tmpl w:val="CAFC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A31CF8"/>
    <w:multiLevelType w:val="hybridMultilevel"/>
    <w:tmpl w:val="0702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B4297"/>
    <w:multiLevelType w:val="hybridMultilevel"/>
    <w:tmpl w:val="C300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592A68"/>
    <w:multiLevelType w:val="hybridMultilevel"/>
    <w:tmpl w:val="349473B0"/>
    <w:lvl w:ilvl="0" w:tplc="04090001">
      <w:start w:val="1"/>
      <w:numFmt w:val="bullet"/>
      <w:lvlText w:val=""/>
      <w:lvlJc w:val="left"/>
      <w:pPr>
        <w:tabs>
          <w:tab w:val="num" w:pos="1080"/>
        </w:tabs>
        <w:ind w:left="1080" w:hanging="360"/>
      </w:pPr>
      <w:rPr>
        <w:rFonts w:ascii="Symbol" w:hAnsi="Symbol" w:hint="default"/>
      </w:rPr>
    </w:lvl>
    <w:lvl w:ilvl="1" w:tplc="D966C384">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B7B181E"/>
    <w:multiLevelType w:val="hybridMultilevel"/>
    <w:tmpl w:val="46EE68E4"/>
    <w:lvl w:ilvl="0" w:tplc="835274E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95F10"/>
    <w:multiLevelType w:val="hybridMultilevel"/>
    <w:tmpl w:val="FFD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FC0769"/>
    <w:multiLevelType w:val="hybridMultilevel"/>
    <w:tmpl w:val="5556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D87925"/>
    <w:multiLevelType w:val="hybridMultilevel"/>
    <w:tmpl w:val="3D2C4930"/>
    <w:lvl w:ilvl="0" w:tplc="0409000F">
      <w:start w:val="1"/>
      <w:numFmt w:val="decimal"/>
      <w:lvlText w:val="%1."/>
      <w:lvlJc w:val="left"/>
      <w:pPr>
        <w:ind w:left="720" w:hanging="360"/>
      </w:pPr>
    </w:lvl>
    <w:lvl w:ilvl="1" w:tplc="E8E074C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C808E4"/>
    <w:multiLevelType w:val="hybridMultilevel"/>
    <w:tmpl w:val="AA26E184"/>
    <w:lvl w:ilvl="0" w:tplc="AA40D9D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116409"/>
    <w:multiLevelType w:val="hybridMultilevel"/>
    <w:tmpl w:val="CD1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96688D"/>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25A2C3F"/>
    <w:multiLevelType w:val="hybridMultilevel"/>
    <w:tmpl w:val="5A1685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136B3433"/>
    <w:multiLevelType w:val="hybridMultilevel"/>
    <w:tmpl w:val="88FC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A54D5D"/>
    <w:multiLevelType w:val="hybridMultilevel"/>
    <w:tmpl w:val="6DBA139E"/>
    <w:lvl w:ilvl="0" w:tplc="04090001">
      <w:start w:val="1"/>
      <w:numFmt w:val="bullet"/>
      <w:lvlText w:val=""/>
      <w:lvlJc w:val="left"/>
      <w:pPr>
        <w:tabs>
          <w:tab w:val="num" w:pos="1368"/>
        </w:tabs>
        <w:ind w:left="1368"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4913F83"/>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nsid w:val="14F002D4"/>
    <w:multiLevelType w:val="hybridMultilevel"/>
    <w:tmpl w:val="514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5831A9"/>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9865EC8"/>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6">
    <w:nsid w:val="19EF1B7B"/>
    <w:multiLevelType w:val="hybridMultilevel"/>
    <w:tmpl w:val="4B7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7640D0"/>
    <w:multiLevelType w:val="hybridMultilevel"/>
    <w:tmpl w:val="5F20DF44"/>
    <w:lvl w:ilvl="0" w:tplc="AA40D9D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E009D0"/>
    <w:multiLevelType w:val="hybridMultilevel"/>
    <w:tmpl w:val="D130D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BF7129D"/>
    <w:multiLevelType w:val="hybridMultilevel"/>
    <w:tmpl w:val="6C4E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EA75F2"/>
    <w:multiLevelType w:val="multilevel"/>
    <w:tmpl w:val="1B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DAB5C91"/>
    <w:multiLevelType w:val="hybridMultilevel"/>
    <w:tmpl w:val="F4643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262475"/>
    <w:multiLevelType w:val="hybridMultilevel"/>
    <w:tmpl w:val="939A12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F582564"/>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4">
    <w:nsid w:val="1FD27F66"/>
    <w:multiLevelType w:val="hybridMultilevel"/>
    <w:tmpl w:val="5DE4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447C71"/>
    <w:multiLevelType w:val="multilevel"/>
    <w:tmpl w:val="FA30BCCC"/>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10609C0"/>
    <w:multiLevelType w:val="hybridMultilevel"/>
    <w:tmpl w:val="A46414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1421D14"/>
    <w:multiLevelType w:val="hybridMultilevel"/>
    <w:tmpl w:val="8FE8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765A16"/>
    <w:multiLevelType w:val="hybridMultilevel"/>
    <w:tmpl w:val="744C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17E23CC"/>
    <w:multiLevelType w:val="hybridMultilevel"/>
    <w:tmpl w:val="E206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1A853F5"/>
    <w:multiLevelType w:val="hybridMultilevel"/>
    <w:tmpl w:val="45203510"/>
    <w:lvl w:ilvl="0" w:tplc="C46E41C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22443695"/>
    <w:multiLevelType w:val="hybridMultilevel"/>
    <w:tmpl w:val="769E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1C754B"/>
    <w:multiLevelType w:val="hybridMultilevel"/>
    <w:tmpl w:val="126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72C7BE3"/>
    <w:multiLevelType w:val="multilevel"/>
    <w:tmpl w:val="D34A3C10"/>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A76304E"/>
    <w:multiLevelType w:val="hybridMultilevel"/>
    <w:tmpl w:val="D6A4F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C600DAA"/>
    <w:multiLevelType w:val="hybridMultilevel"/>
    <w:tmpl w:val="0FF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FC390D"/>
    <w:multiLevelType w:val="multilevel"/>
    <w:tmpl w:val="B47C7680"/>
    <w:lvl w:ilvl="0">
      <w:start w:val="1"/>
      <w:numFmt w:val="upperLetter"/>
      <w:lvlText w:val="%1."/>
      <w:lvlJc w:val="left"/>
      <w:pPr>
        <w:ind w:left="360" w:hanging="360"/>
      </w:pPr>
      <w:rPr>
        <w:rFonts w:hint="default"/>
      </w:rPr>
    </w:lvl>
    <w:lvl w:ilvl="1">
      <w:start w:val="1"/>
      <w:numFmt w:val="decimal"/>
      <w:pStyle w:val="Heading2"/>
      <w:lvlText w:val="%1.%2"/>
      <w:lvlJc w:val="left"/>
      <w:pPr>
        <w:ind w:left="810" w:hanging="360"/>
      </w:pPr>
      <w:rPr>
        <w:rFonts w:hint="default"/>
        <w:b/>
      </w:rPr>
    </w:lvl>
    <w:lvl w:ilvl="2">
      <w:start w:val="1"/>
      <w:numFmt w:val="decimal"/>
      <w:pStyle w:val="Heading3"/>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7">
    <w:nsid w:val="2F0162D5"/>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8">
    <w:nsid w:val="2F631E56"/>
    <w:multiLevelType w:val="hybridMultilevel"/>
    <w:tmpl w:val="0DD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1C50544"/>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20B0D5C"/>
    <w:multiLevelType w:val="hybridMultilevel"/>
    <w:tmpl w:val="5344C16C"/>
    <w:lvl w:ilvl="0" w:tplc="3E92C342">
      <w:start w:val="1"/>
      <w:numFmt w:val="upp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6620BA"/>
    <w:multiLevelType w:val="hybridMultilevel"/>
    <w:tmpl w:val="939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8E7A8D"/>
    <w:multiLevelType w:val="hybridMultilevel"/>
    <w:tmpl w:val="ABCC2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316E93"/>
    <w:multiLevelType w:val="hybridMultilevel"/>
    <w:tmpl w:val="3A6EF80A"/>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55">
    <w:nsid w:val="344D2476"/>
    <w:multiLevelType w:val="hybridMultilevel"/>
    <w:tmpl w:val="F11C73B8"/>
    <w:lvl w:ilvl="0" w:tplc="AA40D9DA">
      <w:start w:val="1"/>
      <w:numFmt w:val="decimal"/>
      <w:lvlText w:val="(%1)"/>
      <w:lvlJc w:val="left"/>
      <w:pPr>
        <w:ind w:left="720" w:hanging="360"/>
      </w:pPr>
      <w:rPr>
        <w:rFonts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583246E"/>
    <w:multiLevelType w:val="hybridMultilevel"/>
    <w:tmpl w:val="B3C2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7">
    <w:nsid w:val="377B2D98"/>
    <w:multiLevelType w:val="hybridMultilevel"/>
    <w:tmpl w:val="41862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7F74496"/>
    <w:multiLevelType w:val="hybridMultilevel"/>
    <w:tmpl w:val="0044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92D43F7"/>
    <w:multiLevelType w:val="hybridMultilevel"/>
    <w:tmpl w:val="1526CA62"/>
    <w:lvl w:ilvl="0" w:tplc="AA40D9DA">
      <w:start w:val="1"/>
      <w:numFmt w:val="decimal"/>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8F6A71"/>
    <w:multiLevelType w:val="hybridMultilevel"/>
    <w:tmpl w:val="7C64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5C17BB"/>
    <w:multiLevelType w:val="hybridMultilevel"/>
    <w:tmpl w:val="1A547F1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3">
    <w:nsid w:val="3A743F53"/>
    <w:multiLevelType w:val="hybridMultilevel"/>
    <w:tmpl w:val="1960E994"/>
    <w:lvl w:ilvl="0" w:tplc="AA40D9DA">
      <w:start w:val="1"/>
      <w:numFmt w:val="decimal"/>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870F6D"/>
    <w:multiLevelType w:val="hybridMultilevel"/>
    <w:tmpl w:val="DEEE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AEB0413"/>
    <w:multiLevelType w:val="hybridMultilevel"/>
    <w:tmpl w:val="E5243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EA50971"/>
    <w:multiLevelType w:val="hybridMultilevel"/>
    <w:tmpl w:val="CE84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F025FE4"/>
    <w:multiLevelType w:val="hybridMultilevel"/>
    <w:tmpl w:val="D94A94F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04C7800"/>
    <w:multiLevelType w:val="hybridMultilevel"/>
    <w:tmpl w:val="3FA4E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1662E5D"/>
    <w:multiLevelType w:val="hybridMultilevel"/>
    <w:tmpl w:val="55E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1C57004"/>
    <w:multiLevelType w:val="hybridMultilevel"/>
    <w:tmpl w:val="54F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3E43CFD"/>
    <w:multiLevelType w:val="hybridMultilevel"/>
    <w:tmpl w:val="E43ED638"/>
    <w:lvl w:ilvl="0" w:tplc="26BC78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439112B"/>
    <w:multiLevelType w:val="hybridMultilevel"/>
    <w:tmpl w:val="8EF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499559B"/>
    <w:multiLevelType w:val="hybridMultilevel"/>
    <w:tmpl w:val="B51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51E556F"/>
    <w:multiLevelType w:val="hybridMultilevel"/>
    <w:tmpl w:val="945A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56E3E55"/>
    <w:multiLevelType w:val="hybridMultilevel"/>
    <w:tmpl w:val="1AEC2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BC720A"/>
    <w:multiLevelType w:val="multilevel"/>
    <w:tmpl w:val="8542BDE6"/>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nsid w:val="48104C69"/>
    <w:multiLevelType w:val="hybridMultilevel"/>
    <w:tmpl w:val="53A67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8DA1B0F"/>
    <w:multiLevelType w:val="hybridMultilevel"/>
    <w:tmpl w:val="734C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A3E6981"/>
    <w:multiLevelType w:val="hybridMultilevel"/>
    <w:tmpl w:val="A198A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A7F408C"/>
    <w:multiLevelType w:val="hybridMultilevel"/>
    <w:tmpl w:val="E4485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B2226D8"/>
    <w:multiLevelType w:val="hybridMultilevel"/>
    <w:tmpl w:val="ABE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B704B64"/>
    <w:multiLevelType w:val="hybridMultilevel"/>
    <w:tmpl w:val="E248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CFE0276"/>
    <w:multiLevelType w:val="hybridMultilevel"/>
    <w:tmpl w:val="21401314"/>
    <w:lvl w:ilvl="0" w:tplc="04090001">
      <w:start w:val="1"/>
      <w:numFmt w:val="bullet"/>
      <w:lvlText w:val=""/>
      <w:lvlJc w:val="left"/>
      <w:pPr>
        <w:ind w:left="1080" w:hanging="360"/>
      </w:pPr>
      <w:rPr>
        <w:rFonts w:ascii="Symbol" w:hAnsi="Symbol" w:hint="default"/>
      </w:rPr>
    </w:lvl>
    <w:lvl w:ilvl="1" w:tplc="E8E074C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DE459E3"/>
    <w:multiLevelType w:val="hybridMultilevel"/>
    <w:tmpl w:val="670C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2514E2"/>
    <w:multiLevelType w:val="hybridMultilevel"/>
    <w:tmpl w:val="CA607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DC1C0C"/>
    <w:multiLevelType w:val="hybridMultilevel"/>
    <w:tmpl w:val="5EDED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2E14081"/>
    <w:multiLevelType w:val="hybridMultilevel"/>
    <w:tmpl w:val="9BC67C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5031B1E"/>
    <w:multiLevelType w:val="hybridMultilevel"/>
    <w:tmpl w:val="2568919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0">
    <w:nsid w:val="5507486D"/>
    <w:multiLevelType w:val="hybridMultilevel"/>
    <w:tmpl w:val="70D4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509083F"/>
    <w:multiLevelType w:val="multilevel"/>
    <w:tmpl w:val="B928E13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698581F"/>
    <w:multiLevelType w:val="hybridMultilevel"/>
    <w:tmpl w:val="B1E63CE4"/>
    <w:lvl w:ilvl="0" w:tplc="AA40D9DA">
      <w:start w:val="1"/>
      <w:numFmt w:val="decimal"/>
      <w:lvlText w:val="(%1)"/>
      <w:lvlJc w:val="left"/>
      <w:pPr>
        <w:ind w:left="1112" w:hanging="360"/>
      </w:pPr>
      <w:rPr>
        <w:rFonts w:cs="Times New Roman" w:hint="default"/>
        <w:b w:val="0"/>
      </w:rPr>
    </w:lvl>
    <w:lvl w:ilvl="1" w:tplc="04090003">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93">
    <w:nsid w:val="588C2F87"/>
    <w:multiLevelType w:val="hybridMultilevel"/>
    <w:tmpl w:val="F1C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96F3D53"/>
    <w:multiLevelType w:val="hybridMultilevel"/>
    <w:tmpl w:val="688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290E7D"/>
    <w:multiLevelType w:val="hybridMultilevel"/>
    <w:tmpl w:val="F49CA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A510E7B"/>
    <w:multiLevelType w:val="hybridMultilevel"/>
    <w:tmpl w:val="7C486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CAD1EBC"/>
    <w:multiLevelType w:val="hybridMultilevel"/>
    <w:tmpl w:val="703A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CB13A42"/>
    <w:multiLevelType w:val="hybridMultilevel"/>
    <w:tmpl w:val="DC46E20A"/>
    <w:lvl w:ilvl="0" w:tplc="AA40D9D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79232D"/>
    <w:multiLevelType w:val="hybridMultilevel"/>
    <w:tmpl w:val="3A52D770"/>
    <w:lvl w:ilvl="0" w:tplc="FB06C14E">
      <w:start w:val="1"/>
      <w:numFmt w:val="bullet"/>
      <w:lvlText w:val=""/>
      <w:lvlJc w:val="left"/>
      <w:pPr>
        <w:tabs>
          <w:tab w:val="num" w:pos="720"/>
        </w:tabs>
        <w:ind w:left="720" w:hanging="360"/>
      </w:pPr>
      <w:rPr>
        <w:rFonts w:ascii="Symbol" w:hAnsi="Symbol" w:hint="default"/>
        <w:color w:val="00000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0">
    <w:nsid w:val="5FB56B21"/>
    <w:multiLevelType w:val="hybridMultilevel"/>
    <w:tmpl w:val="387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FF876A6"/>
    <w:multiLevelType w:val="hybridMultilevel"/>
    <w:tmpl w:val="21E801E8"/>
    <w:lvl w:ilvl="0" w:tplc="AA40D9D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1677C65"/>
    <w:multiLevelType w:val="hybridMultilevel"/>
    <w:tmpl w:val="18C0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1717D0F"/>
    <w:multiLevelType w:val="hybridMultilevel"/>
    <w:tmpl w:val="DA2C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5467F77"/>
    <w:multiLevelType w:val="multilevel"/>
    <w:tmpl w:val="87C40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5">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7C41B98"/>
    <w:multiLevelType w:val="hybridMultilevel"/>
    <w:tmpl w:val="BA86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3C0A2E"/>
    <w:multiLevelType w:val="multilevel"/>
    <w:tmpl w:val="6FDEF2AE"/>
    <w:lvl w:ilvl="0">
      <w:start w:val="1"/>
      <w:numFmt w:val="decimal"/>
      <w:suff w:val="space"/>
      <w:lvlText w:val="%1."/>
      <w:lvlJc w:val="left"/>
      <w:pPr>
        <w:ind w:left="0" w:firstLine="0"/>
      </w:pPr>
      <w:rPr>
        <w:rFonts w:ascii="Calibri" w:hAnsi="Calibri" w:hint="default"/>
        <w:b/>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99E250B"/>
    <w:multiLevelType w:val="hybridMultilevel"/>
    <w:tmpl w:val="2BE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A756A68"/>
    <w:multiLevelType w:val="hybridMultilevel"/>
    <w:tmpl w:val="EE70D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nsid w:val="6DEC5776"/>
    <w:multiLevelType w:val="multilevel"/>
    <w:tmpl w:val="02BE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FA437F2"/>
    <w:multiLevelType w:val="hybridMultilevel"/>
    <w:tmpl w:val="DCA6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F12F93"/>
    <w:multiLevelType w:val="hybridMultilevel"/>
    <w:tmpl w:val="397CA7B4"/>
    <w:lvl w:ilvl="0" w:tplc="11B6DB9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17566FD"/>
    <w:multiLevelType w:val="hybridMultilevel"/>
    <w:tmpl w:val="698E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48C7486"/>
    <w:multiLevelType w:val="hybridMultilevel"/>
    <w:tmpl w:val="2238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49A02BF"/>
    <w:multiLevelType w:val="hybridMultilevel"/>
    <w:tmpl w:val="312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56E52E7"/>
    <w:multiLevelType w:val="hybridMultilevel"/>
    <w:tmpl w:val="80A8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6421E2B"/>
    <w:multiLevelType w:val="multilevel"/>
    <w:tmpl w:val="1C86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78044F3"/>
    <w:multiLevelType w:val="hybridMultilevel"/>
    <w:tmpl w:val="4DAAD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901742D"/>
    <w:multiLevelType w:val="hybridMultilevel"/>
    <w:tmpl w:val="6556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901790E"/>
    <w:multiLevelType w:val="hybridMultilevel"/>
    <w:tmpl w:val="BDCE1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9E2308F"/>
    <w:multiLevelType w:val="hybridMultilevel"/>
    <w:tmpl w:val="5B2E4C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nsid w:val="7C2902D1"/>
    <w:multiLevelType w:val="hybridMultilevel"/>
    <w:tmpl w:val="5CC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CFC2735"/>
    <w:multiLevelType w:val="multilevel"/>
    <w:tmpl w:val="A60A5F9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4">
    <w:nsid w:val="7D63214B"/>
    <w:multiLevelType w:val="hybridMultilevel"/>
    <w:tmpl w:val="CED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DC70840"/>
    <w:multiLevelType w:val="hybridMultilevel"/>
    <w:tmpl w:val="FD8C7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E055D12"/>
    <w:multiLevelType w:val="hybridMultilevel"/>
    <w:tmpl w:val="A16E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F3A384F"/>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7F5E7CE5"/>
    <w:multiLevelType w:val="hybridMultilevel"/>
    <w:tmpl w:val="44EC8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7FCB7219"/>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9"/>
  </w:num>
  <w:num w:numId="2">
    <w:abstractNumId w:val="88"/>
  </w:num>
  <w:num w:numId="3">
    <w:abstractNumId w:val="32"/>
  </w:num>
  <w:num w:numId="4">
    <w:abstractNumId w:val="69"/>
  </w:num>
  <w:num w:numId="5">
    <w:abstractNumId w:val="82"/>
  </w:num>
  <w:num w:numId="6">
    <w:abstractNumId w:val="72"/>
  </w:num>
  <w:num w:numId="7">
    <w:abstractNumId w:val="9"/>
  </w:num>
  <w:num w:numId="8">
    <w:abstractNumId w:val="56"/>
  </w:num>
  <w:num w:numId="9">
    <w:abstractNumId w:val="105"/>
  </w:num>
  <w:num w:numId="10">
    <w:abstractNumId w:val="59"/>
  </w:num>
  <w:num w:numId="11">
    <w:abstractNumId w:val="7"/>
  </w:num>
  <w:num w:numId="12">
    <w:abstractNumId w:val="17"/>
  </w:num>
  <w:num w:numId="13">
    <w:abstractNumId w:val="73"/>
  </w:num>
  <w:num w:numId="14">
    <w:abstractNumId w:val="106"/>
  </w:num>
  <w:num w:numId="15">
    <w:abstractNumId w:val="97"/>
  </w:num>
  <w:num w:numId="16">
    <w:abstractNumId w:val="79"/>
  </w:num>
  <w:num w:numId="17">
    <w:abstractNumId w:val="126"/>
  </w:num>
  <w:num w:numId="18">
    <w:abstractNumId w:val="49"/>
  </w:num>
  <w:num w:numId="19">
    <w:abstractNumId w:val="44"/>
  </w:num>
  <w:num w:numId="20">
    <w:abstractNumId w:val="6"/>
  </w:num>
  <w:num w:numId="21">
    <w:abstractNumId w:val="66"/>
  </w:num>
  <w:num w:numId="22">
    <w:abstractNumId w:val="128"/>
  </w:num>
  <w:num w:numId="23">
    <w:abstractNumId w:val="21"/>
  </w:num>
  <w:num w:numId="24">
    <w:abstractNumId w:val="103"/>
  </w:num>
  <w:num w:numId="25">
    <w:abstractNumId w:val="15"/>
  </w:num>
  <w:num w:numId="26">
    <w:abstractNumId w:val="87"/>
  </w:num>
  <w:num w:numId="27">
    <w:abstractNumId w:val="11"/>
  </w:num>
  <w:num w:numId="28">
    <w:abstractNumId w:val="85"/>
  </w:num>
  <w:num w:numId="29">
    <w:abstractNumId w:val="53"/>
  </w:num>
  <w:num w:numId="30">
    <w:abstractNumId w:val="96"/>
  </w:num>
  <w:num w:numId="31">
    <w:abstractNumId w:val="83"/>
  </w:num>
  <w:num w:numId="32">
    <w:abstractNumId w:val="116"/>
  </w:num>
  <w:num w:numId="33">
    <w:abstractNumId w:val="2"/>
  </w:num>
  <w:num w:numId="34">
    <w:abstractNumId w:val="75"/>
  </w:num>
  <w:num w:numId="35">
    <w:abstractNumId w:val="61"/>
  </w:num>
  <w:num w:numId="36">
    <w:abstractNumId w:val="112"/>
  </w:num>
  <w:num w:numId="37">
    <w:abstractNumId w:val="8"/>
  </w:num>
  <w:num w:numId="38">
    <w:abstractNumId w:val="114"/>
  </w:num>
  <w:num w:numId="39">
    <w:abstractNumId w:val="77"/>
  </w:num>
  <w:num w:numId="40">
    <w:abstractNumId w:val="12"/>
  </w:num>
  <w:num w:numId="41">
    <w:abstractNumId w:val="102"/>
  </w:num>
  <w:num w:numId="42">
    <w:abstractNumId w:val="0"/>
  </w:num>
  <w:num w:numId="43">
    <w:abstractNumId w:val="70"/>
  </w:num>
  <w:num w:numId="44">
    <w:abstractNumId w:val="100"/>
  </w:num>
  <w:num w:numId="45">
    <w:abstractNumId w:val="23"/>
  </w:num>
  <w:num w:numId="46">
    <w:abstractNumId w:val="13"/>
  </w:num>
  <w:num w:numId="47">
    <w:abstractNumId w:val="48"/>
  </w:num>
  <w:num w:numId="48">
    <w:abstractNumId w:val="71"/>
  </w:num>
  <w:num w:numId="49">
    <w:abstractNumId w:val="16"/>
  </w:num>
  <w:num w:numId="50">
    <w:abstractNumId w:val="98"/>
  </w:num>
  <w:num w:numId="51">
    <w:abstractNumId w:val="54"/>
  </w:num>
  <w:num w:numId="52">
    <w:abstractNumId w:val="92"/>
  </w:num>
  <w:num w:numId="53">
    <w:abstractNumId w:val="67"/>
  </w:num>
  <w:num w:numId="54">
    <w:abstractNumId w:val="55"/>
  </w:num>
  <w:num w:numId="55">
    <w:abstractNumId w:val="27"/>
  </w:num>
  <w:num w:numId="56">
    <w:abstractNumId w:val="120"/>
  </w:num>
  <w:num w:numId="57">
    <w:abstractNumId w:val="46"/>
  </w:num>
  <w:num w:numId="58">
    <w:abstractNumId w:val="109"/>
  </w:num>
  <w:num w:numId="59">
    <w:abstractNumId w:val="46"/>
  </w:num>
  <w:num w:numId="60">
    <w:abstractNumId w:val="110"/>
  </w:num>
  <w:num w:numId="61">
    <w:abstractNumId w:val="117"/>
  </w:num>
  <w:num w:numId="62">
    <w:abstractNumId w:val="30"/>
  </w:num>
  <w:num w:numId="63">
    <w:abstractNumId w:val="104"/>
  </w:num>
  <w:num w:numId="64">
    <w:abstractNumId w:val="33"/>
  </w:num>
  <w:num w:numId="65">
    <w:abstractNumId w:val="25"/>
  </w:num>
  <w:num w:numId="66">
    <w:abstractNumId w:val="47"/>
  </w:num>
  <w:num w:numId="67">
    <w:abstractNumId w:val="121"/>
  </w:num>
  <w:num w:numId="68">
    <w:abstractNumId w:val="43"/>
  </w:num>
  <w:num w:numId="69">
    <w:abstractNumId w:val="35"/>
  </w:num>
  <w:num w:numId="70">
    <w:abstractNumId w:val="101"/>
  </w:num>
  <w:num w:numId="71">
    <w:abstractNumId w:val="46"/>
  </w:num>
  <w:num w:numId="72">
    <w:abstractNumId w:val="46"/>
  </w:num>
  <w:num w:numId="73">
    <w:abstractNumId w:val="46"/>
  </w:num>
  <w:num w:numId="74">
    <w:abstractNumId w:val="46"/>
  </w:num>
  <w:num w:numId="75">
    <w:abstractNumId w:val="46"/>
  </w:num>
  <w:num w:numId="76">
    <w:abstractNumId w:val="40"/>
  </w:num>
  <w:num w:numId="77">
    <w:abstractNumId w:val="46"/>
  </w:num>
  <w:num w:numId="78">
    <w:abstractNumId w:val="60"/>
  </w:num>
  <w:num w:numId="79">
    <w:abstractNumId w:val="63"/>
  </w:num>
  <w:num w:numId="80">
    <w:abstractNumId w:val="28"/>
  </w:num>
  <w:num w:numId="81">
    <w:abstractNumId w:val="90"/>
  </w:num>
  <w:num w:numId="82">
    <w:abstractNumId w:val="22"/>
  </w:num>
  <w:num w:numId="83">
    <w:abstractNumId w:val="5"/>
  </w:num>
  <w:num w:numId="84">
    <w:abstractNumId w:val="50"/>
  </w:num>
  <w:num w:numId="85">
    <w:abstractNumId w:val="107"/>
  </w:num>
  <w:num w:numId="86">
    <w:abstractNumId w:val="129"/>
  </w:num>
  <w:num w:numId="87">
    <w:abstractNumId w:val="18"/>
  </w:num>
  <w:num w:numId="88">
    <w:abstractNumId w:val="127"/>
  </w:num>
  <w:num w:numId="89">
    <w:abstractNumId w:val="24"/>
  </w:num>
  <w:num w:numId="90">
    <w:abstractNumId w:val="1"/>
  </w:num>
  <w:num w:numId="91">
    <w:abstractNumId w:val="122"/>
  </w:num>
  <w:num w:numId="92">
    <w:abstractNumId w:val="51"/>
  </w:num>
  <w:num w:numId="93">
    <w:abstractNumId w:val="29"/>
  </w:num>
  <w:num w:numId="94">
    <w:abstractNumId w:val="58"/>
  </w:num>
  <w:num w:numId="95">
    <w:abstractNumId w:val="108"/>
  </w:num>
  <w:num w:numId="96">
    <w:abstractNumId w:val="34"/>
  </w:num>
  <w:num w:numId="97">
    <w:abstractNumId w:val="68"/>
  </w:num>
  <w:num w:numId="98">
    <w:abstractNumId w:val="89"/>
  </w:num>
  <w:num w:numId="99">
    <w:abstractNumId w:val="4"/>
  </w:num>
  <w:num w:numId="100">
    <w:abstractNumId w:val="118"/>
  </w:num>
  <w:num w:numId="101">
    <w:abstractNumId w:val="37"/>
  </w:num>
  <w:num w:numId="102">
    <w:abstractNumId w:val="38"/>
  </w:num>
  <w:num w:numId="103">
    <w:abstractNumId w:val="10"/>
  </w:num>
  <w:num w:numId="104">
    <w:abstractNumId w:val="113"/>
  </w:num>
  <w:num w:numId="105">
    <w:abstractNumId w:val="115"/>
  </w:num>
  <w:num w:numId="106">
    <w:abstractNumId w:val="41"/>
  </w:num>
  <w:num w:numId="107">
    <w:abstractNumId w:val="124"/>
  </w:num>
  <w:num w:numId="108">
    <w:abstractNumId w:val="26"/>
  </w:num>
  <w:num w:numId="109">
    <w:abstractNumId w:val="80"/>
  </w:num>
  <w:num w:numId="110">
    <w:abstractNumId w:val="74"/>
  </w:num>
  <w:num w:numId="111">
    <w:abstractNumId w:val="84"/>
  </w:num>
  <w:num w:numId="112">
    <w:abstractNumId w:val="86"/>
  </w:num>
  <w:num w:numId="113">
    <w:abstractNumId w:val="81"/>
  </w:num>
  <w:num w:numId="114">
    <w:abstractNumId w:val="39"/>
  </w:num>
  <w:num w:numId="115">
    <w:abstractNumId w:val="125"/>
  </w:num>
  <w:num w:numId="116">
    <w:abstractNumId w:val="119"/>
  </w:num>
  <w:num w:numId="117">
    <w:abstractNumId w:val="64"/>
  </w:num>
  <w:num w:numId="118">
    <w:abstractNumId w:val="94"/>
  </w:num>
  <w:num w:numId="119">
    <w:abstractNumId w:val="57"/>
  </w:num>
  <w:num w:numId="120">
    <w:abstractNumId w:val="78"/>
  </w:num>
  <w:num w:numId="121">
    <w:abstractNumId w:val="14"/>
  </w:num>
  <w:num w:numId="122">
    <w:abstractNumId w:val="31"/>
  </w:num>
  <w:num w:numId="123">
    <w:abstractNumId w:val="45"/>
  </w:num>
  <w:num w:numId="124">
    <w:abstractNumId w:val="20"/>
  </w:num>
  <w:num w:numId="125">
    <w:abstractNumId w:val="93"/>
  </w:num>
  <w:num w:numId="126">
    <w:abstractNumId w:val="42"/>
  </w:num>
  <w:num w:numId="127">
    <w:abstractNumId w:val="52"/>
  </w:num>
  <w:num w:numId="128">
    <w:abstractNumId w:val="65"/>
  </w:num>
  <w:num w:numId="129">
    <w:abstractNumId w:val="91"/>
  </w:num>
  <w:num w:numId="130">
    <w:abstractNumId w:val="111"/>
  </w:num>
  <w:num w:numId="131">
    <w:abstractNumId w:val="62"/>
  </w:num>
  <w:num w:numId="132">
    <w:abstractNumId w:val="19"/>
  </w:num>
  <w:num w:numId="133">
    <w:abstractNumId w:val="95"/>
  </w:num>
  <w:num w:numId="134">
    <w:abstractNumId w:val="3"/>
  </w:num>
  <w:num w:numId="13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visionView w:markup="0"/>
  <w:trackRevisions/>
  <w:defaultTabStop w:val="36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AF"/>
    <w:rsid w:val="00000803"/>
    <w:rsid w:val="00000EFA"/>
    <w:rsid w:val="0000338F"/>
    <w:rsid w:val="000039FB"/>
    <w:rsid w:val="00004281"/>
    <w:rsid w:val="00004C6F"/>
    <w:rsid w:val="000059AE"/>
    <w:rsid w:val="000060CA"/>
    <w:rsid w:val="00007238"/>
    <w:rsid w:val="00007274"/>
    <w:rsid w:val="000103A8"/>
    <w:rsid w:val="00010662"/>
    <w:rsid w:val="00010688"/>
    <w:rsid w:val="00014178"/>
    <w:rsid w:val="0001588F"/>
    <w:rsid w:val="00016833"/>
    <w:rsid w:val="00020033"/>
    <w:rsid w:val="00020A34"/>
    <w:rsid w:val="00020AAD"/>
    <w:rsid w:val="00021BC5"/>
    <w:rsid w:val="000232AB"/>
    <w:rsid w:val="0002449A"/>
    <w:rsid w:val="00026BE9"/>
    <w:rsid w:val="0002708B"/>
    <w:rsid w:val="0002762B"/>
    <w:rsid w:val="00032ED1"/>
    <w:rsid w:val="000331B6"/>
    <w:rsid w:val="00033F4A"/>
    <w:rsid w:val="0003460B"/>
    <w:rsid w:val="0003740D"/>
    <w:rsid w:val="00037798"/>
    <w:rsid w:val="00037B2A"/>
    <w:rsid w:val="00042EC8"/>
    <w:rsid w:val="0004529C"/>
    <w:rsid w:val="000454F2"/>
    <w:rsid w:val="000456CB"/>
    <w:rsid w:val="00045840"/>
    <w:rsid w:val="00047032"/>
    <w:rsid w:val="000473B7"/>
    <w:rsid w:val="00047FA5"/>
    <w:rsid w:val="00052468"/>
    <w:rsid w:val="00052BBC"/>
    <w:rsid w:val="000531D5"/>
    <w:rsid w:val="00053B05"/>
    <w:rsid w:val="00054A0B"/>
    <w:rsid w:val="00054C53"/>
    <w:rsid w:val="0005734F"/>
    <w:rsid w:val="00057DDB"/>
    <w:rsid w:val="0006123B"/>
    <w:rsid w:val="0006207B"/>
    <w:rsid w:val="000625CE"/>
    <w:rsid w:val="00063289"/>
    <w:rsid w:val="00066FFA"/>
    <w:rsid w:val="00067904"/>
    <w:rsid w:val="00067A01"/>
    <w:rsid w:val="00070CA5"/>
    <w:rsid w:val="00071AAF"/>
    <w:rsid w:val="00073290"/>
    <w:rsid w:val="00073DDC"/>
    <w:rsid w:val="00075057"/>
    <w:rsid w:val="000761EE"/>
    <w:rsid w:val="00077D3C"/>
    <w:rsid w:val="00077E68"/>
    <w:rsid w:val="00080AA7"/>
    <w:rsid w:val="00080F59"/>
    <w:rsid w:val="00081AFA"/>
    <w:rsid w:val="000838EB"/>
    <w:rsid w:val="0008424A"/>
    <w:rsid w:val="00085175"/>
    <w:rsid w:val="00086FF3"/>
    <w:rsid w:val="000873EB"/>
    <w:rsid w:val="000875AD"/>
    <w:rsid w:val="00087991"/>
    <w:rsid w:val="000906EB"/>
    <w:rsid w:val="00090CD5"/>
    <w:rsid w:val="00092D0F"/>
    <w:rsid w:val="0009368A"/>
    <w:rsid w:val="000937D9"/>
    <w:rsid w:val="00093BD1"/>
    <w:rsid w:val="00093E9F"/>
    <w:rsid w:val="00094C1A"/>
    <w:rsid w:val="00095C3A"/>
    <w:rsid w:val="00095FA1"/>
    <w:rsid w:val="000962B0"/>
    <w:rsid w:val="0009687B"/>
    <w:rsid w:val="00096A9B"/>
    <w:rsid w:val="0009773C"/>
    <w:rsid w:val="000A1E0F"/>
    <w:rsid w:val="000A202B"/>
    <w:rsid w:val="000A294A"/>
    <w:rsid w:val="000A2B33"/>
    <w:rsid w:val="000A47ED"/>
    <w:rsid w:val="000A66C8"/>
    <w:rsid w:val="000A7631"/>
    <w:rsid w:val="000A7EC9"/>
    <w:rsid w:val="000B011A"/>
    <w:rsid w:val="000B124B"/>
    <w:rsid w:val="000B3743"/>
    <w:rsid w:val="000B3EC3"/>
    <w:rsid w:val="000B41BC"/>
    <w:rsid w:val="000B4E33"/>
    <w:rsid w:val="000B5C57"/>
    <w:rsid w:val="000B5DFD"/>
    <w:rsid w:val="000B5EE0"/>
    <w:rsid w:val="000B764F"/>
    <w:rsid w:val="000C0908"/>
    <w:rsid w:val="000C16E7"/>
    <w:rsid w:val="000C1B8B"/>
    <w:rsid w:val="000C26A4"/>
    <w:rsid w:val="000C4AAE"/>
    <w:rsid w:val="000C4D16"/>
    <w:rsid w:val="000C4EA3"/>
    <w:rsid w:val="000C542C"/>
    <w:rsid w:val="000C7572"/>
    <w:rsid w:val="000C77AD"/>
    <w:rsid w:val="000D122F"/>
    <w:rsid w:val="000D50AF"/>
    <w:rsid w:val="000D5F36"/>
    <w:rsid w:val="000D6184"/>
    <w:rsid w:val="000D6A2A"/>
    <w:rsid w:val="000E0035"/>
    <w:rsid w:val="000E0DE8"/>
    <w:rsid w:val="000E100A"/>
    <w:rsid w:val="000E4B8C"/>
    <w:rsid w:val="000E60F9"/>
    <w:rsid w:val="000E6621"/>
    <w:rsid w:val="000E666D"/>
    <w:rsid w:val="000E6AA3"/>
    <w:rsid w:val="000F3602"/>
    <w:rsid w:val="000F45CF"/>
    <w:rsid w:val="000F46A7"/>
    <w:rsid w:val="000F5051"/>
    <w:rsid w:val="000F5B16"/>
    <w:rsid w:val="000F6851"/>
    <w:rsid w:val="0010095D"/>
    <w:rsid w:val="00101C52"/>
    <w:rsid w:val="00103890"/>
    <w:rsid w:val="00104B3D"/>
    <w:rsid w:val="00105A3A"/>
    <w:rsid w:val="0010608A"/>
    <w:rsid w:val="0010739C"/>
    <w:rsid w:val="00107740"/>
    <w:rsid w:val="00111BEC"/>
    <w:rsid w:val="00112270"/>
    <w:rsid w:val="00115BF9"/>
    <w:rsid w:val="00116553"/>
    <w:rsid w:val="00116C8D"/>
    <w:rsid w:val="00122A48"/>
    <w:rsid w:val="00123CC0"/>
    <w:rsid w:val="00126268"/>
    <w:rsid w:val="001270D6"/>
    <w:rsid w:val="00127389"/>
    <w:rsid w:val="00130A03"/>
    <w:rsid w:val="00131194"/>
    <w:rsid w:val="00133FA2"/>
    <w:rsid w:val="001340AA"/>
    <w:rsid w:val="00141896"/>
    <w:rsid w:val="00142510"/>
    <w:rsid w:val="00142889"/>
    <w:rsid w:val="00143E7B"/>
    <w:rsid w:val="001447B7"/>
    <w:rsid w:val="001449F2"/>
    <w:rsid w:val="00144A6D"/>
    <w:rsid w:val="001450B5"/>
    <w:rsid w:val="00145877"/>
    <w:rsid w:val="00145922"/>
    <w:rsid w:val="001461CA"/>
    <w:rsid w:val="00151BC1"/>
    <w:rsid w:val="001542D5"/>
    <w:rsid w:val="00156C17"/>
    <w:rsid w:val="001576F8"/>
    <w:rsid w:val="0016126F"/>
    <w:rsid w:val="00163E24"/>
    <w:rsid w:val="00164E17"/>
    <w:rsid w:val="001651A6"/>
    <w:rsid w:val="00167F05"/>
    <w:rsid w:val="00170444"/>
    <w:rsid w:val="0017070B"/>
    <w:rsid w:val="001714DD"/>
    <w:rsid w:val="00174195"/>
    <w:rsid w:val="00174AD6"/>
    <w:rsid w:val="001775CD"/>
    <w:rsid w:val="00177D04"/>
    <w:rsid w:val="00180F7A"/>
    <w:rsid w:val="00181F12"/>
    <w:rsid w:val="00185118"/>
    <w:rsid w:val="0018605D"/>
    <w:rsid w:val="001862C3"/>
    <w:rsid w:val="001863D1"/>
    <w:rsid w:val="00190B96"/>
    <w:rsid w:val="00195732"/>
    <w:rsid w:val="0019702A"/>
    <w:rsid w:val="001A19A9"/>
    <w:rsid w:val="001A3879"/>
    <w:rsid w:val="001A5794"/>
    <w:rsid w:val="001A64CC"/>
    <w:rsid w:val="001A6926"/>
    <w:rsid w:val="001A76A7"/>
    <w:rsid w:val="001A7B7A"/>
    <w:rsid w:val="001B01C5"/>
    <w:rsid w:val="001B0AC3"/>
    <w:rsid w:val="001B0D3E"/>
    <w:rsid w:val="001B1211"/>
    <w:rsid w:val="001B7B5E"/>
    <w:rsid w:val="001B7D7D"/>
    <w:rsid w:val="001C17AC"/>
    <w:rsid w:val="001C302D"/>
    <w:rsid w:val="001C35B3"/>
    <w:rsid w:val="001C5700"/>
    <w:rsid w:val="001C5ECE"/>
    <w:rsid w:val="001C5EED"/>
    <w:rsid w:val="001C7ED6"/>
    <w:rsid w:val="001D1739"/>
    <w:rsid w:val="001D1974"/>
    <w:rsid w:val="001D44E5"/>
    <w:rsid w:val="001D7D6A"/>
    <w:rsid w:val="001E4C8E"/>
    <w:rsid w:val="001E6862"/>
    <w:rsid w:val="001E69C5"/>
    <w:rsid w:val="001F05B7"/>
    <w:rsid w:val="001F230E"/>
    <w:rsid w:val="001F2379"/>
    <w:rsid w:val="001F50D5"/>
    <w:rsid w:val="001F5A82"/>
    <w:rsid w:val="001F7CA3"/>
    <w:rsid w:val="00200ACE"/>
    <w:rsid w:val="0020151A"/>
    <w:rsid w:val="00202326"/>
    <w:rsid w:val="002034DC"/>
    <w:rsid w:val="00203A34"/>
    <w:rsid w:val="00204414"/>
    <w:rsid w:val="00204CA6"/>
    <w:rsid w:val="00206513"/>
    <w:rsid w:val="00211680"/>
    <w:rsid w:val="00212FF2"/>
    <w:rsid w:val="002132D4"/>
    <w:rsid w:val="00213433"/>
    <w:rsid w:val="0021386F"/>
    <w:rsid w:val="00213A35"/>
    <w:rsid w:val="0021460E"/>
    <w:rsid w:val="00214A00"/>
    <w:rsid w:val="002157F2"/>
    <w:rsid w:val="00215AA0"/>
    <w:rsid w:val="002176EB"/>
    <w:rsid w:val="00217B99"/>
    <w:rsid w:val="0022013E"/>
    <w:rsid w:val="00221403"/>
    <w:rsid w:val="00221581"/>
    <w:rsid w:val="0022173F"/>
    <w:rsid w:val="00222A51"/>
    <w:rsid w:val="00222C5B"/>
    <w:rsid w:val="002241E3"/>
    <w:rsid w:val="00224776"/>
    <w:rsid w:val="002250BD"/>
    <w:rsid w:val="002252F6"/>
    <w:rsid w:val="002256E6"/>
    <w:rsid w:val="0022662D"/>
    <w:rsid w:val="0022790E"/>
    <w:rsid w:val="00227A57"/>
    <w:rsid w:val="00227EED"/>
    <w:rsid w:val="002312A8"/>
    <w:rsid w:val="00231625"/>
    <w:rsid w:val="00233276"/>
    <w:rsid w:val="00235049"/>
    <w:rsid w:val="0023529D"/>
    <w:rsid w:val="0023619F"/>
    <w:rsid w:val="00240D5A"/>
    <w:rsid w:val="002414ED"/>
    <w:rsid w:val="00241C14"/>
    <w:rsid w:val="00243F8F"/>
    <w:rsid w:val="00244149"/>
    <w:rsid w:val="00246A50"/>
    <w:rsid w:val="00251FD1"/>
    <w:rsid w:val="0025206F"/>
    <w:rsid w:val="00252188"/>
    <w:rsid w:val="00254024"/>
    <w:rsid w:val="00257CA8"/>
    <w:rsid w:val="00257D23"/>
    <w:rsid w:val="002607DB"/>
    <w:rsid w:val="00261000"/>
    <w:rsid w:val="00261351"/>
    <w:rsid w:val="002624B5"/>
    <w:rsid w:val="002625F9"/>
    <w:rsid w:val="00263D64"/>
    <w:rsid w:val="00264246"/>
    <w:rsid w:val="0026437E"/>
    <w:rsid w:val="00264581"/>
    <w:rsid w:val="0026582E"/>
    <w:rsid w:val="002662D4"/>
    <w:rsid w:val="00266CAC"/>
    <w:rsid w:val="00267110"/>
    <w:rsid w:val="00267D75"/>
    <w:rsid w:val="00267E5C"/>
    <w:rsid w:val="00267EBB"/>
    <w:rsid w:val="0027227E"/>
    <w:rsid w:val="00274A0E"/>
    <w:rsid w:val="00274AF5"/>
    <w:rsid w:val="0028088F"/>
    <w:rsid w:val="00283FF7"/>
    <w:rsid w:val="00286070"/>
    <w:rsid w:val="0028751D"/>
    <w:rsid w:val="002940A9"/>
    <w:rsid w:val="0029488F"/>
    <w:rsid w:val="002963BF"/>
    <w:rsid w:val="00296EFB"/>
    <w:rsid w:val="002A078E"/>
    <w:rsid w:val="002A07A0"/>
    <w:rsid w:val="002A0FBE"/>
    <w:rsid w:val="002A19DA"/>
    <w:rsid w:val="002A2D9A"/>
    <w:rsid w:val="002A4B17"/>
    <w:rsid w:val="002A55E3"/>
    <w:rsid w:val="002A635F"/>
    <w:rsid w:val="002B06B3"/>
    <w:rsid w:val="002B1989"/>
    <w:rsid w:val="002B286F"/>
    <w:rsid w:val="002B3E06"/>
    <w:rsid w:val="002B5281"/>
    <w:rsid w:val="002B5485"/>
    <w:rsid w:val="002B606B"/>
    <w:rsid w:val="002B6D65"/>
    <w:rsid w:val="002C32A7"/>
    <w:rsid w:val="002C4CDA"/>
    <w:rsid w:val="002C56E2"/>
    <w:rsid w:val="002C5D61"/>
    <w:rsid w:val="002C665B"/>
    <w:rsid w:val="002C6FE6"/>
    <w:rsid w:val="002C72D9"/>
    <w:rsid w:val="002C7BA8"/>
    <w:rsid w:val="002D074B"/>
    <w:rsid w:val="002D1216"/>
    <w:rsid w:val="002D1498"/>
    <w:rsid w:val="002D5243"/>
    <w:rsid w:val="002D6038"/>
    <w:rsid w:val="002D789A"/>
    <w:rsid w:val="002E0666"/>
    <w:rsid w:val="002E3E6C"/>
    <w:rsid w:val="002E47B3"/>
    <w:rsid w:val="002E5432"/>
    <w:rsid w:val="002E5E86"/>
    <w:rsid w:val="002E60F2"/>
    <w:rsid w:val="002F17CF"/>
    <w:rsid w:val="002F17D2"/>
    <w:rsid w:val="002F2F28"/>
    <w:rsid w:val="002F45A3"/>
    <w:rsid w:val="002F48B7"/>
    <w:rsid w:val="002F5DEC"/>
    <w:rsid w:val="002F5F44"/>
    <w:rsid w:val="00300CB7"/>
    <w:rsid w:val="00300E82"/>
    <w:rsid w:val="003013F5"/>
    <w:rsid w:val="0030233A"/>
    <w:rsid w:val="003034B8"/>
    <w:rsid w:val="003072BD"/>
    <w:rsid w:val="00307E89"/>
    <w:rsid w:val="003126FA"/>
    <w:rsid w:val="003145FC"/>
    <w:rsid w:val="0032034C"/>
    <w:rsid w:val="00320512"/>
    <w:rsid w:val="003215C4"/>
    <w:rsid w:val="003218DF"/>
    <w:rsid w:val="00321BE9"/>
    <w:rsid w:val="00322842"/>
    <w:rsid w:val="00322EB6"/>
    <w:rsid w:val="003238CA"/>
    <w:rsid w:val="00324273"/>
    <w:rsid w:val="003242E0"/>
    <w:rsid w:val="00324452"/>
    <w:rsid w:val="00324FDD"/>
    <w:rsid w:val="0032591C"/>
    <w:rsid w:val="00325E85"/>
    <w:rsid w:val="00326575"/>
    <w:rsid w:val="0032664A"/>
    <w:rsid w:val="00327A60"/>
    <w:rsid w:val="00327B46"/>
    <w:rsid w:val="00332862"/>
    <w:rsid w:val="00333F3F"/>
    <w:rsid w:val="00343B20"/>
    <w:rsid w:val="00350E25"/>
    <w:rsid w:val="00351132"/>
    <w:rsid w:val="00351B65"/>
    <w:rsid w:val="0035287C"/>
    <w:rsid w:val="00353C19"/>
    <w:rsid w:val="00353CE4"/>
    <w:rsid w:val="00355A58"/>
    <w:rsid w:val="00356261"/>
    <w:rsid w:val="00357838"/>
    <w:rsid w:val="0036093A"/>
    <w:rsid w:val="00360F92"/>
    <w:rsid w:val="00361537"/>
    <w:rsid w:val="003619B0"/>
    <w:rsid w:val="00361D60"/>
    <w:rsid w:val="00364492"/>
    <w:rsid w:val="003644C7"/>
    <w:rsid w:val="00365694"/>
    <w:rsid w:val="00370D0A"/>
    <w:rsid w:val="00373577"/>
    <w:rsid w:val="003738E8"/>
    <w:rsid w:val="00373A0D"/>
    <w:rsid w:val="003750FF"/>
    <w:rsid w:val="00376D46"/>
    <w:rsid w:val="00377E67"/>
    <w:rsid w:val="003806C8"/>
    <w:rsid w:val="00383CE8"/>
    <w:rsid w:val="0038447D"/>
    <w:rsid w:val="00386869"/>
    <w:rsid w:val="00387138"/>
    <w:rsid w:val="00390362"/>
    <w:rsid w:val="00390E23"/>
    <w:rsid w:val="003916E6"/>
    <w:rsid w:val="00391D99"/>
    <w:rsid w:val="003946F5"/>
    <w:rsid w:val="00395998"/>
    <w:rsid w:val="003959AD"/>
    <w:rsid w:val="003A0EFD"/>
    <w:rsid w:val="003A1C8D"/>
    <w:rsid w:val="003A3FC2"/>
    <w:rsid w:val="003A46A2"/>
    <w:rsid w:val="003A5523"/>
    <w:rsid w:val="003A55EC"/>
    <w:rsid w:val="003A65DA"/>
    <w:rsid w:val="003A75CC"/>
    <w:rsid w:val="003B0478"/>
    <w:rsid w:val="003B0567"/>
    <w:rsid w:val="003B1688"/>
    <w:rsid w:val="003B2F5D"/>
    <w:rsid w:val="003B3A82"/>
    <w:rsid w:val="003B45AA"/>
    <w:rsid w:val="003B4BC6"/>
    <w:rsid w:val="003B6958"/>
    <w:rsid w:val="003B7EDC"/>
    <w:rsid w:val="003C0653"/>
    <w:rsid w:val="003C0D72"/>
    <w:rsid w:val="003C12C7"/>
    <w:rsid w:val="003C2EA4"/>
    <w:rsid w:val="003C316B"/>
    <w:rsid w:val="003C555D"/>
    <w:rsid w:val="003C5B85"/>
    <w:rsid w:val="003C6555"/>
    <w:rsid w:val="003C6BE6"/>
    <w:rsid w:val="003C6FBD"/>
    <w:rsid w:val="003C757B"/>
    <w:rsid w:val="003D0153"/>
    <w:rsid w:val="003D03CE"/>
    <w:rsid w:val="003D0939"/>
    <w:rsid w:val="003D0A20"/>
    <w:rsid w:val="003D0C43"/>
    <w:rsid w:val="003D260D"/>
    <w:rsid w:val="003D2624"/>
    <w:rsid w:val="003D2BEC"/>
    <w:rsid w:val="003D3D91"/>
    <w:rsid w:val="003D4637"/>
    <w:rsid w:val="003D5809"/>
    <w:rsid w:val="003D6F7D"/>
    <w:rsid w:val="003E0BD8"/>
    <w:rsid w:val="003E0FF9"/>
    <w:rsid w:val="003E12DD"/>
    <w:rsid w:val="003E2652"/>
    <w:rsid w:val="003E26D0"/>
    <w:rsid w:val="003E4B3C"/>
    <w:rsid w:val="003E6680"/>
    <w:rsid w:val="003E6D3A"/>
    <w:rsid w:val="003E7917"/>
    <w:rsid w:val="003F0D01"/>
    <w:rsid w:val="003F103A"/>
    <w:rsid w:val="003F34F2"/>
    <w:rsid w:val="003F3BF5"/>
    <w:rsid w:val="003F49C0"/>
    <w:rsid w:val="003F4B5A"/>
    <w:rsid w:val="003F5C57"/>
    <w:rsid w:val="003F64E6"/>
    <w:rsid w:val="003F6C00"/>
    <w:rsid w:val="003F7D69"/>
    <w:rsid w:val="004001FA"/>
    <w:rsid w:val="004012F9"/>
    <w:rsid w:val="00401834"/>
    <w:rsid w:val="00403037"/>
    <w:rsid w:val="004030E9"/>
    <w:rsid w:val="00403C47"/>
    <w:rsid w:val="00403D32"/>
    <w:rsid w:val="00405399"/>
    <w:rsid w:val="00405C41"/>
    <w:rsid w:val="0040671C"/>
    <w:rsid w:val="00407C42"/>
    <w:rsid w:val="004158C7"/>
    <w:rsid w:val="00416183"/>
    <w:rsid w:val="00416D41"/>
    <w:rsid w:val="00417F6C"/>
    <w:rsid w:val="00423C3B"/>
    <w:rsid w:val="0042496A"/>
    <w:rsid w:val="0042552E"/>
    <w:rsid w:val="0042691E"/>
    <w:rsid w:val="00426DF1"/>
    <w:rsid w:val="00432ECE"/>
    <w:rsid w:val="00433CC7"/>
    <w:rsid w:val="00434449"/>
    <w:rsid w:val="00436FB4"/>
    <w:rsid w:val="0043780E"/>
    <w:rsid w:val="004432AF"/>
    <w:rsid w:val="00443E82"/>
    <w:rsid w:val="00444085"/>
    <w:rsid w:val="004440CF"/>
    <w:rsid w:val="004446D8"/>
    <w:rsid w:val="00445D96"/>
    <w:rsid w:val="00446483"/>
    <w:rsid w:val="00446703"/>
    <w:rsid w:val="004479A3"/>
    <w:rsid w:val="0045011F"/>
    <w:rsid w:val="00450297"/>
    <w:rsid w:val="00451B80"/>
    <w:rsid w:val="00451E90"/>
    <w:rsid w:val="00452485"/>
    <w:rsid w:val="0045557A"/>
    <w:rsid w:val="00455B92"/>
    <w:rsid w:val="00456EA1"/>
    <w:rsid w:val="00464F66"/>
    <w:rsid w:val="004659A6"/>
    <w:rsid w:val="004660CB"/>
    <w:rsid w:val="00467FCA"/>
    <w:rsid w:val="00470FA2"/>
    <w:rsid w:val="0047130A"/>
    <w:rsid w:val="00473B76"/>
    <w:rsid w:val="004761D5"/>
    <w:rsid w:val="00477737"/>
    <w:rsid w:val="004813C5"/>
    <w:rsid w:val="00482A18"/>
    <w:rsid w:val="0048528F"/>
    <w:rsid w:val="00491DC8"/>
    <w:rsid w:val="00493A7F"/>
    <w:rsid w:val="004A0C2C"/>
    <w:rsid w:val="004A1D89"/>
    <w:rsid w:val="004A4465"/>
    <w:rsid w:val="004A67A2"/>
    <w:rsid w:val="004A7021"/>
    <w:rsid w:val="004A7E32"/>
    <w:rsid w:val="004B05AF"/>
    <w:rsid w:val="004B0CD4"/>
    <w:rsid w:val="004B14BA"/>
    <w:rsid w:val="004B21DD"/>
    <w:rsid w:val="004B3169"/>
    <w:rsid w:val="004B35BC"/>
    <w:rsid w:val="004B4956"/>
    <w:rsid w:val="004B5513"/>
    <w:rsid w:val="004B5A78"/>
    <w:rsid w:val="004B6827"/>
    <w:rsid w:val="004C18F1"/>
    <w:rsid w:val="004C273D"/>
    <w:rsid w:val="004C3AD5"/>
    <w:rsid w:val="004C3D65"/>
    <w:rsid w:val="004C4906"/>
    <w:rsid w:val="004C4E8E"/>
    <w:rsid w:val="004D112F"/>
    <w:rsid w:val="004D2B58"/>
    <w:rsid w:val="004D3763"/>
    <w:rsid w:val="004D4468"/>
    <w:rsid w:val="004D4EA3"/>
    <w:rsid w:val="004D6240"/>
    <w:rsid w:val="004D6C9B"/>
    <w:rsid w:val="004D6D16"/>
    <w:rsid w:val="004D7A59"/>
    <w:rsid w:val="004E102A"/>
    <w:rsid w:val="004E1353"/>
    <w:rsid w:val="004E1964"/>
    <w:rsid w:val="004E1CE5"/>
    <w:rsid w:val="004E2F1D"/>
    <w:rsid w:val="004E3908"/>
    <w:rsid w:val="004E466C"/>
    <w:rsid w:val="004F071E"/>
    <w:rsid w:val="004F0EA4"/>
    <w:rsid w:val="004F4211"/>
    <w:rsid w:val="004F4916"/>
    <w:rsid w:val="004F723E"/>
    <w:rsid w:val="004F7E8F"/>
    <w:rsid w:val="005006D5"/>
    <w:rsid w:val="005022AE"/>
    <w:rsid w:val="0050362F"/>
    <w:rsid w:val="0050474E"/>
    <w:rsid w:val="0050674D"/>
    <w:rsid w:val="00506A0B"/>
    <w:rsid w:val="00506D20"/>
    <w:rsid w:val="00507748"/>
    <w:rsid w:val="0050780E"/>
    <w:rsid w:val="00510686"/>
    <w:rsid w:val="00510F6F"/>
    <w:rsid w:val="005119EA"/>
    <w:rsid w:val="00512146"/>
    <w:rsid w:val="005146F9"/>
    <w:rsid w:val="00515339"/>
    <w:rsid w:val="00517C13"/>
    <w:rsid w:val="00517D13"/>
    <w:rsid w:val="00520BED"/>
    <w:rsid w:val="005211AD"/>
    <w:rsid w:val="0052299B"/>
    <w:rsid w:val="005238AF"/>
    <w:rsid w:val="0052484E"/>
    <w:rsid w:val="00525BC9"/>
    <w:rsid w:val="00525C05"/>
    <w:rsid w:val="00530D1B"/>
    <w:rsid w:val="00532A59"/>
    <w:rsid w:val="00535340"/>
    <w:rsid w:val="00536FD3"/>
    <w:rsid w:val="005370BE"/>
    <w:rsid w:val="00537B2C"/>
    <w:rsid w:val="00537FF8"/>
    <w:rsid w:val="00540587"/>
    <w:rsid w:val="00540CF5"/>
    <w:rsid w:val="00540DA4"/>
    <w:rsid w:val="00540E1F"/>
    <w:rsid w:val="00542227"/>
    <w:rsid w:val="00543210"/>
    <w:rsid w:val="00546E02"/>
    <w:rsid w:val="00547CB8"/>
    <w:rsid w:val="005562E6"/>
    <w:rsid w:val="00556864"/>
    <w:rsid w:val="005610C8"/>
    <w:rsid w:val="005615FB"/>
    <w:rsid w:val="005624EB"/>
    <w:rsid w:val="005630D6"/>
    <w:rsid w:val="00564CAE"/>
    <w:rsid w:val="0056507F"/>
    <w:rsid w:val="00566AD4"/>
    <w:rsid w:val="00570B16"/>
    <w:rsid w:val="00571484"/>
    <w:rsid w:val="0057251A"/>
    <w:rsid w:val="00573E9A"/>
    <w:rsid w:val="0057565C"/>
    <w:rsid w:val="00576E87"/>
    <w:rsid w:val="00577D56"/>
    <w:rsid w:val="00580E43"/>
    <w:rsid w:val="00581AE7"/>
    <w:rsid w:val="00583C24"/>
    <w:rsid w:val="00584D27"/>
    <w:rsid w:val="0058691E"/>
    <w:rsid w:val="00590A63"/>
    <w:rsid w:val="005921AE"/>
    <w:rsid w:val="0059391B"/>
    <w:rsid w:val="00594C92"/>
    <w:rsid w:val="0059522A"/>
    <w:rsid w:val="00595C53"/>
    <w:rsid w:val="00595FB2"/>
    <w:rsid w:val="0059602F"/>
    <w:rsid w:val="005972B8"/>
    <w:rsid w:val="005A16EF"/>
    <w:rsid w:val="005A288C"/>
    <w:rsid w:val="005A2901"/>
    <w:rsid w:val="005A2DDA"/>
    <w:rsid w:val="005A351D"/>
    <w:rsid w:val="005A48BF"/>
    <w:rsid w:val="005A4DDB"/>
    <w:rsid w:val="005A571B"/>
    <w:rsid w:val="005A624D"/>
    <w:rsid w:val="005A6D16"/>
    <w:rsid w:val="005A7049"/>
    <w:rsid w:val="005B0185"/>
    <w:rsid w:val="005B030A"/>
    <w:rsid w:val="005B1B31"/>
    <w:rsid w:val="005B36B5"/>
    <w:rsid w:val="005B65CB"/>
    <w:rsid w:val="005C08EC"/>
    <w:rsid w:val="005C2D38"/>
    <w:rsid w:val="005C31AC"/>
    <w:rsid w:val="005C7670"/>
    <w:rsid w:val="005C79E0"/>
    <w:rsid w:val="005D1FE1"/>
    <w:rsid w:val="005D257D"/>
    <w:rsid w:val="005D3C3C"/>
    <w:rsid w:val="005D752D"/>
    <w:rsid w:val="005E504F"/>
    <w:rsid w:val="005E5790"/>
    <w:rsid w:val="005E78A5"/>
    <w:rsid w:val="005E7BDC"/>
    <w:rsid w:val="005F2749"/>
    <w:rsid w:val="005F3F71"/>
    <w:rsid w:val="005F4EC0"/>
    <w:rsid w:val="005F5484"/>
    <w:rsid w:val="005F5A5B"/>
    <w:rsid w:val="005F6A5C"/>
    <w:rsid w:val="005F6D08"/>
    <w:rsid w:val="005F7C6F"/>
    <w:rsid w:val="0060034B"/>
    <w:rsid w:val="0060055A"/>
    <w:rsid w:val="00601490"/>
    <w:rsid w:val="00601E2E"/>
    <w:rsid w:val="00606FF9"/>
    <w:rsid w:val="006146EB"/>
    <w:rsid w:val="006153E2"/>
    <w:rsid w:val="00615516"/>
    <w:rsid w:val="0061552C"/>
    <w:rsid w:val="00620F85"/>
    <w:rsid w:val="00623366"/>
    <w:rsid w:val="006234CB"/>
    <w:rsid w:val="00625540"/>
    <w:rsid w:val="006258FB"/>
    <w:rsid w:val="006304B5"/>
    <w:rsid w:val="00630A68"/>
    <w:rsid w:val="00630D8A"/>
    <w:rsid w:val="00630FC5"/>
    <w:rsid w:val="00631A36"/>
    <w:rsid w:val="00631B97"/>
    <w:rsid w:val="00631FB0"/>
    <w:rsid w:val="006322ED"/>
    <w:rsid w:val="00632D4B"/>
    <w:rsid w:val="00634A3A"/>
    <w:rsid w:val="00636520"/>
    <w:rsid w:val="0063657D"/>
    <w:rsid w:val="006412EA"/>
    <w:rsid w:val="006438B3"/>
    <w:rsid w:val="00643E14"/>
    <w:rsid w:val="00643E4E"/>
    <w:rsid w:val="00643F29"/>
    <w:rsid w:val="00643FFD"/>
    <w:rsid w:val="00645426"/>
    <w:rsid w:val="006454E6"/>
    <w:rsid w:val="00645DFC"/>
    <w:rsid w:val="00651398"/>
    <w:rsid w:val="00652616"/>
    <w:rsid w:val="00653255"/>
    <w:rsid w:val="006536D5"/>
    <w:rsid w:val="00655690"/>
    <w:rsid w:val="006625AF"/>
    <w:rsid w:val="006641FE"/>
    <w:rsid w:val="006667F3"/>
    <w:rsid w:val="00667FF2"/>
    <w:rsid w:val="006706F4"/>
    <w:rsid w:val="00670B57"/>
    <w:rsid w:val="00670CF2"/>
    <w:rsid w:val="00671860"/>
    <w:rsid w:val="006733FD"/>
    <w:rsid w:val="00673ACD"/>
    <w:rsid w:val="006740A7"/>
    <w:rsid w:val="00676B30"/>
    <w:rsid w:val="00676CE0"/>
    <w:rsid w:val="00680C32"/>
    <w:rsid w:val="00681C4D"/>
    <w:rsid w:val="00683474"/>
    <w:rsid w:val="00685BFC"/>
    <w:rsid w:val="006902A3"/>
    <w:rsid w:val="00690C97"/>
    <w:rsid w:val="006911E8"/>
    <w:rsid w:val="00693F14"/>
    <w:rsid w:val="00694C41"/>
    <w:rsid w:val="0069736C"/>
    <w:rsid w:val="006976D8"/>
    <w:rsid w:val="006A1420"/>
    <w:rsid w:val="006A22FC"/>
    <w:rsid w:val="006A2A0D"/>
    <w:rsid w:val="006A30F2"/>
    <w:rsid w:val="006A3F7D"/>
    <w:rsid w:val="006A562E"/>
    <w:rsid w:val="006A6267"/>
    <w:rsid w:val="006A6E9C"/>
    <w:rsid w:val="006B11C7"/>
    <w:rsid w:val="006B203B"/>
    <w:rsid w:val="006B22F9"/>
    <w:rsid w:val="006B238C"/>
    <w:rsid w:val="006B2905"/>
    <w:rsid w:val="006B3D01"/>
    <w:rsid w:val="006B3DBE"/>
    <w:rsid w:val="006B3E6F"/>
    <w:rsid w:val="006C01D7"/>
    <w:rsid w:val="006C086C"/>
    <w:rsid w:val="006C3909"/>
    <w:rsid w:val="006C52E7"/>
    <w:rsid w:val="006C6062"/>
    <w:rsid w:val="006C6651"/>
    <w:rsid w:val="006C7923"/>
    <w:rsid w:val="006D0C95"/>
    <w:rsid w:val="006D1A60"/>
    <w:rsid w:val="006D377A"/>
    <w:rsid w:val="006D5F7B"/>
    <w:rsid w:val="006D7E60"/>
    <w:rsid w:val="006E0EBA"/>
    <w:rsid w:val="006E12BB"/>
    <w:rsid w:val="006E16F1"/>
    <w:rsid w:val="006E3040"/>
    <w:rsid w:val="006E405D"/>
    <w:rsid w:val="006E477C"/>
    <w:rsid w:val="006E4825"/>
    <w:rsid w:val="006E71C4"/>
    <w:rsid w:val="006F07F5"/>
    <w:rsid w:val="006F172B"/>
    <w:rsid w:val="006F1AE6"/>
    <w:rsid w:val="006F5A79"/>
    <w:rsid w:val="006F73F7"/>
    <w:rsid w:val="007009CF"/>
    <w:rsid w:val="007022AE"/>
    <w:rsid w:val="00702360"/>
    <w:rsid w:val="007027CC"/>
    <w:rsid w:val="00702BAA"/>
    <w:rsid w:val="007041C1"/>
    <w:rsid w:val="00704809"/>
    <w:rsid w:val="00705387"/>
    <w:rsid w:val="00705965"/>
    <w:rsid w:val="00706766"/>
    <w:rsid w:val="00711BA4"/>
    <w:rsid w:val="00711F0F"/>
    <w:rsid w:val="00712204"/>
    <w:rsid w:val="007122EA"/>
    <w:rsid w:val="0071357C"/>
    <w:rsid w:val="007140C9"/>
    <w:rsid w:val="00714461"/>
    <w:rsid w:val="0071461A"/>
    <w:rsid w:val="00716A41"/>
    <w:rsid w:val="00717364"/>
    <w:rsid w:val="0072164A"/>
    <w:rsid w:val="0072299E"/>
    <w:rsid w:val="0072508C"/>
    <w:rsid w:val="00725E51"/>
    <w:rsid w:val="0072611A"/>
    <w:rsid w:val="00726F78"/>
    <w:rsid w:val="0072722C"/>
    <w:rsid w:val="00730361"/>
    <w:rsid w:val="007341BD"/>
    <w:rsid w:val="0073455E"/>
    <w:rsid w:val="007350F8"/>
    <w:rsid w:val="00740C47"/>
    <w:rsid w:val="0074242E"/>
    <w:rsid w:val="007455E2"/>
    <w:rsid w:val="00745C2F"/>
    <w:rsid w:val="007478DD"/>
    <w:rsid w:val="007479E5"/>
    <w:rsid w:val="00747DEA"/>
    <w:rsid w:val="00750AA6"/>
    <w:rsid w:val="00750D11"/>
    <w:rsid w:val="00751F2B"/>
    <w:rsid w:val="0075252D"/>
    <w:rsid w:val="00755372"/>
    <w:rsid w:val="007568E6"/>
    <w:rsid w:val="00756BB9"/>
    <w:rsid w:val="007625C7"/>
    <w:rsid w:val="00763E1C"/>
    <w:rsid w:val="00764258"/>
    <w:rsid w:val="00764456"/>
    <w:rsid w:val="00764A23"/>
    <w:rsid w:val="00765075"/>
    <w:rsid w:val="00766FE2"/>
    <w:rsid w:val="0076770A"/>
    <w:rsid w:val="00772975"/>
    <w:rsid w:val="0077340D"/>
    <w:rsid w:val="00773785"/>
    <w:rsid w:val="00773E66"/>
    <w:rsid w:val="00777381"/>
    <w:rsid w:val="00780016"/>
    <w:rsid w:val="007806CE"/>
    <w:rsid w:val="0078335C"/>
    <w:rsid w:val="00783CDA"/>
    <w:rsid w:val="00783F9A"/>
    <w:rsid w:val="0078463C"/>
    <w:rsid w:val="00785490"/>
    <w:rsid w:val="00785878"/>
    <w:rsid w:val="0078718D"/>
    <w:rsid w:val="00787DDF"/>
    <w:rsid w:val="007904F2"/>
    <w:rsid w:val="0079092E"/>
    <w:rsid w:val="00791606"/>
    <w:rsid w:val="00791B72"/>
    <w:rsid w:val="00792F63"/>
    <w:rsid w:val="007933C5"/>
    <w:rsid w:val="00794073"/>
    <w:rsid w:val="00794CF8"/>
    <w:rsid w:val="00796C18"/>
    <w:rsid w:val="00797029"/>
    <w:rsid w:val="007A062C"/>
    <w:rsid w:val="007A15CF"/>
    <w:rsid w:val="007A1992"/>
    <w:rsid w:val="007A4AE1"/>
    <w:rsid w:val="007A5B5D"/>
    <w:rsid w:val="007A60CC"/>
    <w:rsid w:val="007A6A03"/>
    <w:rsid w:val="007A7E6A"/>
    <w:rsid w:val="007A7FA2"/>
    <w:rsid w:val="007B0322"/>
    <w:rsid w:val="007B07A5"/>
    <w:rsid w:val="007B1D76"/>
    <w:rsid w:val="007B2324"/>
    <w:rsid w:val="007B2DD4"/>
    <w:rsid w:val="007C2266"/>
    <w:rsid w:val="007C3B5E"/>
    <w:rsid w:val="007C5762"/>
    <w:rsid w:val="007D01A4"/>
    <w:rsid w:val="007D0F1F"/>
    <w:rsid w:val="007D1323"/>
    <w:rsid w:val="007D456D"/>
    <w:rsid w:val="007D487A"/>
    <w:rsid w:val="007D4A91"/>
    <w:rsid w:val="007D4ADF"/>
    <w:rsid w:val="007D4DD9"/>
    <w:rsid w:val="007D5870"/>
    <w:rsid w:val="007D5E34"/>
    <w:rsid w:val="007D609E"/>
    <w:rsid w:val="007D72D8"/>
    <w:rsid w:val="007E00F8"/>
    <w:rsid w:val="007E0CFC"/>
    <w:rsid w:val="007E2174"/>
    <w:rsid w:val="007E2D64"/>
    <w:rsid w:val="007E3C42"/>
    <w:rsid w:val="007E47AB"/>
    <w:rsid w:val="007E4A52"/>
    <w:rsid w:val="007E5356"/>
    <w:rsid w:val="007E60C6"/>
    <w:rsid w:val="007E7053"/>
    <w:rsid w:val="007F0312"/>
    <w:rsid w:val="007F0A80"/>
    <w:rsid w:val="007F21A4"/>
    <w:rsid w:val="007F23B7"/>
    <w:rsid w:val="007F241F"/>
    <w:rsid w:val="007F2C1F"/>
    <w:rsid w:val="007F714C"/>
    <w:rsid w:val="007F788C"/>
    <w:rsid w:val="0080172F"/>
    <w:rsid w:val="0080330D"/>
    <w:rsid w:val="00804F61"/>
    <w:rsid w:val="00805A50"/>
    <w:rsid w:val="0080668C"/>
    <w:rsid w:val="00807332"/>
    <w:rsid w:val="00810DC2"/>
    <w:rsid w:val="0081144D"/>
    <w:rsid w:val="00811785"/>
    <w:rsid w:val="00812293"/>
    <w:rsid w:val="008135EB"/>
    <w:rsid w:val="008163D4"/>
    <w:rsid w:val="00817E04"/>
    <w:rsid w:val="00820894"/>
    <w:rsid w:val="00823616"/>
    <w:rsid w:val="00823A99"/>
    <w:rsid w:val="0082535E"/>
    <w:rsid w:val="00826742"/>
    <w:rsid w:val="00826FEA"/>
    <w:rsid w:val="00827120"/>
    <w:rsid w:val="00827762"/>
    <w:rsid w:val="008318AC"/>
    <w:rsid w:val="00831B69"/>
    <w:rsid w:val="00832DA7"/>
    <w:rsid w:val="00834A91"/>
    <w:rsid w:val="00835BCA"/>
    <w:rsid w:val="00836925"/>
    <w:rsid w:val="00836DC8"/>
    <w:rsid w:val="00842AC2"/>
    <w:rsid w:val="00842F19"/>
    <w:rsid w:val="00844825"/>
    <w:rsid w:val="00845D96"/>
    <w:rsid w:val="008479BA"/>
    <w:rsid w:val="00847F5E"/>
    <w:rsid w:val="00847FA1"/>
    <w:rsid w:val="008502EF"/>
    <w:rsid w:val="00851775"/>
    <w:rsid w:val="0085371A"/>
    <w:rsid w:val="00854080"/>
    <w:rsid w:val="008543FD"/>
    <w:rsid w:val="00854EC9"/>
    <w:rsid w:val="00856274"/>
    <w:rsid w:val="00856DE7"/>
    <w:rsid w:val="00857EBA"/>
    <w:rsid w:val="008605B5"/>
    <w:rsid w:val="00860937"/>
    <w:rsid w:val="00860A98"/>
    <w:rsid w:val="008611A3"/>
    <w:rsid w:val="00861531"/>
    <w:rsid w:val="0086217A"/>
    <w:rsid w:val="0086221A"/>
    <w:rsid w:val="0086224F"/>
    <w:rsid w:val="00863332"/>
    <w:rsid w:val="0086393A"/>
    <w:rsid w:val="0086606E"/>
    <w:rsid w:val="0086628C"/>
    <w:rsid w:val="00870CE3"/>
    <w:rsid w:val="00873018"/>
    <w:rsid w:val="008746D1"/>
    <w:rsid w:val="0087598C"/>
    <w:rsid w:val="00876429"/>
    <w:rsid w:val="00877CD4"/>
    <w:rsid w:val="0088056B"/>
    <w:rsid w:val="008806AB"/>
    <w:rsid w:val="00880DDA"/>
    <w:rsid w:val="00882D54"/>
    <w:rsid w:val="00887D3A"/>
    <w:rsid w:val="00890483"/>
    <w:rsid w:val="00890A88"/>
    <w:rsid w:val="00892AC6"/>
    <w:rsid w:val="0089428D"/>
    <w:rsid w:val="00894E3E"/>
    <w:rsid w:val="008958BA"/>
    <w:rsid w:val="00895AB5"/>
    <w:rsid w:val="0089627E"/>
    <w:rsid w:val="0089770C"/>
    <w:rsid w:val="00897941"/>
    <w:rsid w:val="008A0D12"/>
    <w:rsid w:val="008A11C4"/>
    <w:rsid w:val="008A12C6"/>
    <w:rsid w:val="008A2A2A"/>
    <w:rsid w:val="008A2E83"/>
    <w:rsid w:val="008A35DF"/>
    <w:rsid w:val="008A3772"/>
    <w:rsid w:val="008A4CD7"/>
    <w:rsid w:val="008A4DE3"/>
    <w:rsid w:val="008A6DEF"/>
    <w:rsid w:val="008A7F99"/>
    <w:rsid w:val="008B058C"/>
    <w:rsid w:val="008B0834"/>
    <w:rsid w:val="008B0F4F"/>
    <w:rsid w:val="008B1F61"/>
    <w:rsid w:val="008B36BC"/>
    <w:rsid w:val="008B5156"/>
    <w:rsid w:val="008B54F1"/>
    <w:rsid w:val="008B640A"/>
    <w:rsid w:val="008B7860"/>
    <w:rsid w:val="008C41BB"/>
    <w:rsid w:val="008C6DBD"/>
    <w:rsid w:val="008C6E70"/>
    <w:rsid w:val="008D14B9"/>
    <w:rsid w:val="008D18EA"/>
    <w:rsid w:val="008D30B9"/>
    <w:rsid w:val="008D3227"/>
    <w:rsid w:val="008D3E6B"/>
    <w:rsid w:val="008D4003"/>
    <w:rsid w:val="008D4260"/>
    <w:rsid w:val="008D4334"/>
    <w:rsid w:val="008D5246"/>
    <w:rsid w:val="008D5B4A"/>
    <w:rsid w:val="008E05E9"/>
    <w:rsid w:val="008E0E5B"/>
    <w:rsid w:val="008E1274"/>
    <w:rsid w:val="008E1E61"/>
    <w:rsid w:val="008E220D"/>
    <w:rsid w:val="008E4D99"/>
    <w:rsid w:val="008E7FBD"/>
    <w:rsid w:val="008F18B5"/>
    <w:rsid w:val="008F1CEA"/>
    <w:rsid w:val="008F2AA8"/>
    <w:rsid w:val="008F4688"/>
    <w:rsid w:val="008F4A8E"/>
    <w:rsid w:val="008F5866"/>
    <w:rsid w:val="008F600B"/>
    <w:rsid w:val="008F704D"/>
    <w:rsid w:val="008F7EB4"/>
    <w:rsid w:val="00900415"/>
    <w:rsid w:val="009020D6"/>
    <w:rsid w:val="00902D30"/>
    <w:rsid w:val="0090383E"/>
    <w:rsid w:val="00903AA5"/>
    <w:rsid w:val="00906DAB"/>
    <w:rsid w:val="009075DC"/>
    <w:rsid w:val="00910A40"/>
    <w:rsid w:val="009112D0"/>
    <w:rsid w:val="00911813"/>
    <w:rsid w:val="00912931"/>
    <w:rsid w:val="00914E92"/>
    <w:rsid w:val="009152B2"/>
    <w:rsid w:val="00916E86"/>
    <w:rsid w:val="009218C7"/>
    <w:rsid w:val="00923B1D"/>
    <w:rsid w:val="00927486"/>
    <w:rsid w:val="00931B25"/>
    <w:rsid w:val="00935B4F"/>
    <w:rsid w:val="00936A90"/>
    <w:rsid w:val="00936F57"/>
    <w:rsid w:val="0093717D"/>
    <w:rsid w:val="009400C5"/>
    <w:rsid w:val="009419B5"/>
    <w:rsid w:val="009420AF"/>
    <w:rsid w:val="00942CAF"/>
    <w:rsid w:val="00943610"/>
    <w:rsid w:val="00943764"/>
    <w:rsid w:val="00953020"/>
    <w:rsid w:val="009535B4"/>
    <w:rsid w:val="00955EC2"/>
    <w:rsid w:val="0095684D"/>
    <w:rsid w:val="00957615"/>
    <w:rsid w:val="009577FB"/>
    <w:rsid w:val="00957F72"/>
    <w:rsid w:val="00961491"/>
    <w:rsid w:val="00961C75"/>
    <w:rsid w:val="009621B7"/>
    <w:rsid w:val="00964BCC"/>
    <w:rsid w:val="0096753E"/>
    <w:rsid w:val="009702EC"/>
    <w:rsid w:val="009709E1"/>
    <w:rsid w:val="00970DC9"/>
    <w:rsid w:val="00971054"/>
    <w:rsid w:val="00972A02"/>
    <w:rsid w:val="0097314C"/>
    <w:rsid w:val="00973631"/>
    <w:rsid w:val="00976846"/>
    <w:rsid w:val="009777B0"/>
    <w:rsid w:val="00977D1E"/>
    <w:rsid w:val="00980FD8"/>
    <w:rsid w:val="00982A2D"/>
    <w:rsid w:val="00985589"/>
    <w:rsid w:val="009904A7"/>
    <w:rsid w:val="009906C2"/>
    <w:rsid w:val="0099367E"/>
    <w:rsid w:val="0099399D"/>
    <w:rsid w:val="00995158"/>
    <w:rsid w:val="009951C2"/>
    <w:rsid w:val="009959C4"/>
    <w:rsid w:val="00995E34"/>
    <w:rsid w:val="00995E66"/>
    <w:rsid w:val="00996002"/>
    <w:rsid w:val="0099613C"/>
    <w:rsid w:val="00996F0F"/>
    <w:rsid w:val="00997235"/>
    <w:rsid w:val="00997432"/>
    <w:rsid w:val="009975BF"/>
    <w:rsid w:val="00997B9F"/>
    <w:rsid w:val="009A0C0F"/>
    <w:rsid w:val="009A0D0E"/>
    <w:rsid w:val="009A0D41"/>
    <w:rsid w:val="009A0FB6"/>
    <w:rsid w:val="009A1176"/>
    <w:rsid w:val="009A22E3"/>
    <w:rsid w:val="009A26E6"/>
    <w:rsid w:val="009A2FA0"/>
    <w:rsid w:val="009A48FA"/>
    <w:rsid w:val="009A4CA4"/>
    <w:rsid w:val="009A6F18"/>
    <w:rsid w:val="009B03ED"/>
    <w:rsid w:val="009B139F"/>
    <w:rsid w:val="009B1F41"/>
    <w:rsid w:val="009B2371"/>
    <w:rsid w:val="009B2FF6"/>
    <w:rsid w:val="009B311F"/>
    <w:rsid w:val="009B3C46"/>
    <w:rsid w:val="009B507B"/>
    <w:rsid w:val="009B61AA"/>
    <w:rsid w:val="009B7EB4"/>
    <w:rsid w:val="009C0D38"/>
    <w:rsid w:val="009C2286"/>
    <w:rsid w:val="009C3306"/>
    <w:rsid w:val="009C5DD7"/>
    <w:rsid w:val="009C722C"/>
    <w:rsid w:val="009D187B"/>
    <w:rsid w:val="009D27B2"/>
    <w:rsid w:val="009D2A64"/>
    <w:rsid w:val="009D339A"/>
    <w:rsid w:val="009D3EB6"/>
    <w:rsid w:val="009D67A4"/>
    <w:rsid w:val="009E2442"/>
    <w:rsid w:val="009E3464"/>
    <w:rsid w:val="009E5F1F"/>
    <w:rsid w:val="009E67D0"/>
    <w:rsid w:val="009F1693"/>
    <w:rsid w:val="009F3745"/>
    <w:rsid w:val="009F41CA"/>
    <w:rsid w:val="009F448B"/>
    <w:rsid w:val="009F5D2D"/>
    <w:rsid w:val="009F7869"/>
    <w:rsid w:val="00A00620"/>
    <w:rsid w:val="00A02646"/>
    <w:rsid w:val="00A0311B"/>
    <w:rsid w:val="00A06EF6"/>
    <w:rsid w:val="00A07309"/>
    <w:rsid w:val="00A07DB9"/>
    <w:rsid w:val="00A1046E"/>
    <w:rsid w:val="00A10702"/>
    <w:rsid w:val="00A10F9B"/>
    <w:rsid w:val="00A1416F"/>
    <w:rsid w:val="00A16331"/>
    <w:rsid w:val="00A1795A"/>
    <w:rsid w:val="00A22EAC"/>
    <w:rsid w:val="00A23A69"/>
    <w:rsid w:val="00A25E6A"/>
    <w:rsid w:val="00A27268"/>
    <w:rsid w:val="00A27FD3"/>
    <w:rsid w:val="00A307CE"/>
    <w:rsid w:val="00A30F85"/>
    <w:rsid w:val="00A33AAD"/>
    <w:rsid w:val="00A35EC3"/>
    <w:rsid w:val="00A36EEE"/>
    <w:rsid w:val="00A36F0C"/>
    <w:rsid w:val="00A36FD3"/>
    <w:rsid w:val="00A3779D"/>
    <w:rsid w:val="00A404CA"/>
    <w:rsid w:val="00A41048"/>
    <w:rsid w:val="00A42644"/>
    <w:rsid w:val="00A42822"/>
    <w:rsid w:val="00A432C2"/>
    <w:rsid w:val="00A46004"/>
    <w:rsid w:val="00A46CEB"/>
    <w:rsid w:val="00A47BAA"/>
    <w:rsid w:val="00A50D5C"/>
    <w:rsid w:val="00A52375"/>
    <w:rsid w:val="00A52A9D"/>
    <w:rsid w:val="00A5318C"/>
    <w:rsid w:val="00A53EB0"/>
    <w:rsid w:val="00A55A61"/>
    <w:rsid w:val="00A57C90"/>
    <w:rsid w:val="00A61E5D"/>
    <w:rsid w:val="00A62D30"/>
    <w:rsid w:val="00A64B6A"/>
    <w:rsid w:val="00A65135"/>
    <w:rsid w:val="00A66F05"/>
    <w:rsid w:val="00A701F9"/>
    <w:rsid w:val="00A7026A"/>
    <w:rsid w:val="00A71BA9"/>
    <w:rsid w:val="00A73314"/>
    <w:rsid w:val="00A74F36"/>
    <w:rsid w:val="00A7599F"/>
    <w:rsid w:val="00A76D5A"/>
    <w:rsid w:val="00A80843"/>
    <w:rsid w:val="00A80983"/>
    <w:rsid w:val="00A81038"/>
    <w:rsid w:val="00A81CAA"/>
    <w:rsid w:val="00A82049"/>
    <w:rsid w:val="00A828D0"/>
    <w:rsid w:val="00A84E89"/>
    <w:rsid w:val="00A8582E"/>
    <w:rsid w:val="00A858AF"/>
    <w:rsid w:val="00A86EDF"/>
    <w:rsid w:val="00A87C8D"/>
    <w:rsid w:val="00A87C9E"/>
    <w:rsid w:val="00A87DD2"/>
    <w:rsid w:val="00A912A0"/>
    <w:rsid w:val="00A9166B"/>
    <w:rsid w:val="00A9344A"/>
    <w:rsid w:val="00A93F74"/>
    <w:rsid w:val="00A94E40"/>
    <w:rsid w:val="00A95FE0"/>
    <w:rsid w:val="00A96A9B"/>
    <w:rsid w:val="00A97BCD"/>
    <w:rsid w:val="00AA3B20"/>
    <w:rsid w:val="00AA428F"/>
    <w:rsid w:val="00AA648F"/>
    <w:rsid w:val="00AA64DE"/>
    <w:rsid w:val="00AA6EBB"/>
    <w:rsid w:val="00AA734B"/>
    <w:rsid w:val="00AA7E5A"/>
    <w:rsid w:val="00AB022C"/>
    <w:rsid w:val="00AB1B3B"/>
    <w:rsid w:val="00AB2447"/>
    <w:rsid w:val="00AB3204"/>
    <w:rsid w:val="00AB4933"/>
    <w:rsid w:val="00AB53EF"/>
    <w:rsid w:val="00AB5A0C"/>
    <w:rsid w:val="00AB5E16"/>
    <w:rsid w:val="00AB64F7"/>
    <w:rsid w:val="00AB76BF"/>
    <w:rsid w:val="00AC1BA2"/>
    <w:rsid w:val="00AC2E59"/>
    <w:rsid w:val="00AC4768"/>
    <w:rsid w:val="00AC5115"/>
    <w:rsid w:val="00AC56EC"/>
    <w:rsid w:val="00AC63DF"/>
    <w:rsid w:val="00AC77F5"/>
    <w:rsid w:val="00AD006F"/>
    <w:rsid w:val="00AD0A3A"/>
    <w:rsid w:val="00AD0C14"/>
    <w:rsid w:val="00AD0D96"/>
    <w:rsid w:val="00AD10ED"/>
    <w:rsid w:val="00AD5CC6"/>
    <w:rsid w:val="00AE0704"/>
    <w:rsid w:val="00AE1702"/>
    <w:rsid w:val="00AE3866"/>
    <w:rsid w:val="00AE4D4E"/>
    <w:rsid w:val="00AF08A7"/>
    <w:rsid w:val="00AF1129"/>
    <w:rsid w:val="00AF1756"/>
    <w:rsid w:val="00AF1EC4"/>
    <w:rsid w:val="00AF2674"/>
    <w:rsid w:val="00AF2D0E"/>
    <w:rsid w:val="00AF64D8"/>
    <w:rsid w:val="00AF66DD"/>
    <w:rsid w:val="00AF6887"/>
    <w:rsid w:val="00AF7EB9"/>
    <w:rsid w:val="00B01E9F"/>
    <w:rsid w:val="00B022E1"/>
    <w:rsid w:val="00B0357D"/>
    <w:rsid w:val="00B05956"/>
    <w:rsid w:val="00B05E2B"/>
    <w:rsid w:val="00B06442"/>
    <w:rsid w:val="00B07412"/>
    <w:rsid w:val="00B1016F"/>
    <w:rsid w:val="00B1103C"/>
    <w:rsid w:val="00B11E32"/>
    <w:rsid w:val="00B1317E"/>
    <w:rsid w:val="00B13B23"/>
    <w:rsid w:val="00B15553"/>
    <w:rsid w:val="00B1570F"/>
    <w:rsid w:val="00B15E2B"/>
    <w:rsid w:val="00B16809"/>
    <w:rsid w:val="00B16E4D"/>
    <w:rsid w:val="00B211D3"/>
    <w:rsid w:val="00B2152A"/>
    <w:rsid w:val="00B251D8"/>
    <w:rsid w:val="00B255F4"/>
    <w:rsid w:val="00B2664F"/>
    <w:rsid w:val="00B30B8F"/>
    <w:rsid w:val="00B32A13"/>
    <w:rsid w:val="00B33AF6"/>
    <w:rsid w:val="00B34DC4"/>
    <w:rsid w:val="00B34E75"/>
    <w:rsid w:val="00B37676"/>
    <w:rsid w:val="00B40728"/>
    <w:rsid w:val="00B41430"/>
    <w:rsid w:val="00B44BA3"/>
    <w:rsid w:val="00B44F95"/>
    <w:rsid w:val="00B46277"/>
    <w:rsid w:val="00B50A66"/>
    <w:rsid w:val="00B50FC7"/>
    <w:rsid w:val="00B52CE1"/>
    <w:rsid w:val="00B55CC7"/>
    <w:rsid w:val="00B61026"/>
    <w:rsid w:val="00B6230B"/>
    <w:rsid w:val="00B63620"/>
    <w:rsid w:val="00B6481D"/>
    <w:rsid w:val="00B64E4C"/>
    <w:rsid w:val="00B65E70"/>
    <w:rsid w:val="00B66014"/>
    <w:rsid w:val="00B675E6"/>
    <w:rsid w:val="00B719AC"/>
    <w:rsid w:val="00B726F7"/>
    <w:rsid w:val="00B72AA2"/>
    <w:rsid w:val="00B72AB8"/>
    <w:rsid w:val="00B72CEE"/>
    <w:rsid w:val="00B733A0"/>
    <w:rsid w:val="00B73E57"/>
    <w:rsid w:val="00B75F7C"/>
    <w:rsid w:val="00B76766"/>
    <w:rsid w:val="00B76B7B"/>
    <w:rsid w:val="00B77874"/>
    <w:rsid w:val="00B8113F"/>
    <w:rsid w:val="00B811B7"/>
    <w:rsid w:val="00B8179C"/>
    <w:rsid w:val="00B833CD"/>
    <w:rsid w:val="00B8399F"/>
    <w:rsid w:val="00B84773"/>
    <w:rsid w:val="00B8677B"/>
    <w:rsid w:val="00B90B5E"/>
    <w:rsid w:val="00B92A24"/>
    <w:rsid w:val="00B92A6B"/>
    <w:rsid w:val="00B93069"/>
    <w:rsid w:val="00B9439E"/>
    <w:rsid w:val="00B944D4"/>
    <w:rsid w:val="00B95B31"/>
    <w:rsid w:val="00B95E54"/>
    <w:rsid w:val="00B9614A"/>
    <w:rsid w:val="00B967AE"/>
    <w:rsid w:val="00B96B0D"/>
    <w:rsid w:val="00B972CC"/>
    <w:rsid w:val="00BA020D"/>
    <w:rsid w:val="00BA076F"/>
    <w:rsid w:val="00BA133F"/>
    <w:rsid w:val="00BA144B"/>
    <w:rsid w:val="00BA14F1"/>
    <w:rsid w:val="00BA1B8D"/>
    <w:rsid w:val="00BA24A3"/>
    <w:rsid w:val="00BA3911"/>
    <w:rsid w:val="00BA3C8A"/>
    <w:rsid w:val="00BA3F74"/>
    <w:rsid w:val="00BA4902"/>
    <w:rsid w:val="00BA7A62"/>
    <w:rsid w:val="00BB050F"/>
    <w:rsid w:val="00BB0930"/>
    <w:rsid w:val="00BB1532"/>
    <w:rsid w:val="00BB1B4C"/>
    <w:rsid w:val="00BB25DD"/>
    <w:rsid w:val="00BB319C"/>
    <w:rsid w:val="00BB3DDE"/>
    <w:rsid w:val="00BB57F2"/>
    <w:rsid w:val="00BB5BBA"/>
    <w:rsid w:val="00BB62AF"/>
    <w:rsid w:val="00BC02C9"/>
    <w:rsid w:val="00BC1858"/>
    <w:rsid w:val="00BC20A8"/>
    <w:rsid w:val="00BC3C5F"/>
    <w:rsid w:val="00BC49DE"/>
    <w:rsid w:val="00BC686C"/>
    <w:rsid w:val="00BC71BF"/>
    <w:rsid w:val="00BD20B0"/>
    <w:rsid w:val="00BD42F1"/>
    <w:rsid w:val="00BD4602"/>
    <w:rsid w:val="00BD4B13"/>
    <w:rsid w:val="00BD4C3A"/>
    <w:rsid w:val="00BD53E9"/>
    <w:rsid w:val="00BD565F"/>
    <w:rsid w:val="00BD5F15"/>
    <w:rsid w:val="00BD61A0"/>
    <w:rsid w:val="00BD69E8"/>
    <w:rsid w:val="00BE1463"/>
    <w:rsid w:val="00BE16E7"/>
    <w:rsid w:val="00BE4591"/>
    <w:rsid w:val="00BE4E26"/>
    <w:rsid w:val="00BE5F2E"/>
    <w:rsid w:val="00BE647E"/>
    <w:rsid w:val="00BE6C2F"/>
    <w:rsid w:val="00BE76FE"/>
    <w:rsid w:val="00BF2857"/>
    <w:rsid w:val="00BF4428"/>
    <w:rsid w:val="00BF5B95"/>
    <w:rsid w:val="00BF64BC"/>
    <w:rsid w:val="00BF6C09"/>
    <w:rsid w:val="00BF7217"/>
    <w:rsid w:val="00BF7279"/>
    <w:rsid w:val="00C019CD"/>
    <w:rsid w:val="00C01B34"/>
    <w:rsid w:val="00C02BED"/>
    <w:rsid w:val="00C04153"/>
    <w:rsid w:val="00C04BA8"/>
    <w:rsid w:val="00C05E2D"/>
    <w:rsid w:val="00C05F5C"/>
    <w:rsid w:val="00C06F26"/>
    <w:rsid w:val="00C1149C"/>
    <w:rsid w:val="00C146C4"/>
    <w:rsid w:val="00C14AB1"/>
    <w:rsid w:val="00C16543"/>
    <w:rsid w:val="00C1666D"/>
    <w:rsid w:val="00C173E9"/>
    <w:rsid w:val="00C21042"/>
    <w:rsid w:val="00C214CA"/>
    <w:rsid w:val="00C22207"/>
    <w:rsid w:val="00C2252D"/>
    <w:rsid w:val="00C229B8"/>
    <w:rsid w:val="00C23AF4"/>
    <w:rsid w:val="00C30A9F"/>
    <w:rsid w:val="00C34A4A"/>
    <w:rsid w:val="00C379EA"/>
    <w:rsid w:val="00C40B49"/>
    <w:rsid w:val="00C41D56"/>
    <w:rsid w:val="00C43658"/>
    <w:rsid w:val="00C4427B"/>
    <w:rsid w:val="00C44AC2"/>
    <w:rsid w:val="00C45738"/>
    <w:rsid w:val="00C459E8"/>
    <w:rsid w:val="00C474C2"/>
    <w:rsid w:val="00C47645"/>
    <w:rsid w:val="00C502BE"/>
    <w:rsid w:val="00C50AEB"/>
    <w:rsid w:val="00C50FFF"/>
    <w:rsid w:val="00C51312"/>
    <w:rsid w:val="00C52546"/>
    <w:rsid w:val="00C53C31"/>
    <w:rsid w:val="00C53CB6"/>
    <w:rsid w:val="00C54D13"/>
    <w:rsid w:val="00C56846"/>
    <w:rsid w:val="00C60535"/>
    <w:rsid w:val="00C6117A"/>
    <w:rsid w:val="00C612A6"/>
    <w:rsid w:val="00C622BE"/>
    <w:rsid w:val="00C62A0C"/>
    <w:rsid w:val="00C6544A"/>
    <w:rsid w:val="00C6572D"/>
    <w:rsid w:val="00C658C4"/>
    <w:rsid w:val="00C6679D"/>
    <w:rsid w:val="00C71C13"/>
    <w:rsid w:val="00C73080"/>
    <w:rsid w:val="00C75C71"/>
    <w:rsid w:val="00C75FCA"/>
    <w:rsid w:val="00C774C6"/>
    <w:rsid w:val="00C77DA0"/>
    <w:rsid w:val="00C802BA"/>
    <w:rsid w:val="00C81556"/>
    <w:rsid w:val="00C8646A"/>
    <w:rsid w:val="00C86C74"/>
    <w:rsid w:val="00C9040D"/>
    <w:rsid w:val="00C92617"/>
    <w:rsid w:val="00C9263E"/>
    <w:rsid w:val="00C92809"/>
    <w:rsid w:val="00C928EB"/>
    <w:rsid w:val="00C9381B"/>
    <w:rsid w:val="00C943E9"/>
    <w:rsid w:val="00C95913"/>
    <w:rsid w:val="00C964F1"/>
    <w:rsid w:val="00C97F69"/>
    <w:rsid w:val="00CA13DF"/>
    <w:rsid w:val="00CA1406"/>
    <w:rsid w:val="00CA2FC4"/>
    <w:rsid w:val="00CA3A12"/>
    <w:rsid w:val="00CA4CF4"/>
    <w:rsid w:val="00CA51A8"/>
    <w:rsid w:val="00CA5C0A"/>
    <w:rsid w:val="00CA5FD7"/>
    <w:rsid w:val="00CB0485"/>
    <w:rsid w:val="00CB0B18"/>
    <w:rsid w:val="00CB0C60"/>
    <w:rsid w:val="00CB157C"/>
    <w:rsid w:val="00CB1BC4"/>
    <w:rsid w:val="00CB1FE0"/>
    <w:rsid w:val="00CB2B87"/>
    <w:rsid w:val="00CB36C0"/>
    <w:rsid w:val="00CB3BB6"/>
    <w:rsid w:val="00CB4346"/>
    <w:rsid w:val="00CB491D"/>
    <w:rsid w:val="00CB4C83"/>
    <w:rsid w:val="00CB6391"/>
    <w:rsid w:val="00CB70F8"/>
    <w:rsid w:val="00CB7194"/>
    <w:rsid w:val="00CB734A"/>
    <w:rsid w:val="00CC00E7"/>
    <w:rsid w:val="00CC09F8"/>
    <w:rsid w:val="00CC1A5C"/>
    <w:rsid w:val="00CC3788"/>
    <w:rsid w:val="00CC4F61"/>
    <w:rsid w:val="00CC4FEF"/>
    <w:rsid w:val="00CC500A"/>
    <w:rsid w:val="00CC5F0B"/>
    <w:rsid w:val="00CD09AC"/>
    <w:rsid w:val="00CD2787"/>
    <w:rsid w:val="00CD2834"/>
    <w:rsid w:val="00CD39FD"/>
    <w:rsid w:val="00CD4D88"/>
    <w:rsid w:val="00CD655D"/>
    <w:rsid w:val="00CD6DD8"/>
    <w:rsid w:val="00CD72B7"/>
    <w:rsid w:val="00CD73F5"/>
    <w:rsid w:val="00CD7922"/>
    <w:rsid w:val="00CE2143"/>
    <w:rsid w:val="00CE260D"/>
    <w:rsid w:val="00CE2922"/>
    <w:rsid w:val="00CE3536"/>
    <w:rsid w:val="00CE4E35"/>
    <w:rsid w:val="00CE50FE"/>
    <w:rsid w:val="00CE63F5"/>
    <w:rsid w:val="00CE6860"/>
    <w:rsid w:val="00CF041E"/>
    <w:rsid w:val="00CF156B"/>
    <w:rsid w:val="00CF4890"/>
    <w:rsid w:val="00CF6932"/>
    <w:rsid w:val="00CF7E11"/>
    <w:rsid w:val="00D00B21"/>
    <w:rsid w:val="00D01B45"/>
    <w:rsid w:val="00D05099"/>
    <w:rsid w:val="00D06493"/>
    <w:rsid w:val="00D10472"/>
    <w:rsid w:val="00D10D8F"/>
    <w:rsid w:val="00D17010"/>
    <w:rsid w:val="00D1701A"/>
    <w:rsid w:val="00D20BAE"/>
    <w:rsid w:val="00D2231D"/>
    <w:rsid w:val="00D25380"/>
    <w:rsid w:val="00D266AF"/>
    <w:rsid w:val="00D26E64"/>
    <w:rsid w:val="00D3289A"/>
    <w:rsid w:val="00D32A75"/>
    <w:rsid w:val="00D3473D"/>
    <w:rsid w:val="00D34768"/>
    <w:rsid w:val="00D34FB8"/>
    <w:rsid w:val="00D35D1E"/>
    <w:rsid w:val="00D36341"/>
    <w:rsid w:val="00D37343"/>
    <w:rsid w:val="00D375D4"/>
    <w:rsid w:val="00D37F05"/>
    <w:rsid w:val="00D40508"/>
    <w:rsid w:val="00D42505"/>
    <w:rsid w:val="00D42A5F"/>
    <w:rsid w:val="00D43708"/>
    <w:rsid w:val="00D44829"/>
    <w:rsid w:val="00D452AD"/>
    <w:rsid w:val="00D465B3"/>
    <w:rsid w:val="00D473A7"/>
    <w:rsid w:val="00D511FB"/>
    <w:rsid w:val="00D5339C"/>
    <w:rsid w:val="00D55904"/>
    <w:rsid w:val="00D55CA6"/>
    <w:rsid w:val="00D56E38"/>
    <w:rsid w:val="00D609CA"/>
    <w:rsid w:val="00D62448"/>
    <w:rsid w:val="00D63622"/>
    <w:rsid w:val="00D640D3"/>
    <w:rsid w:val="00D657B9"/>
    <w:rsid w:val="00D65805"/>
    <w:rsid w:val="00D66AC3"/>
    <w:rsid w:val="00D67A43"/>
    <w:rsid w:val="00D70076"/>
    <w:rsid w:val="00D70A32"/>
    <w:rsid w:val="00D72A68"/>
    <w:rsid w:val="00D735C6"/>
    <w:rsid w:val="00D73AD5"/>
    <w:rsid w:val="00D73CEC"/>
    <w:rsid w:val="00D76C0B"/>
    <w:rsid w:val="00D804CB"/>
    <w:rsid w:val="00D81EC5"/>
    <w:rsid w:val="00D834CE"/>
    <w:rsid w:val="00D8367B"/>
    <w:rsid w:val="00D851E9"/>
    <w:rsid w:val="00D91DF0"/>
    <w:rsid w:val="00D92304"/>
    <w:rsid w:val="00D9245C"/>
    <w:rsid w:val="00D93827"/>
    <w:rsid w:val="00D93C77"/>
    <w:rsid w:val="00D95AEB"/>
    <w:rsid w:val="00D97851"/>
    <w:rsid w:val="00D97F10"/>
    <w:rsid w:val="00DA1A97"/>
    <w:rsid w:val="00DA2DD4"/>
    <w:rsid w:val="00DA5ED6"/>
    <w:rsid w:val="00DA6EE9"/>
    <w:rsid w:val="00DB0F51"/>
    <w:rsid w:val="00DB2ED4"/>
    <w:rsid w:val="00DB3026"/>
    <w:rsid w:val="00DB30FE"/>
    <w:rsid w:val="00DB5999"/>
    <w:rsid w:val="00DB6A48"/>
    <w:rsid w:val="00DB6D14"/>
    <w:rsid w:val="00DB6D3C"/>
    <w:rsid w:val="00DB7061"/>
    <w:rsid w:val="00DB7381"/>
    <w:rsid w:val="00DC073C"/>
    <w:rsid w:val="00DC3568"/>
    <w:rsid w:val="00DC4589"/>
    <w:rsid w:val="00DC4745"/>
    <w:rsid w:val="00DC493D"/>
    <w:rsid w:val="00DC5B9D"/>
    <w:rsid w:val="00DC6AB0"/>
    <w:rsid w:val="00DC71CB"/>
    <w:rsid w:val="00DD1BE2"/>
    <w:rsid w:val="00DD41E7"/>
    <w:rsid w:val="00DD4A99"/>
    <w:rsid w:val="00DD6399"/>
    <w:rsid w:val="00DD695B"/>
    <w:rsid w:val="00DD7968"/>
    <w:rsid w:val="00DE2041"/>
    <w:rsid w:val="00DE2CC0"/>
    <w:rsid w:val="00DE42A4"/>
    <w:rsid w:val="00DE47EB"/>
    <w:rsid w:val="00DE521C"/>
    <w:rsid w:val="00DE7C8A"/>
    <w:rsid w:val="00DF2B71"/>
    <w:rsid w:val="00DF2CFF"/>
    <w:rsid w:val="00DF2E56"/>
    <w:rsid w:val="00DF413D"/>
    <w:rsid w:val="00E01917"/>
    <w:rsid w:val="00E043B6"/>
    <w:rsid w:val="00E056B1"/>
    <w:rsid w:val="00E0724E"/>
    <w:rsid w:val="00E106FA"/>
    <w:rsid w:val="00E1226B"/>
    <w:rsid w:val="00E12386"/>
    <w:rsid w:val="00E13CCA"/>
    <w:rsid w:val="00E14523"/>
    <w:rsid w:val="00E15494"/>
    <w:rsid w:val="00E1757A"/>
    <w:rsid w:val="00E217CD"/>
    <w:rsid w:val="00E24072"/>
    <w:rsid w:val="00E25119"/>
    <w:rsid w:val="00E25811"/>
    <w:rsid w:val="00E276BA"/>
    <w:rsid w:val="00E30609"/>
    <w:rsid w:val="00E30C9D"/>
    <w:rsid w:val="00E32331"/>
    <w:rsid w:val="00E342E8"/>
    <w:rsid w:val="00E345DE"/>
    <w:rsid w:val="00E35BDF"/>
    <w:rsid w:val="00E35C96"/>
    <w:rsid w:val="00E3773A"/>
    <w:rsid w:val="00E4367D"/>
    <w:rsid w:val="00E437D2"/>
    <w:rsid w:val="00E44206"/>
    <w:rsid w:val="00E4636C"/>
    <w:rsid w:val="00E46C4E"/>
    <w:rsid w:val="00E50086"/>
    <w:rsid w:val="00E502BE"/>
    <w:rsid w:val="00E5044D"/>
    <w:rsid w:val="00E511A8"/>
    <w:rsid w:val="00E563CC"/>
    <w:rsid w:val="00E566D4"/>
    <w:rsid w:val="00E56D34"/>
    <w:rsid w:val="00E61325"/>
    <w:rsid w:val="00E61631"/>
    <w:rsid w:val="00E62ED4"/>
    <w:rsid w:val="00E6303F"/>
    <w:rsid w:val="00E631B0"/>
    <w:rsid w:val="00E648AA"/>
    <w:rsid w:val="00E64F92"/>
    <w:rsid w:val="00E6559B"/>
    <w:rsid w:val="00E65E20"/>
    <w:rsid w:val="00E708DD"/>
    <w:rsid w:val="00E719B5"/>
    <w:rsid w:val="00E71EDF"/>
    <w:rsid w:val="00E72856"/>
    <w:rsid w:val="00E734FA"/>
    <w:rsid w:val="00E73A91"/>
    <w:rsid w:val="00E76BDA"/>
    <w:rsid w:val="00E774B9"/>
    <w:rsid w:val="00E7774F"/>
    <w:rsid w:val="00E81898"/>
    <w:rsid w:val="00E81E11"/>
    <w:rsid w:val="00E82327"/>
    <w:rsid w:val="00E83F15"/>
    <w:rsid w:val="00E876A5"/>
    <w:rsid w:val="00E87843"/>
    <w:rsid w:val="00E904C0"/>
    <w:rsid w:val="00E91505"/>
    <w:rsid w:val="00E917F6"/>
    <w:rsid w:val="00E918BA"/>
    <w:rsid w:val="00E92554"/>
    <w:rsid w:val="00EA08E6"/>
    <w:rsid w:val="00EA1ECA"/>
    <w:rsid w:val="00EA2536"/>
    <w:rsid w:val="00EA27A6"/>
    <w:rsid w:val="00EA390B"/>
    <w:rsid w:val="00EA42DD"/>
    <w:rsid w:val="00EA4D0E"/>
    <w:rsid w:val="00EA6090"/>
    <w:rsid w:val="00EA643B"/>
    <w:rsid w:val="00EA6D27"/>
    <w:rsid w:val="00EB0A83"/>
    <w:rsid w:val="00EB0EEF"/>
    <w:rsid w:val="00EB16A0"/>
    <w:rsid w:val="00EB2A34"/>
    <w:rsid w:val="00EB3935"/>
    <w:rsid w:val="00EB3BB7"/>
    <w:rsid w:val="00EB5074"/>
    <w:rsid w:val="00EB6AA7"/>
    <w:rsid w:val="00EB6DAD"/>
    <w:rsid w:val="00EC0562"/>
    <w:rsid w:val="00EC0FCE"/>
    <w:rsid w:val="00EC30E3"/>
    <w:rsid w:val="00EC5C42"/>
    <w:rsid w:val="00EC5C76"/>
    <w:rsid w:val="00ED05A4"/>
    <w:rsid w:val="00ED129F"/>
    <w:rsid w:val="00ED1A55"/>
    <w:rsid w:val="00ED23F8"/>
    <w:rsid w:val="00ED2820"/>
    <w:rsid w:val="00ED625E"/>
    <w:rsid w:val="00EE19B3"/>
    <w:rsid w:val="00EE27BD"/>
    <w:rsid w:val="00EE2A0F"/>
    <w:rsid w:val="00EE3B33"/>
    <w:rsid w:val="00EE4505"/>
    <w:rsid w:val="00EF0668"/>
    <w:rsid w:val="00EF0FF1"/>
    <w:rsid w:val="00EF2E84"/>
    <w:rsid w:val="00EF3207"/>
    <w:rsid w:val="00EF4468"/>
    <w:rsid w:val="00EF46DD"/>
    <w:rsid w:val="00EF580F"/>
    <w:rsid w:val="00EF5A2E"/>
    <w:rsid w:val="00EF6A52"/>
    <w:rsid w:val="00EF6EC3"/>
    <w:rsid w:val="00F00464"/>
    <w:rsid w:val="00F017B7"/>
    <w:rsid w:val="00F025DF"/>
    <w:rsid w:val="00F025F4"/>
    <w:rsid w:val="00F029F9"/>
    <w:rsid w:val="00F039D5"/>
    <w:rsid w:val="00F047C6"/>
    <w:rsid w:val="00F06C92"/>
    <w:rsid w:val="00F076C4"/>
    <w:rsid w:val="00F100F4"/>
    <w:rsid w:val="00F10378"/>
    <w:rsid w:val="00F10E87"/>
    <w:rsid w:val="00F11443"/>
    <w:rsid w:val="00F12760"/>
    <w:rsid w:val="00F12CAD"/>
    <w:rsid w:val="00F13544"/>
    <w:rsid w:val="00F1393E"/>
    <w:rsid w:val="00F15186"/>
    <w:rsid w:val="00F157B4"/>
    <w:rsid w:val="00F17A13"/>
    <w:rsid w:val="00F2082B"/>
    <w:rsid w:val="00F218CB"/>
    <w:rsid w:val="00F21F3E"/>
    <w:rsid w:val="00F23134"/>
    <w:rsid w:val="00F23D19"/>
    <w:rsid w:val="00F27F78"/>
    <w:rsid w:val="00F352D9"/>
    <w:rsid w:val="00F35810"/>
    <w:rsid w:val="00F35F98"/>
    <w:rsid w:val="00F37871"/>
    <w:rsid w:val="00F415BB"/>
    <w:rsid w:val="00F41614"/>
    <w:rsid w:val="00F41671"/>
    <w:rsid w:val="00F41939"/>
    <w:rsid w:val="00F4275A"/>
    <w:rsid w:val="00F42DD0"/>
    <w:rsid w:val="00F438A8"/>
    <w:rsid w:val="00F47558"/>
    <w:rsid w:val="00F522CF"/>
    <w:rsid w:val="00F5316A"/>
    <w:rsid w:val="00F53338"/>
    <w:rsid w:val="00F54417"/>
    <w:rsid w:val="00F54C74"/>
    <w:rsid w:val="00F55EF5"/>
    <w:rsid w:val="00F57A35"/>
    <w:rsid w:val="00F57FC9"/>
    <w:rsid w:val="00F613DA"/>
    <w:rsid w:val="00F630A5"/>
    <w:rsid w:val="00F63D70"/>
    <w:rsid w:val="00F664D9"/>
    <w:rsid w:val="00F73728"/>
    <w:rsid w:val="00F75715"/>
    <w:rsid w:val="00F75C77"/>
    <w:rsid w:val="00F75EF3"/>
    <w:rsid w:val="00F77884"/>
    <w:rsid w:val="00F8126A"/>
    <w:rsid w:val="00F813BF"/>
    <w:rsid w:val="00F84AFA"/>
    <w:rsid w:val="00F87036"/>
    <w:rsid w:val="00F872BE"/>
    <w:rsid w:val="00F91022"/>
    <w:rsid w:val="00F928F0"/>
    <w:rsid w:val="00F95C03"/>
    <w:rsid w:val="00F9732B"/>
    <w:rsid w:val="00F9741C"/>
    <w:rsid w:val="00F97AB0"/>
    <w:rsid w:val="00FA0936"/>
    <w:rsid w:val="00FA2589"/>
    <w:rsid w:val="00FA30D4"/>
    <w:rsid w:val="00FA356D"/>
    <w:rsid w:val="00FA46E4"/>
    <w:rsid w:val="00FA6A7C"/>
    <w:rsid w:val="00FB174C"/>
    <w:rsid w:val="00FB1DA9"/>
    <w:rsid w:val="00FB30A9"/>
    <w:rsid w:val="00FB3F76"/>
    <w:rsid w:val="00FC0B67"/>
    <w:rsid w:val="00FC0F8F"/>
    <w:rsid w:val="00FC1C1A"/>
    <w:rsid w:val="00FC1C77"/>
    <w:rsid w:val="00FC1D7C"/>
    <w:rsid w:val="00FC4FAD"/>
    <w:rsid w:val="00FC52C0"/>
    <w:rsid w:val="00FC6583"/>
    <w:rsid w:val="00FC737F"/>
    <w:rsid w:val="00FD004B"/>
    <w:rsid w:val="00FD19B3"/>
    <w:rsid w:val="00FD4B06"/>
    <w:rsid w:val="00FD5011"/>
    <w:rsid w:val="00FD5FD4"/>
    <w:rsid w:val="00FE03EB"/>
    <w:rsid w:val="00FE16A0"/>
    <w:rsid w:val="00FE250E"/>
    <w:rsid w:val="00FE4D93"/>
    <w:rsid w:val="00FE55AC"/>
    <w:rsid w:val="00FE63F1"/>
    <w:rsid w:val="00FE6A21"/>
    <w:rsid w:val="00FF0EF3"/>
    <w:rsid w:val="00FF1B85"/>
    <w:rsid w:val="00FF3DDE"/>
    <w:rsid w:val="00FF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F6"/>
    <w:pPr>
      <w:tabs>
        <w:tab w:val="left" w:pos="360"/>
      </w:tabs>
      <w:spacing w:before="120" w:after="100" w:afterAutospacing="1"/>
      <w:jc w:val="both"/>
    </w:pPr>
    <w:rPr>
      <w:sz w:val="22"/>
      <w:szCs w:val="22"/>
    </w:rPr>
  </w:style>
  <w:style w:type="paragraph" w:styleId="Heading1">
    <w:name w:val="heading 1"/>
    <w:basedOn w:val="Normal"/>
    <w:next w:val="Normal"/>
    <w:link w:val="Heading1Char1"/>
    <w:qFormat/>
    <w:rsid w:val="00763E1C"/>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63E1C"/>
    <w:pPr>
      <w:numPr>
        <w:ilvl w:val="1"/>
        <w:numId w:val="57"/>
      </w:numPr>
      <w:tabs>
        <w:tab w:val="clear" w:pos="360"/>
      </w:tabs>
      <w:spacing w:after="0" w:afterAutospacing="0"/>
      <w:ind w:left="360"/>
      <w:outlineLvl w:val="1"/>
    </w:pPr>
    <w:rPr>
      <w:sz w:val="24"/>
      <w:szCs w:val="24"/>
    </w:rPr>
  </w:style>
  <w:style w:type="paragraph" w:styleId="Heading3">
    <w:name w:val="heading 3"/>
    <w:basedOn w:val="Heading2"/>
    <w:next w:val="Normal"/>
    <w:link w:val="Heading3Char"/>
    <w:unhideWhenUsed/>
    <w:qFormat/>
    <w:rsid w:val="00E15494"/>
    <w:pPr>
      <w:numPr>
        <w:ilvl w:val="2"/>
      </w:numPr>
      <w:spacing w:before="240" w:beforeAutospacing="0"/>
      <w:outlineLvl w:val="2"/>
    </w:pPr>
  </w:style>
  <w:style w:type="paragraph" w:styleId="Heading4">
    <w:name w:val="heading 4"/>
    <w:basedOn w:val="Normal"/>
    <w:next w:val="Normal"/>
    <w:link w:val="Heading4Char"/>
    <w:qFormat/>
    <w:rsid w:val="000875A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10608A"/>
    <w:pPr>
      <w:keepNext/>
      <w:keepLines/>
      <w:numPr>
        <w:numId w:val="92"/>
      </w:numPr>
      <w:ind w:left="360"/>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D18EA"/>
    <w:rPr>
      <w:rFonts w:eastAsiaTheme="majorEastAsia" w:cstheme="majorBidi"/>
      <w:b/>
      <w:bCs/>
      <w:sz w:val="28"/>
      <w:szCs w:val="28"/>
    </w:rPr>
  </w:style>
  <w:style w:type="character" w:customStyle="1" w:styleId="Heading2Char">
    <w:name w:val="Heading 2 Char"/>
    <w:basedOn w:val="DefaultParagraphFont"/>
    <w:link w:val="Heading2"/>
    <w:rsid w:val="00763E1C"/>
    <w:rPr>
      <w:rFonts w:eastAsiaTheme="majorEastAsia" w:cstheme="majorBidi"/>
      <w:b/>
      <w:bCs/>
      <w:sz w:val="24"/>
      <w:szCs w:val="24"/>
    </w:rPr>
  </w:style>
  <w:style w:type="character" w:customStyle="1" w:styleId="Heading3Char">
    <w:name w:val="Heading 3 Char"/>
    <w:basedOn w:val="DefaultParagraphFont"/>
    <w:link w:val="Heading3"/>
    <w:rsid w:val="00E15494"/>
    <w:rPr>
      <w:rFonts w:eastAsiaTheme="majorEastAsia" w:cstheme="majorBidi"/>
      <w:b/>
      <w:bCs/>
      <w:sz w:val="24"/>
      <w:szCs w:val="24"/>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10608A"/>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uiPriority w:val="9"/>
    <w:semiHidden/>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uiPriority w:val="99"/>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pPr>
      <w:spacing w:after="0"/>
    </w:pPr>
    <w:rPr>
      <w:rFonts w:ascii="Times New Roman" w:eastAsia="Times New Roman" w:hAnsi="Times New Roman"/>
      <w:b/>
      <w:sz w:val="20"/>
      <w:szCs w:val="20"/>
    </w:rPr>
  </w:style>
  <w:style w:type="paragraph" w:customStyle="1" w:styleId="DocInit">
    <w:name w:val="Doc Init"/>
    <w:basedOn w:val="Normal"/>
    <w:rsid w:val="00E25119"/>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Normal"/>
    <w:next w:val="Normal"/>
    <w:uiPriority w:val="39"/>
    <w:unhideWhenUsed/>
    <w:qFormat/>
    <w:rsid w:val="001C5EED"/>
  </w:style>
  <w:style w:type="paragraph" w:styleId="TOC2">
    <w:name w:val="toc 2"/>
    <w:basedOn w:val="Normal"/>
    <w:next w:val="Normal"/>
    <w:autoRedefine/>
    <w:uiPriority w:val="39"/>
    <w:unhideWhenUsed/>
    <w:qFormat/>
    <w:rsid w:val="005562E6"/>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7E3C42"/>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1C5EED"/>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3F4B5A"/>
    <w:pPr>
      <w:spacing w:before="0" w:afterAutospacing="0"/>
    </w:pPr>
  </w:style>
  <w:style w:type="character" w:customStyle="1" w:styleId="FootnoteChar">
    <w:name w:val="Footnote Char"/>
    <w:basedOn w:val="FootnoteTextChar"/>
    <w:link w:val="Footnote"/>
    <w:rsid w:val="003F4B5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styleId="Strong">
    <w:name w:val="Strong"/>
    <w:basedOn w:val="DefaultParagraphFont"/>
    <w:uiPriority w:val="22"/>
    <w:qFormat/>
    <w:rsid w:val="006234CB"/>
    <w:rPr>
      <w:b/>
      <w:bCs/>
    </w:rPr>
  </w:style>
  <w:style w:type="paragraph" w:styleId="NormalWeb">
    <w:name w:val="Normal (Web)"/>
    <w:basedOn w:val="Normal"/>
    <w:uiPriority w:val="99"/>
    <w:rsid w:val="00D00B21"/>
    <w:pPr>
      <w:spacing w:before="100" w:beforeAutospacing="1"/>
    </w:pPr>
    <w:rPr>
      <w:rFonts w:ascii="Arial Unicode MS" w:eastAsia="Arial Unicode MS" w:hAnsi="Arial Unicode MS" w:cs="Arial Unicode MS"/>
      <w:sz w:val="24"/>
      <w:szCs w:val="24"/>
    </w:rPr>
  </w:style>
  <w:style w:type="character" w:customStyle="1" w:styleId="Heading1Char1">
    <w:name w:val="Heading 1 Char1"/>
    <w:basedOn w:val="DefaultParagraphFont"/>
    <w:link w:val="Heading1"/>
    <w:rsid w:val="00763E1C"/>
    <w:rPr>
      <w:rFonts w:eastAsiaTheme="majorEastAsia" w:cstheme="majorBidi"/>
      <w:b/>
      <w:bCs/>
      <w:sz w:val="28"/>
      <w:szCs w:val="28"/>
    </w:rPr>
  </w:style>
  <w:style w:type="table" w:customStyle="1" w:styleId="TableGrid1">
    <w:name w:val="Table Grid1"/>
    <w:basedOn w:val="TableNormal"/>
    <w:next w:val="TableGrid"/>
    <w:uiPriority w:val="59"/>
    <w:rsid w:val="00C568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
    <w:name w:val="ptext-"/>
    <w:basedOn w:val="DefaultParagraphFont"/>
    <w:rsid w:val="0023529D"/>
  </w:style>
  <w:style w:type="character" w:customStyle="1" w:styleId="enumbell">
    <w:name w:val="enumbell"/>
    <w:basedOn w:val="DefaultParagraphFont"/>
    <w:rsid w:val="0023529D"/>
  </w:style>
  <w:style w:type="table" w:customStyle="1" w:styleId="TableGrid2">
    <w:name w:val="Table Grid2"/>
    <w:basedOn w:val="TableNormal"/>
    <w:next w:val="TableGrid"/>
    <w:uiPriority w:val="59"/>
    <w:rsid w:val="00045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F6"/>
    <w:pPr>
      <w:tabs>
        <w:tab w:val="left" w:pos="360"/>
      </w:tabs>
      <w:spacing w:before="120" w:after="100" w:afterAutospacing="1"/>
      <w:jc w:val="both"/>
    </w:pPr>
    <w:rPr>
      <w:sz w:val="22"/>
      <w:szCs w:val="22"/>
    </w:rPr>
  </w:style>
  <w:style w:type="paragraph" w:styleId="Heading1">
    <w:name w:val="heading 1"/>
    <w:basedOn w:val="Normal"/>
    <w:next w:val="Normal"/>
    <w:link w:val="Heading1Char1"/>
    <w:qFormat/>
    <w:rsid w:val="00763E1C"/>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63E1C"/>
    <w:pPr>
      <w:numPr>
        <w:ilvl w:val="1"/>
        <w:numId w:val="57"/>
      </w:numPr>
      <w:tabs>
        <w:tab w:val="clear" w:pos="360"/>
      </w:tabs>
      <w:spacing w:after="0" w:afterAutospacing="0"/>
      <w:ind w:left="360"/>
      <w:outlineLvl w:val="1"/>
    </w:pPr>
    <w:rPr>
      <w:sz w:val="24"/>
      <w:szCs w:val="24"/>
    </w:rPr>
  </w:style>
  <w:style w:type="paragraph" w:styleId="Heading3">
    <w:name w:val="heading 3"/>
    <w:basedOn w:val="Heading2"/>
    <w:next w:val="Normal"/>
    <w:link w:val="Heading3Char"/>
    <w:unhideWhenUsed/>
    <w:qFormat/>
    <w:rsid w:val="00E15494"/>
    <w:pPr>
      <w:numPr>
        <w:ilvl w:val="2"/>
      </w:numPr>
      <w:spacing w:before="240" w:beforeAutospacing="0"/>
      <w:outlineLvl w:val="2"/>
    </w:pPr>
  </w:style>
  <w:style w:type="paragraph" w:styleId="Heading4">
    <w:name w:val="heading 4"/>
    <w:basedOn w:val="Normal"/>
    <w:next w:val="Normal"/>
    <w:link w:val="Heading4Char"/>
    <w:qFormat/>
    <w:rsid w:val="000875A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10608A"/>
    <w:pPr>
      <w:keepNext/>
      <w:keepLines/>
      <w:numPr>
        <w:numId w:val="92"/>
      </w:numPr>
      <w:ind w:left="360"/>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D18EA"/>
    <w:rPr>
      <w:rFonts w:eastAsiaTheme="majorEastAsia" w:cstheme="majorBidi"/>
      <w:b/>
      <w:bCs/>
      <w:sz w:val="28"/>
      <w:szCs w:val="28"/>
    </w:rPr>
  </w:style>
  <w:style w:type="character" w:customStyle="1" w:styleId="Heading2Char">
    <w:name w:val="Heading 2 Char"/>
    <w:basedOn w:val="DefaultParagraphFont"/>
    <w:link w:val="Heading2"/>
    <w:rsid w:val="00763E1C"/>
    <w:rPr>
      <w:rFonts w:eastAsiaTheme="majorEastAsia" w:cstheme="majorBidi"/>
      <w:b/>
      <w:bCs/>
      <w:sz w:val="24"/>
      <w:szCs w:val="24"/>
    </w:rPr>
  </w:style>
  <w:style w:type="character" w:customStyle="1" w:styleId="Heading3Char">
    <w:name w:val="Heading 3 Char"/>
    <w:basedOn w:val="DefaultParagraphFont"/>
    <w:link w:val="Heading3"/>
    <w:rsid w:val="00E15494"/>
    <w:rPr>
      <w:rFonts w:eastAsiaTheme="majorEastAsia" w:cstheme="majorBidi"/>
      <w:b/>
      <w:bCs/>
      <w:sz w:val="24"/>
      <w:szCs w:val="24"/>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10608A"/>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uiPriority w:val="9"/>
    <w:semiHidden/>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uiPriority w:val="99"/>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pPr>
      <w:spacing w:after="0"/>
    </w:pPr>
    <w:rPr>
      <w:rFonts w:ascii="Times New Roman" w:eastAsia="Times New Roman" w:hAnsi="Times New Roman"/>
      <w:b/>
      <w:sz w:val="20"/>
      <w:szCs w:val="20"/>
    </w:rPr>
  </w:style>
  <w:style w:type="paragraph" w:customStyle="1" w:styleId="DocInit">
    <w:name w:val="Doc Init"/>
    <w:basedOn w:val="Normal"/>
    <w:rsid w:val="00E25119"/>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Normal"/>
    <w:next w:val="Normal"/>
    <w:uiPriority w:val="39"/>
    <w:unhideWhenUsed/>
    <w:qFormat/>
    <w:rsid w:val="001C5EED"/>
  </w:style>
  <w:style w:type="paragraph" w:styleId="TOC2">
    <w:name w:val="toc 2"/>
    <w:basedOn w:val="Normal"/>
    <w:next w:val="Normal"/>
    <w:autoRedefine/>
    <w:uiPriority w:val="39"/>
    <w:unhideWhenUsed/>
    <w:qFormat/>
    <w:rsid w:val="005562E6"/>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7E3C42"/>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1C5EED"/>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3F4B5A"/>
    <w:pPr>
      <w:spacing w:before="0" w:afterAutospacing="0"/>
    </w:pPr>
  </w:style>
  <w:style w:type="character" w:customStyle="1" w:styleId="FootnoteChar">
    <w:name w:val="Footnote Char"/>
    <w:basedOn w:val="FootnoteTextChar"/>
    <w:link w:val="Footnote"/>
    <w:rsid w:val="003F4B5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styleId="Strong">
    <w:name w:val="Strong"/>
    <w:basedOn w:val="DefaultParagraphFont"/>
    <w:uiPriority w:val="22"/>
    <w:qFormat/>
    <w:rsid w:val="006234CB"/>
    <w:rPr>
      <w:b/>
      <w:bCs/>
    </w:rPr>
  </w:style>
  <w:style w:type="paragraph" w:styleId="NormalWeb">
    <w:name w:val="Normal (Web)"/>
    <w:basedOn w:val="Normal"/>
    <w:uiPriority w:val="99"/>
    <w:rsid w:val="00D00B21"/>
    <w:pPr>
      <w:spacing w:before="100" w:beforeAutospacing="1"/>
    </w:pPr>
    <w:rPr>
      <w:rFonts w:ascii="Arial Unicode MS" w:eastAsia="Arial Unicode MS" w:hAnsi="Arial Unicode MS" w:cs="Arial Unicode MS"/>
      <w:sz w:val="24"/>
      <w:szCs w:val="24"/>
    </w:rPr>
  </w:style>
  <w:style w:type="character" w:customStyle="1" w:styleId="Heading1Char1">
    <w:name w:val="Heading 1 Char1"/>
    <w:basedOn w:val="DefaultParagraphFont"/>
    <w:link w:val="Heading1"/>
    <w:rsid w:val="00763E1C"/>
    <w:rPr>
      <w:rFonts w:eastAsiaTheme="majorEastAsia" w:cstheme="majorBidi"/>
      <w:b/>
      <w:bCs/>
      <w:sz w:val="28"/>
      <w:szCs w:val="28"/>
    </w:rPr>
  </w:style>
  <w:style w:type="table" w:customStyle="1" w:styleId="TableGrid1">
    <w:name w:val="Table Grid1"/>
    <w:basedOn w:val="TableNormal"/>
    <w:next w:val="TableGrid"/>
    <w:uiPriority w:val="59"/>
    <w:rsid w:val="00C568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
    <w:name w:val="ptext-"/>
    <w:basedOn w:val="DefaultParagraphFont"/>
    <w:rsid w:val="0023529D"/>
  </w:style>
  <w:style w:type="character" w:customStyle="1" w:styleId="enumbell">
    <w:name w:val="enumbell"/>
    <w:basedOn w:val="DefaultParagraphFont"/>
    <w:rsid w:val="0023529D"/>
  </w:style>
  <w:style w:type="table" w:customStyle="1" w:styleId="TableGrid2">
    <w:name w:val="Table Grid2"/>
    <w:basedOn w:val="TableNormal"/>
    <w:next w:val="TableGrid"/>
    <w:uiPriority w:val="59"/>
    <w:rsid w:val="00045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7066">
      <w:bodyDiv w:val="1"/>
      <w:marLeft w:val="0"/>
      <w:marRight w:val="0"/>
      <w:marTop w:val="0"/>
      <w:marBottom w:val="0"/>
      <w:divBdr>
        <w:top w:val="none" w:sz="0" w:space="0" w:color="auto"/>
        <w:left w:val="none" w:sz="0" w:space="0" w:color="auto"/>
        <w:bottom w:val="none" w:sz="0" w:space="0" w:color="auto"/>
        <w:right w:val="none" w:sz="0" w:space="0" w:color="auto"/>
      </w:divBdr>
    </w:div>
    <w:div w:id="209003082">
      <w:bodyDiv w:val="1"/>
      <w:marLeft w:val="0"/>
      <w:marRight w:val="0"/>
      <w:marTop w:val="0"/>
      <w:marBottom w:val="0"/>
      <w:divBdr>
        <w:top w:val="none" w:sz="0" w:space="0" w:color="auto"/>
        <w:left w:val="none" w:sz="0" w:space="0" w:color="auto"/>
        <w:bottom w:val="none" w:sz="0" w:space="0" w:color="auto"/>
        <w:right w:val="none" w:sz="0" w:space="0" w:color="auto"/>
      </w:divBdr>
    </w:div>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295140056">
      <w:bodyDiv w:val="1"/>
      <w:marLeft w:val="0"/>
      <w:marRight w:val="0"/>
      <w:marTop w:val="0"/>
      <w:marBottom w:val="0"/>
      <w:divBdr>
        <w:top w:val="none" w:sz="0" w:space="0" w:color="auto"/>
        <w:left w:val="none" w:sz="0" w:space="0" w:color="auto"/>
        <w:bottom w:val="none" w:sz="0" w:space="0" w:color="auto"/>
        <w:right w:val="none" w:sz="0" w:space="0" w:color="auto"/>
      </w:divBdr>
    </w:div>
    <w:div w:id="396586798">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39830185">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1184">
      <w:bodyDiv w:val="1"/>
      <w:marLeft w:val="0"/>
      <w:marRight w:val="0"/>
      <w:marTop w:val="0"/>
      <w:marBottom w:val="0"/>
      <w:divBdr>
        <w:top w:val="none" w:sz="0" w:space="0" w:color="auto"/>
        <w:left w:val="none" w:sz="0" w:space="0" w:color="auto"/>
        <w:bottom w:val="none" w:sz="0" w:space="0" w:color="auto"/>
        <w:right w:val="none" w:sz="0" w:space="0" w:color="auto"/>
      </w:divBdr>
      <w:divsChild>
        <w:div w:id="2009866273">
          <w:marLeft w:val="0"/>
          <w:marRight w:val="0"/>
          <w:marTop w:val="0"/>
          <w:marBottom w:val="0"/>
          <w:divBdr>
            <w:top w:val="none" w:sz="0" w:space="0" w:color="auto"/>
            <w:left w:val="none" w:sz="0" w:space="0" w:color="auto"/>
            <w:bottom w:val="none" w:sz="0" w:space="0" w:color="auto"/>
            <w:right w:val="none" w:sz="0" w:space="0" w:color="auto"/>
          </w:divBdr>
          <w:divsChild>
            <w:div w:id="207421630">
              <w:marLeft w:val="0"/>
              <w:marRight w:val="0"/>
              <w:marTop w:val="0"/>
              <w:marBottom w:val="0"/>
              <w:divBdr>
                <w:top w:val="none" w:sz="0" w:space="0" w:color="auto"/>
                <w:left w:val="none" w:sz="0" w:space="0" w:color="auto"/>
                <w:bottom w:val="none" w:sz="0" w:space="0" w:color="auto"/>
                <w:right w:val="none" w:sz="0" w:space="0" w:color="auto"/>
              </w:divBdr>
              <w:divsChild>
                <w:div w:id="1511796736">
                  <w:marLeft w:val="0"/>
                  <w:marRight w:val="0"/>
                  <w:marTop w:val="0"/>
                  <w:marBottom w:val="0"/>
                  <w:divBdr>
                    <w:top w:val="none" w:sz="0" w:space="0" w:color="auto"/>
                    <w:left w:val="none" w:sz="0" w:space="0" w:color="auto"/>
                    <w:bottom w:val="none" w:sz="0" w:space="0" w:color="auto"/>
                    <w:right w:val="none" w:sz="0" w:space="0" w:color="auto"/>
                  </w:divBdr>
                  <w:divsChild>
                    <w:div w:id="1730613208">
                      <w:marLeft w:val="0"/>
                      <w:marRight w:val="0"/>
                      <w:marTop w:val="0"/>
                      <w:marBottom w:val="0"/>
                      <w:divBdr>
                        <w:top w:val="none" w:sz="0" w:space="0" w:color="auto"/>
                        <w:left w:val="none" w:sz="0" w:space="0" w:color="auto"/>
                        <w:bottom w:val="none" w:sz="0" w:space="0" w:color="auto"/>
                        <w:right w:val="none" w:sz="0" w:space="0" w:color="auto"/>
                      </w:divBdr>
                      <w:divsChild>
                        <w:div w:id="23288431">
                          <w:marLeft w:val="0"/>
                          <w:marRight w:val="0"/>
                          <w:marTop w:val="0"/>
                          <w:marBottom w:val="0"/>
                          <w:divBdr>
                            <w:top w:val="none" w:sz="0" w:space="0" w:color="auto"/>
                            <w:left w:val="none" w:sz="0" w:space="0" w:color="auto"/>
                            <w:bottom w:val="none" w:sz="0" w:space="0" w:color="auto"/>
                            <w:right w:val="none" w:sz="0" w:space="0" w:color="auto"/>
                          </w:divBdr>
                          <w:divsChild>
                            <w:div w:id="8812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863906244">
      <w:bodyDiv w:val="1"/>
      <w:marLeft w:val="0"/>
      <w:marRight w:val="0"/>
      <w:marTop w:val="0"/>
      <w:marBottom w:val="0"/>
      <w:divBdr>
        <w:top w:val="none" w:sz="0" w:space="0" w:color="auto"/>
        <w:left w:val="none" w:sz="0" w:space="0" w:color="auto"/>
        <w:bottom w:val="none" w:sz="0" w:space="0" w:color="auto"/>
        <w:right w:val="none" w:sz="0" w:space="0" w:color="auto"/>
      </w:divBdr>
    </w:div>
    <w:div w:id="873812021">
      <w:bodyDiv w:val="1"/>
      <w:marLeft w:val="0"/>
      <w:marRight w:val="0"/>
      <w:marTop w:val="0"/>
      <w:marBottom w:val="0"/>
      <w:divBdr>
        <w:top w:val="none" w:sz="0" w:space="0" w:color="auto"/>
        <w:left w:val="none" w:sz="0" w:space="0" w:color="auto"/>
        <w:bottom w:val="none" w:sz="0" w:space="0" w:color="auto"/>
        <w:right w:val="none" w:sz="0" w:space="0" w:color="auto"/>
      </w:divBdr>
    </w:div>
    <w:div w:id="1241713989">
      <w:bodyDiv w:val="1"/>
      <w:marLeft w:val="0"/>
      <w:marRight w:val="0"/>
      <w:marTop w:val="0"/>
      <w:marBottom w:val="0"/>
      <w:divBdr>
        <w:top w:val="none" w:sz="0" w:space="0" w:color="auto"/>
        <w:left w:val="none" w:sz="0" w:space="0" w:color="auto"/>
        <w:bottom w:val="none" w:sz="0" w:space="0" w:color="auto"/>
        <w:right w:val="none" w:sz="0" w:space="0" w:color="auto"/>
      </w:divBdr>
    </w:div>
    <w:div w:id="1262181415">
      <w:bodyDiv w:val="1"/>
      <w:marLeft w:val="0"/>
      <w:marRight w:val="0"/>
      <w:marTop w:val="0"/>
      <w:marBottom w:val="0"/>
      <w:divBdr>
        <w:top w:val="none" w:sz="0" w:space="0" w:color="auto"/>
        <w:left w:val="none" w:sz="0" w:space="0" w:color="auto"/>
        <w:bottom w:val="none" w:sz="0" w:space="0" w:color="auto"/>
        <w:right w:val="none" w:sz="0" w:space="0" w:color="auto"/>
      </w:divBdr>
    </w:div>
    <w:div w:id="1266811919">
      <w:bodyDiv w:val="1"/>
      <w:marLeft w:val="0"/>
      <w:marRight w:val="0"/>
      <w:marTop w:val="0"/>
      <w:marBottom w:val="0"/>
      <w:divBdr>
        <w:top w:val="none" w:sz="0" w:space="0" w:color="auto"/>
        <w:left w:val="none" w:sz="0" w:space="0" w:color="auto"/>
        <w:bottom w:val="none" w:sz="0" w:space="0" w:color="auto"/>
        <w:right w:val="none" w:sz="0" w:space="0" w:color="auto"/>
      </w:divBdr>
    </w:div>
    <w:div w:id="1283998158">
      <w:bodyDiv w:val="1"/>
      <w:marLeft w:val="0"/>
      <w:marRight w:val="0"/>
      <w:marTop w:val="0"/>
      <w:marBottom w:val="0"/>
      <w:divBdr>
        <w:top w:val="none" w:sz="0" w:space="0" w:color="auto"/>
        <w:left w:val="none" w:sz="0" w:space="0" w:color="auto"/>
        <w:bottom w:val="none" w:sz="0" w:space="0" w:color="auto"/>
        <w:right w:val="none" w:sz="0" w:space="0" w:color="auto"/>
      </w:divBdr>
      <w:divsChild>
        <w:div w:id="1009986512">
          <w:marLeft w:val="0"/>
          <w:marRight w:val="0"/>
          <w:marTop w:val="0"/>
          <w:marBottom w:val="0"/>
          <w:divBdr>
            <w:top w:val="none" w:sz="0" w:space="0" w:color="auto"/>
            <w:left w:val="none" w:sz="0" w:space="0" w:color="auto"/>
            <w:bottom w:val="none" w:sz="0" w:space="0" w:color="auto"/>
            <w:right w:val="none" w:sz="0" w:space="0" w:color="auto"/>
          </w:divBdr>
          <w:divsChild>
            <w:div w:id="1323240260">
              <w:marLeft w:val="0"/>
              <w:marRight w:val="0"/>
              <w:marTop w:val="0"/>
              <w:marBottom w:val="0"/>
              <w:divBdr>
                <w:top w:val="none" w:sz="0" w:space="0" w:color="auto"/>
                <w:left w:val="none" w:sz="0" w:space="0" w:color="auto"/>
                <w:bottom w:val="none" w:sz="0" w:space="0" w:color="auto"/>
                <w:right w:val="none" w:sz="0" w:space="0" w:color="auto"/>
              </w:divBdr>
              <w:divsChild>
                <w:div w:id="198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6703">
      <w:bodyDiv w:val="1"/>
      <w:marLeft w:val="0"/>
      <w:marRight w:val="0"/>
      <w:marTop w:val="0"/>
      <w:marBottom w:val="0"/>
      <w:divBdr>
        <w:top w:val="none" w:sz="0" w:space="0" w:color="auto"/>
        <w:left w:val="none" w:sz="0" w:space="0" w:color="auto"/>
        <w:bottom w:val="none" w:sz="0" w:space="0" w:color="auto"/>
        <w:right w:val="none" w:sz="0" w:space="0" w:color="auto"/>
      </w:divBdr>
    </w:div>
    <w:div w:id="1562057452">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2133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renewable/annual/trends/" TargetMode="External"/><Relationship Id="rId18" Type="http://schemas.openxmlformats.org/officeDocument/2006/relationships/hyperlink" Target="http://www.eia.gov/develop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ia.gov/forecasts/steo/" TargetMode="External"/><Relationship Id="rId17" Type="http://schemas.openxmlformats.org/officeDocument/2006/relationships/hyperlink" Target="http://www.eia.gov/reports/" TargetMode="External"/><Relationship Id="rId2" Type="http://schemas.openxmlformats.org/officeDocument/2006/relationships/numbering" Target="numbering.xml"/><Relationship Id="rId16" Type="http://schemas.openxmlformats.org/officeDocument/2006/relationships/hyperlink" Target="http://www.eia.gov/surv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a.gov/forecasts/aeo/er/" TargetMode="External"/><Relationship Id="rId5" Type="http://schemas.openxmlformats.org/officeDocument/2006/relationships/settings" Target="settings.xml"/><Relationship Id="rId15" Type="http://schemas.openxmlformats.org/officeDocument/2006/relationships/hyperlink" Target="http://www.eia.gov/totalenergy/data/annual/" TargetMode="External"/><Relationship Id="rId10" Type="http://schemas.openxmlformats.org/officeDocument/2006/relationships/image" Target="media/image2.png"/><Relationship Id="rId19" Type="http://schemas.openxmlformats.org/officeDocument/2006/relationships/hyperlink" Target="http://www.eia.gov/beta/ap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ia.gov/totalenergy/data/monthl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05A8-CA5C-4635-9E53-E1284891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8624</Words>
  <Characters>49160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OMB Supporting Statement Part A, ERUS 2014 Package</vt:lpstr>
    </vt:vector>
  </TitlesOfParts>
  <Company>U.S. Energy Information Administration</Company>
  <LinksUpToDate>false</LinksUpToDate>
  <CharactersWithSpaces>57669</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 ERUS 2014 Package</dc:title>
  <dc:subject>OMB Clearance with Changes, ERUS 2014</dc:subject>
  <dc:creator>Kaplan, Stan</dc:creator>
  <cp:lastModifiedBy>Jennings, Alethea</cp:lastModifiedBy>
  <cp:revision>2</cp:revision>
  <cp:lastPrinted>2015-08-06T13:09:00Z</cp:lastPrinted>
  <dcterms:created xsi:type="dcterms:W3CDTF">2015-08-27T21:10:00Z</dcterms:created>
  <dcterms:modified xsi:type="dcterms:W3CDTF">2015-08-27T21:10:00Z</dcterms:modified>
</cp:coreProperties>
</file>